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b/>
          <w:color w:val="000000"/>
          <w:sz w:val="52"/>
          <w:szCs w:val="52"/>
        </w:rPr>
      </w:pPr>
      <w:bookmarkStart w:id="1776" w:name="_GoBack"/>
      <w:bookmarkEnd w:id="1776"/>
      <w:r>
        <w:rPr>
          <w:b/>
          <w:color w:val="000000"/>
          <w:sz w:val="52"/>
          <w:szCs w:val="52"/>
        </w:rPr>
        <w:t>广西壮族自治区房屋建筑和市政</w:t>
      </w:r>
      <w:r>
        <w:rPr>
          <w:rFonts w:hint="eastAsia"/>
          <w:b/>
          <w:color w:val="000000"/>
          <w:sz w:val="52"/>
          <w:szCs w:val="52"/>
        </w:rPr>
        <w:t>基础设施</w:t>
      </w:r>
    </w:p>
    <w:p>
      <w:pPr>
        <w:spacing w:line="360" w:lineRule="auto"/>
        <w:jc w:val="center"/>
        <w:rPr>
          <w:rFonts w:hint="eastAsia"/>
          <w:b/>
          <w:color w:val="000000"/>
          <w:sz w:val="52"/>
          <w:szCs w:val="52"/>
        </w:rPr>
      </w:pPr>
      <w:r>
        <w:rPr>
          <w:rFonts w:hint="eastAsia"/>
          <w:b/>
          <w:color w:val="000000"/>
          <w:sz w:val="52"/>
          <w:szCs w:val="52"/>
        </w:rPr>
        <w:t>工程总承包</w:t>
      </w:r>
      <w:r>
        <w:rPr>
          <w:b/>
          <w:color w:val="000000"/>
          <w:sz w:val="52"/>
          <w:szCs w:val="52"/>
        </w:rPr>
        <w:t>招标文件</w:t>
      </w:r>
      <w:r>
        <w:rPr>
          <w:rFonts w:hint="eastAsia"/>
          <w:b/>
          <w:color w:val="000000"/>
          <w:sz w:val="52"/>
          <w:szCs w:val="52"/>
        </w:rPr>
        <w:t>范本（</w:t>
      </w:r>
      <w:r>
        <w:rPr>
          <w:b/>
          <w:color w:val="000000"/>
          <w:sz w:val="52"/>
          <w:szCs w:val="52"/>
        </w:rPr>
        <w:t>2020</w:t>
      </w:r>
      <w:r>
        <w:rPr>
          <w:rFonts w:hint="eastAsia"/>
          <w:b/>
          <w:color w:val="000000"/>
          <w:sz w:val="52"/>
          <w:szCs w:val="52"/>
        </w:rPr>
        <w:t>年版）</w:t>
      </w:r>
    </w:p>
    <w:p>
      <w:pPr>
        <w:spacing w:line="540" w:lineRule="exact"/>
        <w:jc w:val="center"/>
        <w:rPr>
          <w:rFonts w:hint="eastAsia"/>
          <w:color w:val="000000"/>
          <w:sz w:val="28"/>
          <w:szCs w:val="28"/>
        </w:rPr>
      </w:pPr>
    </w:p>
    <w:p>
      <w:pPr>
        <w:spacing w:line="540" w:lineRule="exact"/>
        <w:jc w:val="center"/>
        <w:rPr>
          <w:rFonts w:hint="eastAsia"/>
          <w:color w:val="000000"/>
          <w:sz w:val="28"/>
          <w:szCs w:val="28"/>
        </w:rPr>
      </w:pPr>
    </w:p>
    <w:p>
      <w:pPr>
        <w:spacing w:line="540" w:lineRule="exact"/>
        <w:jc w:val="center"/>
        <w:rPr>
          <w:color w:val="000000"/>
          <w:sz w:val="32"/>
          <w:szCs w:val="32"/>
        </w:rPr>
      </w:pPr>
      <w:r>
        <w:rPr>
          <w:color w:val="000000"/>
          <w:sz w:val="32"/>
          <w:szCs w:val="32"/>
          <w:u w:val="single"/>
        </w:rPr>
        <w:t xml:space="preserve">      （项目名称）     </w:t>
      </w:r>
      <w:r>
        <w:rPr>
          <w:rFonts w:hint="eastAsia"/>
          <w:color w:val="000000"/>
          <w:sz w:val="32"/>
          <w:szCs w:val="32"/>
        </w:rPr>
        <w:t>工程总承包</w:t>
      </w:r>
      <w:r>
        <w:rPr>
          <w:color w:val="000000"/>
          <w:sz w:val="32"/>
          <w:szCs w:val="32"/>
        </w:rPr>
        <w:t>招标</w:t>
      </w:r>
    </w:p>
    <w:p>
      <w:pPr>
        <w:spacing w:line="460" w:lineRule="exact"/>
        <w:ind w:firstLine="437"/>
        <w:rPr>
          <w:color w:val="000000"/>
          <w:szCs w:val="21"/>
        </w:rPr>
      </w:pPr>
    </w:p>
    <w:p>
      <w:pPr>
        <w:spacing w:line="540" w:lineRule="exact"/>
        <w:rPr>
          <w:color w:val="000000"/>
          <w:szCs w:val="21"/>
        </w:rPr>
      </w:pPr>
    </w:p>
    <w:p>
      <w:pPr>
        <w:spacing w:line="540" w:lineRule="exact"/>
        <w:rPr>
          <w:rFonts w:hint="eastAsia"/>
          <w:color w:val="000000"/>
          <w:szCs w:val="21"/>
        </w:rPr>
      </w:pPr>
    </w:p>
    <w:p>
      <w:pPr>
        <w:jc w:val="center"/>
        <w:rPr>
          <w:color w:val="000000"/>
          <w:sz w:val="72"/>
          <w:szCs w:val="72"/>
        </w:rPr>
      </w:pPr>
      <w:r>
        <w:rPr>
          <w:color w:val="000000"/>
          <w:sz w:val="72"/>
          <w:szCs w:val="72"/>
        </w:rPr>
        <w:t>招 标 文 件</w:t>
      </w:r>
    </w:p>
    <w:p>
      <w:pPr>
        <w:spacing w:line="540" w:lineRule="exact"/>
        <w:ind w:firstLine="437"/>
        <w:rPr>
          <w:color w:val="000000"/>
          <w:szCs w:val="21"/>
        </w:rPr>
      </w:pPr>
    </w:p>
    <w:p>
      <w:pPr>
        <w:spacing w:line="540" w:lineRule="exact"/>
        <w:ind w:firstLine="437"/>
        <w:rPr>
          <w:color w:val="000000"/>
          <w:szCs w:val="21"/>
        </w:rPr>
      </w:pPr>
    </w:p>
    <w:p>
      <w:pPr>
        <w:spacing w:line="540" w:lineRule="exact"/>
        <w:ind w:firstLine="437"/>
        <w:rPr>
          <w:color w:val="000000"/>
          <w:szCs w:val="21"/>
        </w:rPr>
      </w:pPr>
    </w:p>
    <w:p>
      <w:pPr>
        <w:spacing w:line="540" w:lineRule="exact"/>
        <w:ind w:firstLine="1540" w:firstLineChars="550"/>
        <w:jc w:val="left"/>
        <w:rPr>
          <w:color w:val="000000"/>
          <w:sz w:val="28"/>
          <w:szCs w:val="28"/>
          <w:u w:val="single"/>
        </w:rPr>
      </w:pPr>
      <w:r>
        <w:rPr>
          <w:color w:val="000000"/>
          <w:sz w:val="28"/>
          <w:szCs w:val="28"/>
        </w:rPr>
        <w:t xml:space="preserve">     项目</w:t>
      </w:r>
      <w:r>
        <w:rPr>
          <w:rFonts w:hint="eastAsia"/>
          <w:color w:val="000000"/>
          <w:sz w:val="28"/>
          <w:szCs w:val="28"/>
        </w:rPr>
        <w:t>招标</w:t>
      </w:r>
      <w:r>
        <w:rPr>
          <w:color w:val="000000"/>
          <w:sz w:val="28"/>
          <w:szCs w:val="28"/>
        </w:rPr>
        <w:t xml:space="preserve">编号： </w:t>
      </w:r>
      <w:r>
        <w:rPr>
          <w:color w:val="000000"/>
          <w:sz w:val="28"/>
          <w:szCs w:val="28"/>
          <w:u w:val="single"/>
        </w:rPr>
        <w:t xml:space="preserve">                        </w:t>
      </w:r>
    </w:p>
    <w:p>
      <w:pPr>
        <w:spacing w:line="540" w:lineRule="exact"/>
        <w:ind w:firstLine="437"/>
        <w:rPr>
          <w:color w:val="000000"/>
          <w:szCs w:val="21"/>
        </w:rPr>
      </w:pPr>
    </w:p>
    <w:p>
      <w:pPr>
        <w:spacing w:line="540" w:lineRule="exact"/>
        <w:ind w:firstLine="437"/>
        <w:rPr>
          <w:color w:val="000000"/>
          <w:szCs w:val="21"/>
        </w:rPr>
      </w:pPr>
    </w:p>
    <w:p>
      <w:pPr>
        <w:spacing w:line="540" w:lineRule="exact"/>
        <w:ind w:firstLine="437"/>
        <w:rPr>
          <w:color w:val="000000"/>
          <w:szCs w:val="21"/>
        </w:rPr>
      </w:pPr>
    </w:p>
    <w:p>
      <w:pPr>
        <w:spacing w:line="540" w:lineRule="exact"/>
        <w:ind w:firstLine="437"/>
        <w:rPr>
          <w:color w:val="000000"/>
          <w:sz w:val="32"/>
          <w:szCs w:val="32"/>
        </w:rPr>
      </w:pPr>
      <w:r>
        <w:rPr>
          <w:color w:val="000000"/>
          <w:sz w:val="32"/>
          <w:szCs w:val="32"/>
        </w:rPr>
        <w:t xml:space="preserve">   招 标 人：</w:t>
      </w:r>
      <w:r>
        <w:rPr>
          <w:color w:val="000000"/>
          <w:sz w:val="32"/>
          <w:szCs w:val="32"/>
          <w:u w:val="single"/>
        </w:rPr>
        <w:t xml:space="preserve">                         </w:t>
      </w:r>
      <w:r>
        <w:rPr>
          <w:color w:val="000000"/>
          <w:sz w:val="32"/>
          <w:szCs w:val="32"/>
        </w:rPr>
        <w:t>（盖单位公章）</w:t>
      </w:r>
    </w:p>
    <w:p>
      <w:pPr>
        <w:spacing w:line="540" w:lineRule="exact"/>
        <w:ind w:firstLine="437"/>
        <w:rPr>
          <w:color w:val="000000"/>
          <w:sz w:val="32"/>
          <w:szCs w:val="32"/>
        </w:rPr>
      </w:pPr>
    </w:p>
    <w:p>
      <w:pPr>
        <w:spacing w:line="540" w:lineRule="exact"/>
        <w:ind w:firstLine="437"/>
        <w:rPr>
          <w:color w:val="000000"/>
          <w:sz w:val="32"/>
          <w:szCs w:val="32"/>
        </w:rPr>
      </w:pPr>
      <w:r>
        <w:rPr>
          <w:color w:val="000000"/>
          <w:sz w:val="32"/>
          <w:szCs w:val="32"/>
        </w:rPr>
        <w:t xml:space="preserve">   招标代理机构：</w:t>
      </w:r>
      <w:r>
        <w:rPr>
          <w:color w:val="000000"/>
          <w:sz w:val="32"/>
          <w:szCs w:val="32"/>
          <w:u w:val="single"/>
        </w:rPr>
        <w:t xml:space="preserve">                     </w:t>
      </w:r>
      <w:r>
        <w:rPr>
          <w:color w:val="000000"/>
          <w:sz w:val="32"/>
          <w:szCs w:val="32"/>
        </w:rPr>
        <w:t>（盖单位公章）</w:t>
      </w:r>
    </w:p>
    <w:p>
      <w:pPr>
        <w:spacing w:line="540" w:lineRule="exact"/>
        <w:ind w:firstLine="437"/>
        <w:rPr>
          <w:color w:val="000000"/>
          <w:sz w:val="32"/>
          <w:szCs w:val="32"/>
        </w:rPr>
      </w:pPr>
    </w:p>
    <w:p>
      <w:pPr>
        <w:spacing w:line="540" w:lineRule="exact"/>
        <w:ind w:firstLine="437"/>
        <w:rPr>
          <w:color w:val="000000"/>
          <w:sz w:val="32"/>
          <w:szCs w:val="32"/>
        </w:rPr>
      </w:pPr>
      <w:r>
        <w:rPr>
          <w:color w:val="000000"/>
          <w:sz w:val="32"/>
          <w:szCs w:val="32"/>
        </w:rPr>
        <w:t xml:space="preserve">   日</w:t>
      </w:r>
      <w:r>
        <w:rPr>
          <w:rFonts w:hint="eastAsia"/>
          <w:color w:val="000000"/>
          <w:sz w:val="32"/>
          <w:szCs w:val="32"/>
        </w:rPr>
        <w:t xml:space="preserve">    </w:t>
      </w:r>
      <w:r>
        <w:rPr>
          <w:color w:val="000000"/>
          <w:sz w:val="32"/>
          <w:szCs w:val="32"/>
        </w:rPr>
        <w:t>期：</w:t>
      </w:r>
      <w:r>
        <w:rPr>
          <w:color w:val="000000"/>
          <w:sz w:val="32"/>
          <w:szCs w:val="32"/>
          <w:u w:val="single"/>
        </w:rPr>
        <w:t xml:space="preserve">           </w:t>
      </w:r>
      <w:r>
        <w:rPr>
          <w:color w:val="000000"/>
          <w:sz w:val="32"/>
          <w:szCs w:val="32"/>
        </w:rPr>
        <w:t>年</w:t>
      </w:r>
      <w:r>
        <w:rPr>
          <w:color w:val="000000"/>
          <w:sz w:val="32"/>
          <w:szCs w:val="32"/>
          <w:u w:val="single"/>
        </w:rPr>
        <w:t xml:space="preserve">         </w:t>
      </w:r>
      <w:r>
        <w:rPr>
          <w:color w:val="000000"/>
          <w:sz w:val="32"/>
          <w:szCs w:val="32"/>
        </w:rPr>
        <w:t>月</w:t>
      </w:r>
      <w:r>
        <w:rPr>
          <w:color w:val="000000"/>
          <w:sz w:val="32"/>
          <w:szCs w:val="32"/>
          <w:u w:val="single"/>
        </w:rPr>
        <w:t xml:space="preserve">        </w:t>
      </w:r>
      <w:r>
        <w:rPr>
          <w:color w:val="000000"/>
          <w:sz w:val="32"/>
          <w:szCs w:val="32"/>
        </w:rPr>
        <w:t xml:space="preserve"> 日</w:t>
      </w:r>
    </w:p>
    <w:p>
      <w:pPr>
        <w:spacing w:line="540" w:lineRule="exact"/>
        <w:ind w:firstLine="437"/>
        <w:rPr>
          <w:color w:val="000000"/>
          <w:sz w:val="32"/>
          <w:szCs w:val="32"/>
        </w:rPr>
        <w:sectPr>
          <w:headerReference r:id="rId3" w:type="default"/>
          <w:footerReference r:id="rId4" w:type="default"/>
          <w:pgSz w:w="11907" w:h="16840"/>
          <w:pgMar w:top="1418" w:right="1134" w:bottom="1418" w:left="1134" w:header="851" w:footer="851" w:gutter="0"/>
          <w:pgNumType w:fmt="upperRoman" w:start="1"/>
          <w:cols w:space="720" w:num="1"/>
          <w:titlePg/>
          <w:docGrid w:linePitch="312" w:charSpace="0"/>
        </w:sectPr>
      </w:pPr>
    </w:p>
    <w:p>
      <w:pPr>
        <w:jc w:val="center"/>
        <w:rPr>
          <w:rFonts w:hint="eastAsia" w:ascii="黑体" w:eastAsia="黑体"/>
          <w:b/>
          <w:color w:val="000000"/>
          <w:sz w:val="32"/>
          <w:szCs w:val="32"/>
        </w:rPr>
      </w:pPr>
      <w:r>
        <w:rPr>
          <w:rFonts w:hint="eastAsia" w:ascii="黑体" w:eastAsia="黑体"/>
          <w:b/>
          <w:color w:val="000000"/>
          <w:sz w:val="32"/>
          <w:szCs w:val="32"/>
        </w:rPr>
        <w:t>使用说明</w:t>
      </w:r>
    </w:p>
    <w:p>
      <w:pPr>
        <w:tabs>
          <w:tab w:val="left" w:pos="1080"/>
        </w:tabs>
        <w:spacing w:line="360" w:lineRule="auto"/>
        <w:ind w:firstLine="422" w:firstLineChars="200"/>
        <w:rPr>
          <w:b/>
          <w:color w:val="000000"/>
        </w:rPr>
      </w:pPr>
    </w:p>
    <w:p>
      <w:pPr>
        <w:tabs>
          <w:tab w:val="left" w:pos="1080"/>
        </w:tabs>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一、《广西壮族自治区房屋建筑和市政基础设施工程总承包招标文件范本》（</w:t>
      </w:r>
      <w:r>
        <w:rPr>
          <w:rFonts w:ascii="宋体" w:hAnsi="宋体"/>
          <w:color w:val="000000"/>
          <w:szCs w:val="21"/>
        </w:rPr>
        <w:t>2020</w:t>
      </w:r>
      <w:r>
        <w:rPr>
          <w:rFonts w:hint="eastAsia" w:ascii="宋体" w:hAnsi="宋体"/>
          <w:color w:val="000000"/>
          <w:szCs w:val="21"/>
        </w:rPr>
        <w:t>年版）（以下简称《工程总承包招标文件范本（</w:t>
      </w:r>
      <w:r>
        <w:rPr>
          <w:rFonts w:ascii="宋体" w:hAnsi="宋体"/>
          <w:color w:val="000000"/>
          <w:szCs w:val="21"/>
        </w:rPr>
        <w:t>2020</w:t>
      </w:r>
      <w:r>
        <w:rPr>
          <w:rFonts w:hint="eastAsia" w:ascii="宋体" w:hAnsi="宋体"/>
          <w:color w:val="000000"/>
          <w:szCs w:val="21"/>
        </w:rPr>
        <w:t>年版）》）适用于广西壮族自治区行政区域内依法必须进行招标的房屋建筑和市政基础设施工程的工程总承包项目招标。本《工程总承包招标文件范本（</w:t>
      </w:r>
      <w:r>
        <w:rPr>
          <w:rFonts w:ascii="宋体" w:hAnsi="宋体"/>
          <w:color w:val="000000"/>
          <w:szCs w:val="21"/>
        </w:rPr>
        <w:t>2020</w:t>
      </w:r>
      <w:r>
        <w:rPr>
          <w:rFonts w:hint="eastAsia" w:ascii="宋体" w:hAnsi="宋体"/>
          <w:color w:val="000000"/>
          <w:szCs w:val="21"/>
        </w:rPr>
        <w:t>年版）》中所指的工程总承包包括：工程设计、采购、施工或设计、施工等阶段实行总承包。</w:t>
      </w:r>
    </w:p>
    <w:p>
      <w:pPr>
        <w:spacing w:line="500" w:lineRule="exact"/>
        <w:ind w:firstLine="420" w:firstLineChars="200"/>
        <w:rPr>
          <w:rFonts w:ascii="宋体" w:hAnsi="宋体"/>
          <w:color w:val="000000"/>
          <w:szCs w:val="21"/>
        </w:rPr>
      </w:pPr>
      <w:r>
        <w:rPr>
          <w:rFonts w:hint="eastAsia" w:ascii="宋体" w:hAnsi="宋体"/>
          <w:color w:val="000000"/>
          <w:szCs w:val="21"/>
        </w:rPr>
        <w:t>二、《工程总承包招标文件范本（</w:t>
      </w:r>
      <w:r>
        <w:rPr>
          <w:rFonts w:ascii="宋体" w:hAnsi="宋体"/>
          <w:color w:val="000000"/>
          <w:szCs w:val="21"/>
        </w:rPr>
        <w:t>2020</w:t>
      </w:r>
      <w:r>
        <w:rPr>
          <w:rFonts w:hint="eastAsia" w:ascii="宋体" w:hAnsi="宋体"/>
          <w:color w:val="000000"/>
          <w:szCs w:val="21"/>
        </w:rPr>
        <w:t>年版）》用相同序号标示的章、节、条、款、项、目，供招标人和投标人选择使用；以空格标示的由招标人填写的内容，招标人应根据招标项目具体特点和实际需要具体化，确实没有需要填写的，在空格中用“/”标示。</w:t>
      </w:r>
    </w:p>
    <w:p>
      <w:pPr>
        <w:spacing w:line="500" w:lineRule="exact"/>
        <w:ind w:firstLine="420" w:firstLineChars="200"/>
        <w:rPr>
          <w:rFonts w:ascii="宋体" w:hAnsi="宋体"/>
          <w:color w:val="000000"/>
          <w:szCs w:val="21"/>
        </w:rPr>
      </w:pPr>
      <w:r>
        <w:rPr>
          <w:rFonts w:hint="eastAsia" w:ascii="宋体" w:hAnsi="宋体"/>
          <w:color w:val="000000"/>
          <w:szCs w:val="21"/>
        </w:rPr>
        <w:t>三、招标人按照《工程总承包招标文件范本（</w:t>
      </w:r>
      <w:r>
        <w:rPr>
          <w:rFonts w:ascii="宋体" w:hAnsi="宋体"/>
          <w:color w:val="000000"/>
          <w:szCs w:val="21"/>
        </w:rPr>
        <w:t>2020</w:t>
      </w:r>
      <w:r>
        <w:rPr>
          <w:rFonts w:hint="eastAsia" w:ascii="宋体" w:hAnsi="宋体"/>
          <w:color w:val="000000"/>
          <w:szCs w:val="21"/>
        </w:rPr>
        <w:t>年版）》第一章的格式发布招标公告或发出投标邀请书后，将实际发布的招标公告或实际发出的投标邀请书编入发</w:t>
      </w:r>
      <w:r>
        <w:rPr>
          <w:rFonts w:ascii="宋体" w:hAnsi="宋体"/>
          <w:color w:val="000000"/>
          <w:szCs w:val="21"/>
        </w:rPr>
        <w:t>布</w:t>
      </w:r>
      <w:r>
        <w:rPr>
          <w:rFonts w:hint="eastAsia" w:ascii="宋体" w:hAnsi="宋体"/>
          <w:color w:val="000000"/>
          <w:szCs w:val="21"/>
        </w:rPr>
        <w:t>的招标文件中，作为投标邀请。其中，招标公告应同时注明发布所在的所有媒介名称。</w:t>
      </w:r>
    </w:p>
    <w:p>
      <w:pPr>
        <w:spacing w:line="500" w:lineRule="exact"/>
        <w:ind w:firstLine="420" w:firstLineChars="200"/>
        <w:rPr>
          <w:rFonts w:ascii="宋体" w:hAnsi="宋体"/>
          <w:color w:val="000000"/>
          <w:szCs w:val="21"/>
        </w:rPr>
      </w:pPr>
      <w:r>
        <w:rPr>
          <w:rFonts w:hint="eastAsia" w:ascii="宋体" w:hAnsi="宋体"/>
          <w:color w:val="000000"/>
          <w:szCs w:val="21"/>
        </w:rPr>
        <w:t>四、《工程总承包招标文件范本（</w:t>
      </w:r>
      <w:r>
        <w:rPr>
          <w:rFonts w:ascii="宋体" w:hAnsi="宋体"/>
          <w:color w:val="000000"/>
          <w:szCs w:val="21"/>
        </w:rPr>
        <w:t>2020</w:t>
      </w:r>
      <w:r>
        <w:rPr>
          <w:rFonts w:hint="eastAsia" w:ascii="宋体" w:hAnsi="宋体"/>
          <w:color w:val="000000"/>
          <w:szCs w:val="21"/>
        </w:rPr>
        <w:t>年版）》第三章“评标办法”中各评审因素的评审标准、分值和权重等由招标人自主确定，但国务院有关部门对各评审因素的评审标准、分值和权重等有规定的，从其规定。第三章“评标办法”前附表应列明全部评审因素和评审标准，并在本章附录B载明投标人不满足要求即否决其投标的全部条款。</w:t>
      </w:r>
    </w:p>
    <w:p>
      <w:pPr>
        <w:spacing w:line="500" w:lineRule="exact"/>
        <w:ind w:firstLine="420" w:firstLineChars="200"/>
        <w:rPr>
          <w:rFonts w:hint="eastAsia" w:ascii="宋体" w:hAnsi="宋体"/>
          <w:color w:val="000000"/>
          <w:szCs w:val="21"/>
        </w:rPr>
      </w:pPr>
      <w:r>
        <w:rPr>
          <w:rFonts w:hint="eastAsia" w:ascii="宋体" w:hAnsi="宋体"/>
          <w:color w:val="000000"/>
          <w:szCs w:val="21"/>
        </w:rPr>
        <w:t>五、《工程总承包招标文件范本（2020年版）》第五章“发包人要求”由招标人根据招标项目具体特点和实际需要编制，并与“投标人须知”、“通用合同条款”、“专用合同条款”相衔接。</w:t>
      </w:r>
    </w:p>
    <w:p>
      <w:pPr>
        <w:spacing w:line="500" w:lineRule="exact"/>
        <w:ind w:firstLine="420" w:firstLineChars="200"/>
        <w:rPr>
          <w:rFonts w:ascii="宋体" w:hAnsi="宋体"/>
          <w:color w:val="000000"/>
          <w:szCs w:val="21"/>
        </w:rPr>
      </w:pPr>
      <w:r>
        <w:rPr>
          <w:rFonts w:hint="eastAsia" w:ascii="宋体" w:hAnsi="宋体"/>
          <w:color w:val="000000"/>
          <w:szCs w:val="21"/>
        </w:rPr>
        <w:t>六、采用电子招标投标的，招标人应按照国家有关规定，结合项目具体情况，在招标文件中载明相应要求。</w:t>
      </w:r>
    </w:p>
    <w:p>
      <w:pPr>
        <w:tabs>
          <w:tab w:val="left" w:pos="1080"/>
        </w:tabs>
        <w:spacing w:line="360" w:lineRule="auto"/>
        <w:ind w:firstLine="420" w:firstLineChars="200"/>
        <w:rPr>
          <w:rFonts w:ascii="宋体"/>
          <w:color w:val="000000"/>
          <w:szCs w:val="21"/>
        </w:rPr>
      </w:pPr>
      <w:r>
        <w:rPr>
          <w:rFonts w:hint="eastAsia" w:ascii="宋体" w:hAnsi="宋体"/>
          <w:color w:val="000000"/>
          <w:szCs w:val="21"/>
        </w:rPr>
        <w:t>七、《工程总承包招标文件范本（</w:t>
      </w:r>
      <w:r>
        <w:rPr>
          <w:rFonts w:ascii="宋体" w:hAnsi="宋体"/>
          <w:color w:val="000000"/>
          <w:szCs w:val="21"/>
        </w:rPr>
        <w:t>2020</w:t>
      </w:r>
      <w:r>
        <w:rPr>
          <w:rFonts w:hint="eastAsia" w:ascii="宋体" w:hAnsi="宋体"/>
          <w:color w:val="000000"/>
          <w:szCs w:val="21"/>
        </w:rPr>
        <w:t>年版）》将根据实际执行过程中出现的问题及时进行修改。《工程总承包招标文件范本（20</w:t>
      </w:r>
      <w:r>
        <w:rPr>
          <w:rFonts w:ascii="宋体" w:hAnsi="宋体"/>
          <w:color w:val="000000"/>
          <w:szCs w:val="21"/>
        </w:rPr>
        <w:t>20</w:t>
      </w:r>
      <w:r>
        <w:rPr>
          <w:rFonts w:hint="eastAsia" w:ascii="宋体" w:hAnsi="宋体"/>
          <w:color w:val="000000"/>
          <w:szCs w:val="21"/>
        </w:rPr>
        <w:t>年版）》不明确之处由广西壮族自治区住房和城乡建设厅负责解释。</w:t>
      </w:r>
    </w:p>
    <w:p>
      <w:pPr>
        <w:tabs>
          <w:tab w:val="left" w:pos="1080"/>
        </w:tabs>
        <w:spacing w:line="360" w:lineRule="auto"/>
        <w:ind w:firstLine="420" w:firstLineChars="200"/>
        <w:rPr>
          <w:rFonts w:ascii="宋体" w:hAnsi="宋体"/>
          <w:color w:val="000000"/>
          <w:szCs w:val="21"/>
        </w:rPr>
      </w:pPr>
      <w:r>
        <w:rPr>
          <w:rFonts w:hint="eastAsia" w:ascii="宋体" w:hAnsi="宋体"/>
          <w:color w:val="000000"/>
          <w:szCs w:val="21"/>
        </w:rPr>
        <w:t>联系电话： 0771-2260298，电子邮箱：gxjstjgc@126.com。</w:t>
      </w:r>
    </w:p>
    <w:p>
      <w:pPr>
        <w:tabs>
          <w:tab w:val="left" w:pos="1080"/>
        </w:tabs>
        <w:spacing w:line="360" w:lineRule="auto"/>
        <w:ind w:firstLine="420" w:firstLineChars="200"/>
        <w:rPr>
          <w:rFonts w:hint="eastAsia" w:ascii="宋体" w:hAnsi="宋体"/>
          <w:b/>
          <w:color w:val="000000"/>
          <w:sz w:val="32"/>
          <w:szCs w:val="32"/>
        </w:rPr>
      </w:pPr>
      <w:r>
        <w:rPr>
          <w:rFonts w:ascii="宋体" w:hAnsi="宋体"/>
          <w:color w:val="000000"/>
          <w:szCs w:val="21"/>
        </w:rPr>
        <w:br w:type="page"/>
      </w:r>
      <w:r>
        <w:rPr>
          <w:rFonts w:hint="eastAsia" w:ascii="宋体" w:hAnsi="宋体"/>
          <w:color w:val="000000"/>
          <w:szCs w:val="21"/>
        </w:rPr>
        <w:t xml:space="preserve">                                    </w:t>
      </w:r>
      <w:r>
        <w:rPr>
          <w:rFonts w:hint="eastAsia" w:ascii="宋体" w:hAnsi="宋体"/>
          <w:b/>
          <w:color w:val="000000"/>
          <w:sz w:val="32"/>
          <w:szCs w:val="32"/>
        </w:rPr>
        <w:t xml:space="preserve"> 目  录</w:t>
      </w:r>
    </w:p>
    <w:p>
      <w:pPr>
        <w:pStyle w:val="55"/>
        <w:tabs>
          <w:tab w:val="right" w:leader="dot" w:pos="9629"/>
        </w:tabs>
        <w:rPr>
          <w:rFonts w:ascii="Calibri" w:hAnsi="Calibri"/>
          <w:b w:val="0"/>
          <w:bCs w:val="0"/>
          <w:caps w:val="0"/>
          <w:sz w:val="21"/>
          <w:szCs w:val="22"/>
          <w:lang/>
        </w:rPr>
      </w:pPr>
      <w:r>
        <w:rPr>
          <w:rFonts w:ascii="宋体" w:hAnsi="宋体"/>
          <w:b w:val="0"/>
          <w:color w:val="000000"/>
          <w:sz w:val="24"/>
          <w:szCs w:val="24"/>
        </w:rPr>
        <w:fldChar w:fldCharType="begin"/>
      </w:r>
      <w:r>
        <w:rPr>
          <w:rFonts w:ascii="宋体" w:hAnsi="宋体"/>
          <w:b w:val="0"/>
          <w:color w:val="000000"/>
          <w:sz w:val="24"/>
          <w:szCs w:val="24"/>
        </w:rPr>
        <w:instrText xml:space="preserve"> </w:instrText>
      </w:r>
      <w:r>
        <w:rPr>
          <w:rFonts w:hint="eastAsia" w:ascii="宋体" w:hAnsi="宋体"/>
          <w:b w:val="0"/>
          <w:color w:val="000000"/>
          <w:sz w:val="24"/>
          <w:szCs w:val="24"/>
        </w:rPr>
        <w:instrText xml:space="preserve">TOC \o "1-3" \h \z \u</w:instrText>
      </w:r>
      <w:r>
        <w:rPr>
          <w:rFonts w:ascii="宋体" w:hAnsi="宋体"/>
          <w:b w:val="0"/>
          <w:color w:val="000000"/>
          <w:sz w:val="24"/>
          <w:szCs w:val="24"/>
        </w:rPr>
        <w:instrText xml:space="preserve"> </w:instrText>
      </w:r>
      <w:r>
        <w:rPr>
          <w:rFonts w:ascii="宋体" w:hAnsi="宋体"/>
          <w:b w:val="0"/>
          <w:color w:val="000000"/>
          <w:sz w:val="24"/>
          <w:szCs w:val="24"/>
        </w:rPr>
        <w:fldChar w:fldCharType="separate"/>
      </w:r>
      <w:r>
        <w:rPr>
          <w:rStyle w:val="97"/>
          <w:lang/>
        </w:rPr>
        <w:fldChar w:fldCharType="begin"/>
      </w:r>
      <w:r>
        <w:rPr>
          <w:rStyle w:val="97"/>
          <w:lang/>
        </w:rPr>
        <w:instrText xml:space="preserve"> </w:instrText>
      </w:r>
      <w:r>
        <w:rPr>
          <w:lang/>
        </w:rPr>
        <w:instrText xml:space="preserve">HYPERLINK \l "_Toc59202979"</w:instrText>
      </w:r>
      <w:r>
        <w:rPr>
          <w:rStyle w:val="97"/>
          <w:lang/>
        </w:rPr>
        <w:instrText xml:space="preserve"> </w:instrText>
      </w:r>
      <w:r>
        <w:rPr>
          <w:rStyle w:val="97"/>
          <w:lang/>
        </w:rPr>
        <w:fldChar w:fldCharType="separate"/>
      </w:r>
      <w:r>
        <w:rPr>
          <w:rStyle w:val="97"/>
          <w:rFonts w:hint="eastAsia"/>
          <w:lang/>
        </w:rPr>
        <w:t>第一章</w:t>
      </w:r>
      <w:r>
        <w:rPr>
          <w:rStyle w:val="97"/>
          <w:lang/>
        </w:rPr>
        <w:t xml:space="preserve">  </w:t>
      </w:r>
      <w:r>
        <w:rPr>
          <w:rStyle w:val="97"/>
          <w:rFonts w:hint="eastAsia"/>
          <w:lang/>
        </w:rPr>
        <w:t>招标公告</w:t>
      </w:r>
      <w:r>
        <w:rPr>
          <w:lang/>
        </w:rPr>
        <w:tab/>
      </w:r>
      <w:r>
        <w:rPr>
          <w:lang/>
        </w:rPr>
        <w:fldChar w:fldCharType="begin"/>
      </w:r>
      <w:r>
        <w:rPr>
          <w:lang/>
        </w:rPr>
        <w:instrText xml:space="preserve"> PAGEREF _Toc59202979 \h </w:instrText>
      </w:r>
      <w:r>
        <w:rPr>
          <w:lang/>
        </w:rPr>
        <w:fldChar w:fldCharType="separate"/>
      </w:r>
      <w:r>
        <w:rPr>
          <w:lang/>
        </w:rPr>
        <w:t>8</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"_Toc59202980"</w:instrText>
      </w:r>
      <w:r>
        <w:rPr>
          <w:rStyle w:val="97"/>
          <w:lang/>
        </w:rPr>
        <w:instrText xml:space="preserve"> </w:instrText>
      </w:r>
      <w:r>
        <w:rPr>
          <w:rStyle w:val="97"/>
          <w:lang/>
        </w:rPr>
        <w:fldChar w:fldCharType="separate"/>
      </w:r>
      <w:r>
        <w:rPr>
          <w:rStyle w:val="97"/>
          <w:rFonts w:ascii="宋体" w:hAnsi="宋体"/>
          <w:lang/>
        </w:rPr>
        <w:t xml:space="preserve">1. </w:t>
      </w:r>
      <w:r>
        <w:rPr>
          <w:rStyle w:val="97"/>
          <w:rFonts w:hint="eastAsia" w:ascii="宋体" w:hAnsi="宋体"/>
          <w:lang/>
        </w:rPr>
        <w:t>招标条件</w:t>
      </w:r>
      <w:r>
        <w:rPr>
          <w:lang/>
        </w:rPr>
        <w:tab/>
      </w:r>
      <w:r>
        <w:rPr>
          <w:lang/>
        </w:rPr>
        <w:fldChar w:fldCharType="begin"/>
      </w:r>
      <w:r>
        <w:rPr>
          <w:lang/>
        </w:rPr>
        <w:instrText xml:space="preserve"> PAGEREF _Toc59202980 \h </w:instrText>
      </w:r>
      <w:r>
        <w:rPr>
          <w:lang/>
        </w:rPr>
        <w:fldChar w:fldCharType="separate"/>
      </w:r>
      <w:r>
        <w:rPr>
          <w:lang/>
        </w:rPr>
        <w:t>8</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"_Toc59202981"</w:instrText>
      </w:r>
      <w:r>
        <w:rPr>
          <w:rStyle w:val="97"/>
          <w:lang/>
        </w:rPr>
        <w:instrText xml:space="preserve"> </w:instrText>
      </w:r>
      <w:r>
        <w:rPr>
          <w:rStyle w:val="97"/>
          <w:lang/>
        </w:rPr>
        <w:fldChar w:fldCharType="separate"/>
      </w:r>
      <w:r>
        <w:rPr>
          <w:rStyle w:val="97"/>
          <w:rFonts w:ascii="宋体" w:hAnsi="宋体"/>
          <w:lang/>
        </w:rPr>
        <w:t xml:space="preserve">2. </w:t>
      </w:r>
      <w:r>
        <w:rPr>
          <w:rStyle w:val="97"/>
          <w:rFonts w:hint="eastAsia" w:ascii="宋体" w:hAnsi="宋体"/>
          <w:lang/>
        </w:rPr>
        <w:t>项目概况与招标范围</w:t>
      </w:r>
      <w:r>
        <w:rPr>
          <w:lang/>
        </w:rPr>
        <w:tab/>
      </w:r>
      <w:r>
        <w:rPr>
          <w:lang/>
        </w:rPr>
        <w:fldChar w:fldCharType="begin"/>
      </w:r>
      <w:r>
        <w:rPr>
          <w:lang/>
        </w:rPr>
        <w:instrText xml:space="preserve"> PAGEREF _Toc59202981 \h </w:instrText>
      </w:r>
      <w:r>
        <w:rPr>
          <w:lang/>
        </w:rPr>
        <w:fldChar w:fldCharType="separate"/>
      </w:r>
      <w:r>
        <w:rPr>
          <w:lang/>
        </w:rPr>
        <w:t>8</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"_Toc59202982"</w:instrText>
      </w:r>
      <w:r>
        <w:rPr>
          <w:rStyle w:val="97"/>
          <w:lang/>
        </w:rPr>
        <w:instrText xml:space="preserve"> </w:instrText>
      </w:r>
      <w:r>
        <w:rPr>
          <w:rStyle w:val="97"/>
          <w:lang/>
        </w:rPr>
        <w:fldChar w:fldCharType="separate"/>
      </w:r>
      <w:r>
        <w:rPr>
          <w:rStyle w:val="97"/>
          <w:rFonts w:ascii="宋体" w:hAnsi="宋体"/>
          <w:lang/>
        </w:rPr>
        <w:t xml:space="preserve">3. </w:t>
      </w:r>
      <w:r>
        <w:rPr>
          <w:rStyle w:val="97"/>
          <w:rFonts w:hint="eastAsia" w:ascii="宋体" w:hAnsi="宋体"/>
          <w:lang/>
        </w:rPr>
        <w:t>投标人资格要求</w:t>
      </w:r>
      <w:r>
        <w:rPr>
          <w:lang/>
        </w:rPr>
        <w:tab/>
      </w:r>
      <w:r>
        <w:rPr>
          <w:lang/>
        </w:rPr>
        <w:fldChar w:fldCharType="begin"/>
      </w:r>
      <w:r>
        <w:rPr>
          <w:lang/>
        </w:rPr>
        <w:instrText xml:space="preserve"> PAGEREF _Toc59202982 \h </w:instrText>
      </w:r>
      <w:r>
        <w:rPr>
          <w:lang/>
        </w:rPr>
        <w:fldChar w:fldCharType="separate"/>
      </w:r>
      <w:r>
        <w:rPr>
          <w:lang/>
        </w:rPr>
        <w:t>8</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"_Toc59202983"</w:instrText>
      </w:r>
      <w:r>
        <w:rPr>
          <w:rStyle w:val="97"/>
          <w:lang/>
        </w:rPr>
        <w:instrText xml:space="preserve"> </w:instrText>
      </w:r>
      <w:r>
        <w:rPr>
          <w:rStyle w:val="97"/>
          <w:lang/>
        </w:rPr>
        <w:fldChar w:fldCharType="separate"/>
      </w:r>
      <w:r>
        <w:rPr>
          <w:rStyle w:val="97"/>
          <w:rFonts w:ascii="宋体" w:hAnsi="宋体"/>
          <w:lang/>
        </w:rPr>
        <w:t xml:space="preserve">4. </w:t>
      </w:r>
      <w:r>
        <w:rPr>
          <w:rStyle w:val="97"/>
          <w:rFonts w:hint="eastAsia" w:ascii="宋体" w:hAnsi="宋体"/>
          <w:lang/>
        </w:rPr>
        <w:t>招标文件的获取</w:t>
      </w:r>
      <w:r>
        <w:rPr>
          <w:lang/>
        </w:rPr>
        <w:tab/>
      </w:r>
      <w:r>
        <w:rPr>
          <w:lang/>
        </w:rPr>
        <w:fldChar w:fldCharType="begin"/>
      </w:r>
      <w:r>
        <w:rPr>
          <w:lang/>
        </w:rPr>
        <w:instrText xml:space="preserve"> PAGEREF _Toc59202983 \h </w:instrText>
      </w:r>
      <w:r>
        <w:rPr>
          <w:lang/>
        </w:rPr>
        <w:fldChar w:fldCharType="separate"/>
      </w:r>
      <w:r>
        <w:rPr>
          <w:lang/>
        </w:rPr>
        <w:t>9</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"_Toc59202984"</w:instrText>
      </w:r>
      <w:r>
        <w:rPr>
          <w:rStyle w:val="97"/>
          <w:lang/>
        </w:rPr>
        <w:instrText xml:space="preserve"> </w:instrText>
      </w:r>
      <w:r>
        <w:rPr>
          <w:rStyle w:val="97"/>
          <w:lang/>
        </w:rPr>
        <w:fldChar w:fldCharType="separate"/>
      </w:r>
      <w:r>
        <w:rPr>
          <w:rStyle w:val="97"/>
          <w:rFonts w:ascii="宋体" w:hAnsi="宋体"/>
          <w:lang/>
        </w:rPr>
        <w:t xml:space="preserve">5. </w:t>
      </w:r>
      <w:r>
        <w:rPr>
          <w:rStyle w:val="97"/>
          <w:rFonts w:hint="eastAsia" w:ascii="宋体" w:hAnsi="宋体"/>
          <w:lang/>
        </w:rPr>
        <w:t>投标文件的递交</w:t>
      </w:r>
      <w:r>
        <w:rPr>
          <w:lang/>
        </w:rPr>
        <w:tab/>
      </w:r>
      <w:r>
        <w:rPr>
          <w:lang/>
        </w:rPr>
        <w:fldChar w:fldCharType="begin"/>
      </w:r>
      <w:r>
        <w:rPr>
          <w:lang/>
        </w:rPr>
        <w:instrText xml:space="preserve"> PAGEREF _Toc59202984 \h </w:instrText>
      </w:r>
      <w:r>
        <w:rPr>
          <w:lang/>
        </w:rPr>
        <w:fldChar w:fldCharType="separate"/>
      </w:r>
      <w:r>
        <w:rPr>
          <w:lang/>
        </w:rPr>
        <w:t>10</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"_Toc59202985"</w:instrText>
      </w:r>
      <w:r>
        <w:rPr>
          <w:rStyle w:val="97"/>
          <w:lang/>
        </w:rPr>
        <w:instrText xml:space="preserve"> </w:instrText>
      </w:r>
      <w:r>
        <w:rPr>
          <w:rStyle w:val="97"/>
          <w:lang/>
        </w:rPr>
        <w:fldChar w:fldCharType="separate"/>
      </w:r>
      <w:r>
        <w:rPr>
          <w:rStyle w:val="97"/>
          <w:rFonts w:ascii="宋体" w:hAnsi="宋体"/>
          <w:lang/>
        </w:rPr>
        <w:t>6.</w:t>
      </w:r>
      <w:r>
        <w:rPr>
          <w:rStyle w:val="97"/>
          <w:lang/>
        </w:rPr>
        <w:t xml:space="preserve"> </w:t>
      </w:r>
      <w:r>
        <w:rPr>
          <w:rStyle w:val="97"/>
          <w:rFonts w:hint="eastAsia" w:ascii="宋体" w:hAnsi="宋体"/>
          <w:lang/>
        </w:rPr>
        <w:t>预付款和进度款支付方式</w:t>
      </w:r>
      <w:r>
        <w:rPr>
          <w:lang/>
        </w:rPr>
        <w:tab/>
      </w:r>
      <w:r>
        <w:rPr>
          <w:lang/>
        </w:rPr>
        <w:fldChar w:fldCharType="begin"/>
      </w:r>
      <w:r>
        <w:rPr>
          <w:lang/>
        </w:rPr>
        <w:instrText xml:space="preserve"> PAGEREF _Toc59202985 \h </w:instrText>
      </w:r>
      <w:r>
        <w:rPr>
          <w:lang/>
        </w:rPr>
        <w:fldChar w:fldCharType="separate"/>
      </w:r>
      <w:r>
        <w:rPr>
          <w:lang/>
        </w:rPr>
        <w:t>10</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"_Toc59202986"</w:instrText>
      </w:r>
      <w:r>
        <w:rPr>
          <w:rStyle w:val="97"/>
          <w:lang/>
        </w:rPr>
        <w:instrText xml:space="preserve"> </w:instrText>
      </w:r>
      <w:r>
        <w:rPr>
          <w:rStyle w:val="97"/>
          <w:lang/>
        </w:rPr>
        <w:fldChar w:fldCharType="separate"/>
      </w:r>
      <w:r>
        <w:rPr>
          <w:rStyle w:val="97"/>
          <w:rFonts w:ascii="宋体" w:hAnsi="宋体"/>
          <w:lang/>
        </w:rPr>
        <w:t xml:space="preserve">7. </w:t>
      </w:r>
      <w:r>
        <w:rPr>
          <w:rStyle w:val="97"/>
          <w:rFonts w:hint="eastAsia" w:ascii="宋体" w:hAnsi="宋体"/>
          <w:lang/>
        </w:rPr>
        <w:t>发布公告的媒介</w:t>
      </w:r>
      <w:r>
        <w:rPr>
          <w:lang/>
        </w:rPr>
        <w:tab/>
      </w:r>
      <w:r>
        <w:rPr>
          <w:lang/>
        </w:rPr>
        <w:fldChar w:fldCharType="begin"/>
      </w:r>
      <w:r>
        <w:rPr>
          <w:lang/>
        </w:rPr>
        <w:instrText xml:space="preserve"> PAGEREF _Toc59202986 \h </w:instrText>
      </w:r>
      <w:r>
        <w:rPr>
          <w:lang/>
        </w:rPr>
        <w:fldChar w:fldCharType="separate"/>
      </w:r>
      <w:r>
        <w:rPr>
          <w:lang/>
        </w:rPr>
        <w:t>10</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"_Toc59202987"</w:instrText>
      </w:r>
      <w:r>
        <w:rPr>
          <w:rStyle w:val="97"/>
          <w:lang/>
        </w:rPr>
        <w:instrText xml:space="preserve"> </w:instrText>
      </w:r>
      <w:r>
        <w:rPr>
          <w:rStyle w:val="97"/>
          <w:lang/>
        </w:rPr>
        <w:fldChar w:fldCharType="separate"/>
      </w:r>
      <w:r>
        <w:rPr>
          <w:rStyle w:val="97"/>
          <w:rFonts w:ascii="宋体" w:hAnsi="宋体"/>
          <w:lang/>
        </w:rPr>
        <w:t xml:space="preserve">8. </w:t>
      </w:r>
      <w:r>
        <w:rPr>
          <w:rStyle w:val="97"/>
          <w:rFonts w:hint="eastAsia" w:ascii="宋体" w:hAnsi="宋体"/>
          <w:lang/>
        </w:rPr>
        <w:t>交易服务单位</w:t>
      </w:r>
      <w:r>
        <w:rPr>
          <w:lang/>
        </w:rPr>
        <w:tab/>
      </w:r>
      <w:r>
        <w:rPr>
          <w:lang/>
        </w:rPr>
        <w:fldChar w:fldCharType="begin"/>
      </w:r>
      <w:r>
        <w:rPr>
          <w:lang/>
        </w:rPr>
        <w:instrText xml:space="preserve"> PAGEREF _Toc59202987 \h </w:instrText>
      </w:r>
      <w:r>
        <w:rPr>
          <w:lang/>
        </w:rPr>
        <w:fldChar w:fldCharType="separate"/>
      </w:r>
      <w:r>
        <w:rPr>
          <w:lang/>
        </w:rPr>
        <w:t>10</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"_Toc59202988"</w:instrText>
      </w:r>
      <w:r>
        <w:rPr>
          <w:rStyle w:val="97"/>
          <w:lang/>
        </w:rPr>
        <w:instrText xml:space="preserve"> </w:instrText>
      </w:r>
      <w:r>
        <w:rPr>
          <w:rStyle w:val="97"/>
          <w:lang/>
        </w:rPr>
        <w:fldChar w:fldCharType="separate"/>
      </w:r>
      <w:r>
        <w:rPr>
          <w:rStyle w:val="97"/>
          <w:rFonts w:ascii="宋体" w:hAnsi="宋体"/>
          <w:lang/>
        </w:rPr>
        <w:t xml:space="preserve">9. </w:t>
      </w:r>
      <w:r>
        <w:rPr>
          <w:rStyle w:val="97"/>
          <w:rFonts w:hint="eastAsia" w:ascii="宋体" w:hAnsi="宋体"/>
          <w:lang/>
        </w:rPr>
        <w:t>监督部门及电话</w:t>
      </w:r>
      <w:r>
        <w:rPr>
          <w:lang/>
        </w:rPr>
        <w:tab/>
      </w:r>
      <w:r>
        <w:rPr>
          <w:lang/>
        </w:rPr>
        <w:fldChar w:fldCharType="begin"/>
      </w:r>
      <w:r>
        <w:rPr>
          <w:lang/>
        </w:rPr>
        <w:instrText xml:space="preserve"> PAGEREF _Toc59202988 \h </w:instrText>
      </w:r>
      <w:r>
        <w:rPr>
          <w:lang/>
        </w:rPr>
        <w:fldChar w:fldCharType="separate"/>
      </w:r>
      <w:r>
        <w:rPr>
          <w:lang/>
        </w:rPr>
        <w:t>10</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"_Toc59202989"</w:instrText>
      </w:r>
      <w:r>
        <w:rPr>
          <w:rStyle w:val="97"/>
          <w:lang/>
        </w:rPr>
        <w:instrText xml:space="preserve"> </w:instrText>
      </w:r>
      <w:r>
        <w:rPr>
          <w:rStyle w:val="97"/>
          <w:lang/>
        </w:rPr>
        <w:fldChar w:fldCharType="separate"/>
      </w:r>
      <w:r>
        <w:rPr>
          <w:rStyle w:val="97"/>
          <w:rFonts w:ascii="宋体" w:hAnsi="宋体"/>
          <w:lang/>
        </w:rPr>
        <w:t xml:space="preserve">10. </w:t>
      </w:r>
      <w:r>
        <w:rPr>
          <w:rStyle w:val="97"/>
          <w:rFonts w:hint="eastAsia" w:ascii="宋体" w:hAnsi="宋体"/>
          <w:lang/>
        </w:rPr>
        <w:t>注意事项</w:t>
      </w:r>
      <w:r>
        <w:rPr>
          <w:lang/>
        </w:rPr>
        <w:tab/>
      </w:r>
      <w:r>
        <w:rPr>
          <w:lang/>
        </w:rPr>
        <w:fldChar w:fldCharType="begin"/>
      </w:r>
      <w:r>
        <w:rPr>
          <w:lang/>
        </w:rPr>
        <w:instrText xml:space="preserve"> PAGEREF _Toc59202989 \h </w:instrText>
      </w:r>
      <w:r>
        <w:rPr>
          <w:lang/>
        </w:rPr>
        <w:fldChar w:fldCharType="separate"/>
      </w:r>
      <w:r>
        <w:rPr>
          <w:lang/>
        </w:rPr>
        <w:t>10</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"_Toc59202990"</w:instrText>
      </w:r>
      <w:r>
        <w:rPr>
          <w:rStyle w:val="97"/>
          <w:lang/>
        </w:rPr>
        <w:instrText xml:space="preserve"> </w:instrText>
      </w:r>
      <w:r>
        <w:rPr>
          <w:rStyle w:val="97"/>
          <w:lang/>
        </w:rPr>
        <w:fldChar w:fldCharType="separate"/>
      </w:r>
      <w:r>
        <w:rPr>
          <w:rStyle w:val="97"/>
          <w:rFonts w:ascii="宋体" w:hAnsi="宋体"/>
          <w:lang/>
        </w:rPr>
        <w:t xml:space="preserve">11. </w:t>
      </w:r>
      <w:r>
        <w:rPr>
          <w:rStyle w:val="97"/>
          <w:rFonts w:hint="eastAsia" w:ascii="宋体" w:hAnsi="宋体"/>
          <w:lang/>
        </w:rPr>
        <w:t>联系方式</w:t>
      </w:r>
      <w:r>
        <w:rPr>
          <w:lang/>
        </w:rPr>
        <w:tab/>
      </w:r>
      <w:r>
        <w:rPr>
          <w:lang/>
        </w:rPr>
        <w:fldChar w:fldCharType="begin"/>
      </w:r>
      <w:r>
        <w:rPr>
          <w:lang/>
        </w:rPr>
        <w:instrText xml:space="preserve"> PAGEREF _Toc59202990 \h </w:instrText>
      </w:r>
      <w:r>
        <w:rPr>
          <w:lang/>
        </w:rPr>
        <w:fldChar w:fldCharType="separate"/>
      </w:r>
      <w:r>
        <w:rPr>
          <w:lang/>
        </w:rPr>
        <w:t>11</w:t>
      </w:r>
      <w:r>
        <w:rPr>
          <w:lang/>
        </w:rPr>
        <w:fldChar w:fldCharType="end"/>
      </w:r>
      <w:r>
        <w:rPr>
          <w:rStyle w:val="97"/>
          <w:lang/>
        </w:rPr>
        <w:fldChar w:fldCharType="end"/>
      </w:r>
    </w:p>
    <w:p>
      <w:pPr>
        <w:pStyle w:val="55"/>
        <w:tabs>
          <w:tab w:val="right" w:leader="dot" w:pos="9629"/>
        </w:tabs>
        <w:rPr>
          <w:rFonts w:ascii="Calibri" w:hAnsi="Calibri"/>
          <w:b w:val="0"/>
          <w:bCs w:val="0"/>
          <w:caps w:val="0"/>
          <w:sz w:val="21"/>
          <w:szCs w:val="22"/>
          <w:lang/>
        </w:rPr>
      </w:pPr>
      <w:r>
        <w:rPr>
          <w:rStyle w:val="97"/>
          <w:lang/>
        </w:rPr>
        <w:fldChar w:fldCharType="begin"/>
      </w:r>
      <w:r>
        <w:rPr>
          <w:rStyle w:val="97"/>
          <w:lang/>
        </w:rPr>
        <w:instrText xml:space="preserve"> </w:instrText>
      </w:r>
      <w:r>
        <w:rPr>
          <w:lang/>
        </w:rPr>
        <w:instrText xml:space="preserve">HYPERLINK \l "_Toc59202991"</w:instrText>
      </w:r>
      <w:r>
        <w:rPr>
          <w:rStyle w:val="97"/>
          <w:lang/>
        </w:rPr>
        <w:instrText xml:space="preserve"> </w:instrText>
      </w:r>
      <w:r>
        <w:rPr>
          <w:rStyle w:val="97"/>
          <w:lang/>
        </w:rPr>
        <w:fldChar w:fldCharType="separate"/>
      </w:r>
      <w:r>
        <w:rPr>
          <w:rStyle w:val="97"/>
          <w:rFonts w:hint="eastAsia"/>
          <w:lang/>
        </w:rPr>
        <w:t>第一章</w:t>
      </w:r>
      <w:r>
        <w:rPr>
          <w:rStyle w:val="97"/>
          <w:lang/>
        </w:rPr>
        <w:t xml:space="preserve">  </w:t>
      </w:r>
      <w:r>
        <w:rPr>
          <w:rStyle w:val="97"/>
          <w:rFonts w:hint="eastAsia"/>
          <w:lang/>
        </w:rPr>
        <w:t>投标邀请书（适用于邀请招标）</w:t>
      </w:r>
      <w:r>
        <w:rPr>
          <w:lang/>
        </w:rPr>
        <w:tab/>
      </w:r>
      <w:r>
        <w:rPr>
          <w:lang/>
        </w:rPr>
        <w:fldChar w:fldCharType="begin"/>
      </w:r>
      <w:r>
        <w:rPr>
          <w:lang/>
        </w:rPr>
        <w:instrText xml:space="preserve"> PAGEREF _Toc59202991 \h </w:instrText>
      </w:r>
      <w:r>
        <w:rPr>
          <w:lang/>
        </w:rPr>
        <w:fldChar w:fldCharType="separate"/>
      </w:r>
      <w:r>
        <w:rPr>
          <w:lang/>
        </w:rPr>
        <w:t>12</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"_Toc59202992"</w:instrText>
      </w:r>
      <w:r>
        <w:rPr>
          <w:rStyle w:val="97"/>
          <w:lang/>
        </w:rPr>
        <w:instrText xml:space="preserve"> </w:instrText>
      </w:r>
      <w:r>
        <w:rPr>
          <w:rStyle w:val="97"/>
          <w:lang/>
        </w:rPr>
        <w:fldChar w:fldCharType="separate"/>
      </w:r>
      <w:r>
        <w:rPr>
          <w:rStyle w:val="97"/>
          <w:rFonts w:ascii="宋体" w:hAnsi="宋体"/>
          <w:lang/>
        </w:rPr>
        <w:t xml:space="preserve">1. </w:t>
      </w:r>
      <w:r>
        <w:rPr>
          <w:rStyle w:val="97"/>
          <w:rFonts w:hint="eastAsia" w:ascii="宋体" w:hAnsi="宋体"/>
          <w:lang/>
        </w:rPr>
        <w:t>招标条件</w:t>
      </w:r>
      <w:r>
        <w:rPr>
          <w:lang/>
        </w:rPr>
        <w:tab/>
      </w:r>
      <w:r>
        <w:rPr>
          <w:lang/>
        </w:rPr>
        <w:fldChar w:fldCharType="begin"/>
      </w:r>
      <w:r>
        <w:rPr>
          <w:lang/>
        </w:rPr>
        <w:instrText xml:space="preserve"> PAGEREF _Toc59202992 \h </w:instrText>
      </w:r>
      <w:r>
        <w:rPr>
          <w:lang/>
        </w:rPr>
        <w:fldChar w:fldCharType="separate"/>
      </w:r>
      <w:r>
        <w:rPr>
          <w:lang/>
        </w:rPr>
        <w:t>12</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"_Toc59202993"</w:instrText>
      </w:r>
      <w:r>
        <w:rPr>
          <w:rStyle w:val="97"/>
          <w:lang/>
        </w:rPr>
        <w:instrText xml:space="preserve"> </w:instrText>
      </w:r>
      <w:r>
        <w:rPr>
          <w:rStyle w:val="97"/>
          <w:lang/>
        </w:rPr>
        <w:fldChar w:fldCharType="separate"/>
      </w:r>
      <w:r>
        <w:rPr>
          <w:rStyle w:val="97"/>
          <w:rFonts w:ascii="宋体" w:hAnsi="宋体"/>
          <w:lang/>
        </w:rPr>
        <w:t xml:space="preserve">2. </w:t>
      </w:r>
      <w:r>
        <w:rPr>
          <w:rStyle w:val="97"/>
          <w:rFonts w:hint="eastAsia" w:ascii="宋体" w:hAnsi="宋体"/>
          <w:lang/>
        </w:rPr>
        <w:t>项目概况与招标范围</w:t>
      </w:r>
      <w:r>
        <w:rPr>
          <w:lang/>
        </w:rPr>
        <w:tab/>
      </w:r>
      <w:r>
        <w:rPr>
          <w:lang/>
        </w:rPr>
        <w:fldChar w:fldCharType="begin"/>
      </w:r>
      <w:r>
        <w:rPr>
          <w:lang/>
        </w:rPr>
        <w:instrText xml:space="preserve"> PAGEREF _Toc59202993 \h </w:instrText>
      </w:r>
      <w:r>
        <w:rPr>
          <w:lang/>
        </w:rPr>
        <w:fldChar w:fldCharType="separate"/>
      </w:r>
      <w:r>
        <w:rPr>
          <w:lang/>
        </w:rPr>
        <w:t>12</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"_Toc59202994"</w:instrText>
      </w:r>
      <w:r>
        <w:rPr>
          <w:rStyle w:val="97"/>
          <w:lang/>
        </w:rPr>
        <w:instrText xml:space="preserve"> </w:instrText>
      </w:r>
      <w:r>
        <w:rPr>
          <w:rStyle w:val="97"/>
          <w:lang/>
        </w:rPr>
        <w:fldChar w:fldCharType="separate"/>
      </w:r>
      <w:r>
        <w:rPr>
          <w:rStyle w:val="97"/>
          <w:rFonts w:ascii="宋体" w:hAnsi="宋体"/>
          <w:lang/>
        </w:rPr>
        <w:t xml:space="preserve">3. </w:t>
      </w:r>
      <w:r>
        <w:rPr>
          <w:rStyle w:val="97"/>
          <w:rFonts w:hint="eastAsia" w:ascii="宋体" w:hAnsi="宋体"/>
          <w:lang/>
        </w:rPr>
        <w:t>投标人资格要求</w:t>
      </w:r>
      <w:r>
        <w:rPr>
          <w:lang/>
        </w:rPr>
        <w:tab/>
      </w:r>
      <w:r>
        <w:rPr>
          <w:lang/>
        </w:rPr>
        <w:fldChar w:fldCharType="begin"/>
      </w:r>
      <w:r>
        <w:rPr>
          <w:lang/>
        </w:rPr>
        <w:instrText xml:space="preserve"> PAGEREF _Toc59202994 \h </w:instrText>
      </w:r>
      <w:r>
        <w:rPr>
          <w:lang/>
        </w:rPr>
        <w:fldChar w:fldCharType="separate"/>
      </w:r>
      <w:r>
        <w:rPr>
          <w:lang/>
        </w:rPr>
        <w:t>12</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"_Toc59202995"</w:instrText>
      </w:r>
      <w:r>
        <w:rPr>
          <w:rStyle w:val="97"/>
          <w:lang/>
        </w:rPr>
        <w:instrText xml:space="preserve"> </w:instrText>
      </w:r>
      <w:r>
        <w:rPr>
          <w:rStyle w:val="97"/>
          <w:lang/>
        </w:rPr>
        <w:fldChar w:fldCharType="separate"/>
      </w:r>
      <w:r>
        <w:rPr>
          <w:rStyle w:val="97"/>
          <w:rFonts w:ascii="宋体" w:hAnsi="宋体"/>
          <w:lang/>
        </w:rPr>
        <w:t xml:space="preserve">4. </w:t>
      </w:r>
      <w:r>
        <w:rPr>
          <w:rStyle w:val="97"/>
          <w:rFonts w:hint="eastAsia" w:ascii="宋体" w:hAnsi="宋体"/>
          <w:lang/>
        </w:rPr>
        <w:t>招标文件的获取</w:t>
      </w:r>
      <w:r>
        <w:rPr>
          <w:lang/>
        </w:rPr>
        <w:tab/>
      </w:r>
      <w:r>
        <w:rPr>
          <w:lang/>
        </w:rPr>
        <w:fldChar w:fldCharType="begin"/>
      </w:r>
      <w:r>
        <w:rPr>
          <w:lang/>
        </w:rPr>
        <w:instrText xml:space="preserve"> PAGEREF _Toc59202995 \h </w:instrText>
      </w:r>
      <w:r>
        <w:rPr>
          <w:lang/>
        </w:rPr>
        <w:fldChar w:fldCharType="separate"/>
      </w:r>
      <w:r>
        <w:rPr>
          <w:lang/>
        </w:rPr>
        <w:t>13</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"_Toc59202996"</w:instrText>
      </w:r>
      <w:r>
        <w:rPr>
          <w:rStyle w:val="97"/>
          <w:lang/>
        </w:rPr>
        <w:instrText xml:space="preserve"> </w:instrText>
      </w:r>
      <w:r>
        <w:rPr>
          <w:rStyle w:val="97"/>
          <w:lang/>
        </w:rPr>
        <w:fldChar w:fldCharType="separate"/>
      </w:r>
      <w:r>
        <w:rPr>
          <w:rStyle w:val="97"/>
          <w:rFonts w:ascii="宋体" w:hAnsi="宋体"/>
          <w:lang/>
        </w:rPr>
        <w:t xml:space="preserve">5. </w:t>
      </w:r>
      <w:r>
        <w:rPr>
          <w:rStyle w:val="97"/>
          <w:rFonts w:hint="eastAsia" w:ascii="宋体" w:hAnsi="宋体"/>
          <w:lang/>
        </w:rPr>
        <w:t>投标文件的递交</w:t>
      </w:r>
      <w:r>
        <w:rPr>
          <w:lang/>
        </w:rPr>
        <w:tab/>
      </w:r>
      <w:r>
        <w:rPr>
          <w:lang/>
        </w:rPr>
        <w:fldChar w:fldCharType="begin"/>
      </w:r>
      <w:r>
        <w:rPr>
          <w:lang/>
        </w:rPr>
        <w:instrText xml:space="preserve"> PAGEREF _Toc59202996 \h </w:instrText>
      </w:r>
      <w:r>
        <w:rPr>
          <w:lang/>
        </w:rPr>
        <w:fldChar w:fldCharType="separate"/>
      </w:r>
      <w:r>
        <w:rPr>
          <w:lang/>
        </w:rPr>
        <w:t>14</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"_Toc59202997"</w:instrText>
      </w:r>
      <w:r>
        <w:rPr>
          <w:rStyle w:val="97"/>
          <w:lang/>
        </w:rPr>
        <w:instrText xml:space="preserve"> </w:instrText>
      </w:r>
      <w:r>
        <w:rPr>
          <w:rStyle w:val="97"/>
          <w:lang/>
        </w:rPr>
        <w:fldChar w:fldCharType="separate"/>
      </w:r>
      <w:r>
        <w:rPr>
          <w:rStyle w:val="97"/>
          <w:rFonts w:ascii="宋体" w:hAnsi="宋体"/>
          <w:lang/>
        </w:rPr>
        <w:t xml:space="preserve">6. </w:t>
      </w:r>
      <w:r>
        <w:rPr>
          <w:rStyle w:val="97"/>
          <w:rFonts w:hint="eastAsia" w:ascii="宋体" w:hAnsi="宋体"/>
          <w:lang/>
        </w:rPr>
        <w:t>确认</w:t>
      </w:r>
      <w:r>
        <w:rPr>
          <w:lang/>
        </w:rPr>
        <w:tab/>
      </w:r>
      <w:r>
        <w:rPr>
          <w:lang/>
        </w:rPr>
        <w:fldChar w:fldCharType="begin"/>
      </w:r>
      <w:r>
        <w:rPr>
          <w:lang/>
        </w:rPr>
        <w:instrText xml:space="preserve"> PAGEREF _Toc59202997 \h </w:instrText>
      </w:r>
      <w:r>
        <w:rPr>
          <w:lang/>
        </w:rPr>
        <w:fldChar w:fldCharType="separate"/>
      </w:r>
      <w:r>
        <w:rPr>
          <w:lang/>
        </w:rPr>
        <w:t>14</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"_Toc59202998"</w:instrText>
      </w:r>
      <w:r>
        <w:rPr>
          <w:rStyle w:val="97"/>
          <w:lang/>
        </w:rPr>
        <w:instrText xml:space="preserve"> </w:instrText>
      </w:r>
      <w:r>
        <w:rPr>
          <w:rStyle w:val="97"/>
          <w:lang/>
        </w:rPr>
        <w:fldChar w:fldCharType="separate"/>
      </w:r>
      <w:r>
        <w:rPr>
          <w:rStyle w:val="97"/>
          <w:rFonts w:ascii="宋体" w:hAnsi="宋体"/>
          <w:lang/>
        </w:rPr>
        <w:t xml:space="preserve">7. </w:t>
      </w:r>
      <w:r>
        <w:rPr>
          <w:rStyle w:val="97"/>
          <w:rFonts w:hint="eastAsia" w:ascii="宋体" w:hAnsi="宋体"/>
          <w:lang/>
        </w:rPr>
        <w:t>预付款和进度款支付方式</w:t>
      </w:r>
      <w:r>
        <w:rPr>
          <w:lang/>
        </w:rPr>
        <w:tab/>
      </w:r>
      <w:r>
        <w:rPr>
          <w:lang/>
        </w:rPr>
        <w:fldChar w:fldCharType="begin"/>
      </w:r>
      <w:r>
        <w:rPr>
          <w:lang/>
        </w:rPr>
        <w:instrText xml:space="preserve"> PAGEREF _Toc59202998 \h </w:instrText>
      </w:r>
      <w:r>
        <w:rPr>
          <w:lang/>
        </w:rPr>
        <w:fldChar w:fldCharType="separate"/>
      </w:r>
      <w:r>
        <w:rPr>
          <w:lang/>
        </w:rPr>
        <w:t>14</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"_Toc59202999"</w:instrText>
      </w:r>
      <w:r>
        <w:rPr>
          <w:rStyle w:val="97"/>
          <w:lang/>
        </w:rPr>
        <w:instrText xml:space="preserve"> </w:instrText>
      </w:r>
      <w:r>
        <w:rPr>
          <w:rStyle w:val="97"/>
          <w:lang/>
        </w:rPr>
        <w:fldChar w:fldCharType="separate"/>
      </w:r>
      <w:r>
        <w:rPr>
          <w:rStyle w:val="97"/>
          <w:rFonts w:ascii="宋体" w:hAnsi="宋体"/>
          <w:lang/>
        </w:rPr>
        <w:t xml:space="preserve">8. </w:t>
      </w:r>
      <w:r>
        <w:rPr>
          <w:rStyle w:val="97"/>
          <w:rFonts w:hint="eastAsia" w:ascii="宋体" w:hAnsi="宋体"/>
          <w:lang/>
        </w:rPr>
        <w:t>交易服务单位</w:t>
      </w:r>
      <w:r>
        <w:rPr>
          <w:lang/>
        </w:rPr>
        <w:tab/>
      </w:r>
      <w:r>
        <w:rPr>
          <w:lang/>
        </w:rPr>
        <w:fldChar w:fldCharType="begin"/>
      </w:r>
      <w:r>
        <w:rPr>
          <w:lang/>
        </w:rPr>
        <w:instrText xml:space="preserve"> PAGEREF _Toc59202999 \h </w:instrText>
      </w:r>
      <w:r>
        <w:rPr>
          <w:lang/>
        </w:rPr>
        <w:fldChar w:fldCharType="separate"/>
      </w:r>
      <w:r>
        <w:rPr>
          <w:lang/>
        </w:rPr>
        <w:t>14</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"_Toc59203000"</w:instrText>
      </w:r>
      <w:r>
        <w:rPr>
          <w:rStyle w:val="97"/>
          <w:lang/>
        </w:rPr>
        <w:instrText xml:space="preserve"> </w:instrText>
      </w:r>
      <w:r>
        <w:rPr>
          <w:rStyle w:val="97"/>
          <w:lang/>
        </w:rPr>
        <w:fldChar w:fldCharType="separate"/>
      </w:r>
      <w:r>
        <w:rPr>
          <w:rStyle w:val="97"/>
          <w:rFonts w:ascii="宋体" w:hAnsi="宋体"/>
          <w:lang/>
        </w:rPr>
        <w:t xml:space="preserve">9. </w:t>
      </w:r>
      <w:r>
        <w:rPr>
          <w:rStyle w:val="97"/>
          <w:rFonts w:hint="eastAsia" w:ascii="宋体" w:hAnsi="宋体"/>
          <w:lang/>
        </w:rPr>
        <w:t>监督部门及电话</w:t>
      </w:r>
      <w:r>
        <w:rPr>
          <w:lang/>
        </w:rPr>
        <w:tab/>
      </w:r>
      <w:r>
        <w:rPr>
          <w:lang/>
        </w:rPr>
        <w:fldChar w:fldCharType="begin"/>
      </w:r>
      <w:r>
        <w:rPr>
          <w:lang/>
        </w:rPr>
        <w:instrText xml:space="preserve"> PAGEREF _Toc59203000 \h </w:instrText>
      </w:r>
      <w:r>
        <w:rPr>
          <w:lang/>
        </w:rPr>
        <w:fldChar w:fldCharType="separate"/>
      </w:r>
      <w:r>
        <w:rPr>
          <w:lang/>
        </w:rPr>
        <w:t>14</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"_Toc59203001"</w:instrText>
      </w:r>
      <w:r>
        <w:rPr>
          <w:rStyle w:val="97"/>
          <w:lang/>
        </w:rPr>
        <w:instrText xml:space="preserve"> </w:instrText>
      </w:r>
      <w:r>
        <w:rPr>
          <w:rStyle w:val="97"/>
          <w:lang/>
        </w:rPr>
        <w:fldChar w:fldCharType="separate"/>
      </w:r>
      <w:r>
        <w:rPr>
          <w:rStyle w:val="97"/>
          <w:rFonts w:ascii="宋体" w:hAnsi="宋体"/>
          <w:lang/>
        </w:rPr>
        <w:t xml:space="preserve">10. </w:t>
      </w:r>
      <w:r>
        <w:rPr>
          <w:rStyle w:val="97"/>
          <w:rFonts w:hint="eastAsia" w:ascii="宋体" w:hAnsi="宋体"/>
          <w:lang/>
        </w:rPr>
        <w:t>注意事项</w:t>
      </w:r>
      <w:r>
        <w:rPr>
          <w:lang/>
        </w:rPr>
        <w:tab/>
      </w:r>
      <w:r>
        <w:rPr>
          <w:lang/>
        </w:rPr>
        <w:fldChar w:fldCharType="begin"/>
      </w:r>
      <w:r>
        <w:rPr>
          <w:lang/>
        </w:rPr>
        <w:instrText xml:space="preserve"> PAGEREF _Toc59203001 \h </w:instrText>
      </w:r>
      <w:r>
        <w:rPr>
          <w:lang/>
        </w:rPr>
        <w:fldChar w:fldCharType="separate"/>
      </w:r>
      <w:r>
        <w:rPr>
          <w:lang/>
        </w:rPr>
        <w:t>14</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"_Toc59203002"</w:instrText>
      </w:r>
      <w:r>
        <w:rPr>
          <w:rStyle w:val="97"/>
          <w:lang/>
        </w:rPr>
        <w:instrText xml:space="preserve"> </w:instrText>
      </w:r>
      <w:r>
        <w:rPr>
          <w:rStyle w:val="97"/>
          <w:lang/>
        </w:rPr>
        <w:fldChar w:fldCharType="separate"/>
      </w:r>
      <w:r>
        <w:rPr>
          <w:rStyle w:val="97"/>
          <w:rFonts w:ascii="宋体" w:hAnsi="宋体"/>
          <w:lang/>
        </w:rPr>
        <w:t xml:space="preserve">11. </w:t>
      </w:r>
      <w:r>
        <w:rPr>
          <w:rStyle w:val="97"/>
          <w:rFonts w:hint="eastAsia" w:ascii="宋体" w:hAnsi="宋体"/>
          <w:lang/>
        </w:rPr>
        <w:t>联系方式</w:t>
      </w:r>
      <w:r>
        <w:rPr>
          <w:lang/>
        </w:rPr>
        <w:tab/>
      </w:r>
      <w:r>
        <w:rPr>
          <w:lang/>
        </w:rPr>
        <w:fldChar w:fldCharType="begin"/>
      </w:r>
      <w:r>
        <w:rPr>
          <w:lang/>
        </w:rPr>
        <w:instrText xml:space="preserve"> PAGEREF _Toc59203002 \h </w:instrText>
      </w:r>
      <w:r>
        <w:rPr>
          <w:lang/>
        </w:rPr>
        <w:fldChar w:fldCharType="separate"/>
      </w:r>
      <w:r>
        <w:rPr>
          <w:lang/>
        </w:rPr>
        <w:t>15</w:t>
      </w:r>
      <w:r>
        <w:rPr>
          <w:lang/>
        </w:rPr>
        <w:fldChar w:fldCharType="end"/>
      </w:r>
      <w:r>
        <w:rPr>
          <w:rStyle w:val="97"/>
          <w:lang/>
        </w:rPr>
        <w:fldChar w:fldCharType="end"/>
      </w:r>
    </w:p>
    <w:p>
      <w:pPr>
        <w:pStyle w:val="55"/>
        <w:tabs>
          <w:tab w:val="right" w:leader="dot" w:pos="9629"/>
        </w:tabs>
        <w:rPr>
          <w:rFonts w:ascii="Calibri" w:hAnsi="Calibri"/>
          <w:b w:val="0"/>
          <w:bCs w:val="0"/>
          <w:caps w:val="0"/>
          <w:sz w:val="21"/>
          <w:szCs w:val="22"/>
          <w:lang/>
        </w:rPr>
      </w:pPr>
      <w:r>
        <w:rPr>
          <w:rStyle w:val="97"/>
          <w:lang/>
        </w:rPr>
        <w:fldChar w:fldCharType="begin"/>
      </w:r>
      <w:r>
        <w:rPr>
          <w:rStyle w:val="97"/>
          <w:lang/>
        </w:rPr>
        <w:instrText xml:space="preserve"> </w:instrText>
      </w:r>
      <w:r>
        <w:rPr>
          <w:lang/>
        </w:rPr>
        <w:instrText xml:space="preserve">HYPERLINK \l "_Toc59203003"</w:instrText>
      </w:r>
      <w:r>
        <w:rPr>
          <w:rStyle w:val="97"/>
          <w:lang/>
        </w:rPr>
        <w:instrText xml:space="preserve"> </w:instrText>
      </w:r>
      <w:r>
        <w:rPr>
          <w:rStyle w:val="97"/>
          <w:lang/>
        </w:rPr>
        <w:fldChar w:fldCharType="separate"/>
      </w:r>
      <w:r>
        <w:rPr>
          <w:rStyle w:val="97"/>
          <w:rFonts w:hint="eastAsia"/>
          <w:lang/>
        </w:rPr>
        <w:t>第二章</w:t>
      </w:r>
      <w:r>
        <w:rPr>
          <w:rStyle w:val="97"/>
          <w:lang/>
        </w:rPr>
        <w:t xml:space="preserve">  </w:t>
      </w:r>
      <w:r>
        <w:rPr>
          <w:rStyle w:val="97"/>
          <w:rFonts w:hint="eastAsia"/>
          <w:lang/>
        </w:rPr>
        <w:t>投标人须知</w:t>
      </w:r>
      <w:r>
        <w:rPr>
          <w:lang/>
        </w:rPr>
        <w:tab/>
      </w:r>
      <w:r>
        <w:rPr>
          <w:lang/>
        </w:rPr>
        <w:fldChar w:fldCharType="begin"/>
      </w:r>
      <w:r>
        <w:rPr>
          <w:lang/>
        </w:rPr>
        <w:instrText xml:space="preserve"> PAGEREF _Toc59203003 \h </w:instrText>
      </w:r>
      <w:r>
        <w:rPr>
          <w:lang/>
        </w:rPr>
        <w:fldChar w:fldCharType="separate"/>
      </w:r>
      <w:r>
        <w:rPr>
          <w:lang/>
        </w:rPr>
        <w:t>16</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"_Toc59203004"</w:instrText>
      </w:r>
      <w:r>
        <w:rPr>
          <w:rStyle w:val="97"/>
          <w:lang/>
        </w:rPr>
        <w:instrText xml:space="preserve"> </w:instrText>
      </w:r>
      <w:r>
        <w:rPr>
          <w:rStyle w:val="97"/>
          <w:lang/>
        </w:rPr>
        <w:fldChar w:fldCharType="separate"/>
      </w:r>
      <w:r>
        <w:rPr>
          <w:rStyle w:val="97"/>
          <w:rFonts w:hint="eastAsia"/>
          <w:lang/>
        </w:rPr>
        <w:t>投标人须知前附表</w:t>
      </w:r>
      <w:r>
        <w:rPr>
          <w:lang/>
        </w:rPr>
        <w:tab/>
      </w:r>
      <w:r>
        <w:rPr>
          <w:lang/>
        </w:rPr>
        <w:fldChar w:fldCharType="begin"/>
      </w:r>
      <w:r>
        <w:rPr>
          <w:lang/>
        </w:rPr>
        <w:instrText xml:space="preserve"> PAGEREF _Toc59203004 \h </w:instrText>
      </w:r>
      <w:r>
        <w:rPr>
          <w:lang/>
        </w:rPr>
        <w:fldChar w:fldCharType="separate"/>
      </w:r>
      <w:r>
        <w:rPr>
          <w:lang/>
        </w:rPr>
        <w:t>16</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"_Toc59203005"</w:instrText>
      </w:r>
      <w:r>
        <w:rPr>
          <w:rStyle w:val="97"/>
          <w:lang/>
        </w:rPr>
        <w:instrText xml:space="preserve"> </w:instrText>
      </w:r>
      <w:r>
        <w:rPr>
          <w:rStyle w:val="97"/>
          <w:lang/>
        </w:rPr>
        <w:fldChar w:fldCharType="separate"/>
      </w:r>
      <w:r>
        <w:rPr>
          <w:rStyle w:val="97"/>
          <w:rFonts w:hint="eastAsia"/>
          <w:lang/>
        </w:rPr>
        <w:t>投标人须知正文部分</w:t>
      </w:r>
      <w:r>
        <w:rPr>
          <w:lang/>
        </w:rPr>
        <w:tab/>
      </w:r>
      <w:r>
        <w:rPr>
          <w:lang/>
        </w:rPr>
        <w:fldChar w:fldCharType="begin"/>
      </w:r>
      <w:r>
        <w:rPr>
          <w:lang/>
        </w:rPr>
        <w:instrText xml:space="preserve"> PAGEREF _Toc59203005 \h </w:instrText>
      </w:r>
      <w:r>
        <w:rPr>
          <w:lang/>
        </w:rPr>
        <w:fldChar w:fldCharType="separate"/>
      </w:r>
      <w:r>
        <w:rPr>
          <w:lang/>
        </w:rPr>
        <w:t>27</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"_Toc59203006"</w:instrText>
      </w:r>
      <w:r>
        <w:rPr>
          <w:rStyle w:val="97"/>
          <w:lang/>
        </w:rPr>
        <w:instrText xml:space="preserve"> </w:instrText>
      </w:r>
      <w:r>
        <w:rPr>
          <w:rStyle w:val="97"/>
          <w:lang/>
        </w:rPr>
        <w:fldChar w:fldCharType="separate"/>
      </w:r>
      <w:r>
        <w:rPr>
          <w:rStyle w:val="97"/>
          <w:lang/>
        </w:rPr>
        <w:t>1</w:t>
      </w:r>
      <w:r>
        <w:rPr>
          <w:rStyle w:val="97"/>
          <w:rFonts w:hint="eastAsia"/>
          <w:lang/>
        </w:rPr>
        <w:t>．总则</w:t>
      </w:r>
      <w:r>
        <w:rPr>
          <w:lang/>
        </w:rPr>
        <w:tab/>
      </w:r>
      <w:r>
        <w:rPr>
          <w:lang/>
        </w:rPr>
        <w:fldChar w:fldCharType="begin"/>
      </w:r>
      <w:r>
        <w:rPr>
          <w:lang/>
        </w:rPr>
        <w:instrText xml:space="preserve"> PAGEREF _Toc59203006 \h </w:instrText>
      </w:r>
      <w:r>
        <w:rPr>
          <w:lang/>
        </w:rPr>
        <w:fldChar w:fldCharType="separate"/>
      </w:r>
      <w:r>
        <w:rPr>
          <w:lang/>
        </w:rPr>
        <w:t>27</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"_Toc59203007"</w:instrText>
      </w:r>
      <w:r>
        <w:rPr>
          <w:rStyle w:val="97"/>
          <w:lang/>
        </w:rPr>
        <w:instrText xml:space="preserve"> </w:instrText>
      </w:r>
      <w:r>
        <w:rPr>
          <w:rStyle w:val="97"/>
          <w:lang/>
        </w:rPr>
        <w:fldChar w:fldCharType="separate"/>
      </w:r>
      <w:r>
        <w:rPr>
          <w:rStyle w:val="97"/>
          <w:lang/>
        </w:rPr>
        <w:t>2</w:t>
      </w:r>
      <w:r>
        <w:rPr>
          <w:rStyle w:val="97"/>
          <w:rFonts w:hint="eastAsia"/>
          <w:lang/>
        </w:rPr>
        <w:t>．招标文件</w:t>
      </w:r>
      <w:r>
        <w:rPr>
          <w:lang/>
        </w:rPr>
        <w:tab/>
      </w:r>
      <w:r>
        <w:rPr>
          <w:lang/>
        </w:rPr>
        <w:fldChar w:fldCharType="begin"/>
      </w:r>
      <w:r>
        <w:rPr>
          <w:lang/>
        </w:rPr>
        <w:instrText xml:space="preserve"> PAGEREF _Toc59203007 \h </w:instrText>
      </w:r>
      <w:r>
        <w:rPr>
          <w:lang/>
        </w:rPr>
        <w:fldChar w:fldCharType="separate"/>
      </w:r>
      <w:r>
        <w:rPr>
          <w:lang/>
        </w:rPr>
        <w:t>30</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"_Toc59203008"</w:instrText>
      </w:r>
      <w:r>
        <w:rPr>
          <w:rStyle w:val="97"/>
          <w:lang/>
        </w:rPr>
        <w:instrText xml:space="preserve"> </w:instrText>
      </w:r>
      <w:r>
        <w:rPr>
          <w:rStyle w:val="97"/>
          <w:lang/>
        </w:rPr>
        <w:fldChar w:fldCharType="separate"/>
      </w:r>
      <w:r>
        <w:rPr>
          <w:rStyle w:val="97"/>
          <w:lang/>
        </w:rPr>
        <w:t>3</w:t>
      </w:r>
      <w:r>
        <w:rPr>
          <w:rStyle w:val="97"/>
          <w:rFonts w:hint="eastAsia"/>
          <w:lang/>
        </w:rPr>
        <w:t>．投标文件</w:t>
      </w:r>
      <w:r>
        <w:rPr>
          <w:lang/>
        </w:rPr>
        <w:tab/>
      </w:r>
      <w:r>
        <w:rPr>
          <w:lang/>
        </w:rPr>
        <w:fldChar w:fldCharType="begin"/>
      </w:r>
      <w:r>
        <w:rPr>
          <w:lang/>
        </w:rPr>
        <w:instrText xml:space="preserve"> PAGEREF _Toc59203008 \h </w:instrText>
      </w:r>
      <w:r>
        <w:rPr>
          <w:lang/>
        </w:rPr>
        <w:fldChar w:fldCharType="separate"/>
      </w:r>
      <w:r>
        <w:rPr>
          <w:lang/>
        </w:rPr>
        <w:t>31</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"_Toc59203009"</w:instrText>
      </w:r>
      <w:r>
        <w:rPr>
          <w:rStyle w:val="97"/>
          <w:lang/>
        </w:rPr>
        <w:instrText xml:space="preserve"> </w:instrText>
      </w:r>
      <w:r>
        <w:rPr>
          <w:rStyle w:val="97"/>
          <w:lang/>
        </w:rPr>
        <w:fldChar w:fldCharType="separate"/>
      </w:r>
      <w:r>
        <w:rPr>
          <w:rStyle w:val="97"/>
          <w:lang/>
        </w:rPr>
        <w:t>4</w:t>
      </w:r>
      <w:r>
        <w:rPr>
          <w:rStyle w:val="97"/>
          <w:rFonts w:hint="eastAsia"/>
          <w:lang/>
        </w:rPr>
        <w:t>．投标</w:t>
      </w:r>
      <w:r>
        <w:rPr>
          <w:lang/>
        </w:rPr>
        <w:tab/>
      </w:r>
      <w:r>
        <w:rPr>
          <w:lang/>
        </w:rPr>
        <w:fldChar w:fldCharType="begin"/>
      </w:r>
      <w:r>
        <w:rPr>
          <w:lang/>
        </w:rPr>
        <w:instrText xml:space="preserve"> PAGEREF _Toc59203009 \h </w:instrText>
      </w:r>
      <w:r>
        <w:rPr>
          <w:lang/>
        </w:rPr>
        <w:fldChar w:fldCharType="separate"/>
      </w:r>
      <w:r>
        <w:rPr>
          <w:lang/>
        </w:rPr>
        <w:t>34</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"_Toc59203010"</w:instrText>
      </w:r>
      <w:r>
        <w:rPr>
          <w:rStyle w:val="97"/>
          <w:lang/>
        </w:rPr>
        <w:instrText xml:space="preserve"> </w:instrText>
      </w:r>
      <w:r>
        <w:rPr>
          <w:rStyle w:val="97"/>
          <w:lang/>
        </w:rPr>
        <w:fldChar w:fldCharType="separate"/>
      </w:r>
      <w:r>
        <w:rPr>
          <w:rStyle w:val="97"/>
          <w:lang/>
        </w:rPr>
        <w:t>5</w:t>
      </w:r>
      <w:r>
        <w:rPr>
          <w:rStyle w:val="97"/>
          <w:rFonts w:hint="eastAsia"/>
          <w:lang/>
        </w:rPr>
        <w:t>．开标</w:t>
      </w:r>
      <w:r>
        <w:rPr>
          <w:lang/>
        </w:rPr>
        <w:tab/>
      </w:r>
      <w:r>
        <w:rPr>
          <w:lang/>
        </w:rPr>
        <w:fldChar w:fldCharType="begin"/>
      </w:r>
      <w:r>
        <w:rPr>
          <w:lang/>
        </w:rPr>
        <w:instrText xml:space="preserve"> PAGEREF _Toc59203010 \h </w:instrText>
      </w:r>
      <w:r>
        <w:rPr>
          <w:lang/>
        </w:rPr>
        <w:fldChar w:fldCharType="separate"/>
      </w:r>
      <w:r>
        <w:rPr>
          <w:lang/>
        </w:rPr>
        <w:t>34</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"_Toc59203011"</w:instrText>
      </w:r>
      <w:r>
        <w:rPr>
          <w:rStyle w:val="97"/>
          <w:lang/>
        </w:rPr>
        <w:instrText xml:space="preserve"> </w:instrText>
      </w:r>
      <w:r>
        <w:rPr>
          <w:rStyle w:val="97"/>
          <w:lang/>
        </w:rPr>
        <w:fldChar w:fldCharType="separate"/>
      </w:r>
      <w:r>
        <w:rPr>
          <w:rStyle w:val="97"/>
          <w:lang/>
        </w:rPr>
        <w:t>6</w:t>
      </w:r>
      <w:r>
        <w:rPr>
          <w:rStyle w:val="97"/>
          <w:rFonts w:hint="eastAsia"/>
          <w:lang/>
        </w:rPr>
        <w:t>．评标</w:t>
      </w:r>
      <w:r>
        <w:rPr>
          <w:lang/>
        </w:rPr>
        <w:tab/>
      </w:r>
      <w:r>
        <w:rPr>
          <w:lang/>
        </w:rPr>
        <w:fldChar w:fldCharType="begin"/>
      </w:r>
      <w:r>
        <w:rPr>
          <w:lang/>
        </w:rPr>
        <w:instrText xml:space="preserve"> PAGEREF _Toc59203011 \h </w:instrText>
      </w:r>
      <w:r>
        <w:rPr>
          <w:lang/>
        </w:rPr>
        <w:fldChar w:fldCharType="separate"/>
      </w:r>
      <w:r>
        <w:rPr>
          <w:lang/>
        </w:rPr>
        <w:t>37</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"_Toc59203012"</w:instrText>
      </w:r>
      <w:r>
        <w:rPr>
          <w:rStyle w:val="97"/>
          <w:lang/>
        </w:rPr>
        <w:instrText xml:space="preserve"> </w:instrText>
      </w:r>
      <w:r>
        <w:rPr>
          <w:rStyle w:val="97"/>
          <w:lang/>
        </w:rPr>
        <w:fldChar w:fldCharType="separate"/>
      </w:r>
      <w:r>
        <w:rPr>
          <w:rStyle w:val="97"/>
          <w:lang/>
        </w:rPr>
        <w:t>7</w:t>
      </w:r>
      <w:r>
        <w:rPr>
          <w:rStyle w:val="97"/>
          <w:rFonts w:hint="eastAsia"/>
          <w:lang/>
        </w:rPr>
        <w:t>．合同授予</w:t>
      </w:r>
      <w:r>
        <w:rPr>
          <w:lang/>
        </w:rPr>
        <w:tab/>
      </w:r>
      <w:r>
        <w:rPr>
          <w:lang/>
        </w:rPr>
        <w:fldChar w:fldCharType="begin"/>
      </w:r>
      <w:r>
        <w:rPr>
          <w:lang/>
        </w:rPr>
        <w:instrText xml:space="preserve"> PAGEREF _Toc59203012 \h </w:instrText>
      </w:r>
      <w:r>
        <w:rPr>
          <w:lang/>
        </w:rPr>
        <w:fldChar w:fldCharType="separate"/>
      </w:r>
      <w:r>
        <w:rPr>
          <w:lang/>
        </w:rPr>
        <w:t>39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"_Toc59203013"</w:instrText>
      </w:r>
      <w:r>
        <w:rPr>
          <w:rStyle w:val="97"/>
          <w:lang/>
        </w:rPr>
        <w:instrText xml:space="preserve"> </w:instrText>
      </w:r>
      <w:r>
        <w:rPr>
          <w:rStyle w:val="97"/>
          <w:lang/>
        </w:rPr>
        <w:fldChar w:fldCharType="separate"/>
      </w:r>
      <w:r>
        <w:rPr>
          <w:rStyle w:val="97"/>
          <w:lang/>
        </w:rPr>
        <w:t>8</w:t>
      </w:r>
      <w:r>
        <w:rPr>
          <w:rStyle w:val="97"/>
          <w:rFonts w:hint="eastAsia"/>
          <w:lang/>
        </w:rPr>
        <w:t>．纪律和监督</w:t>
      </w:r>
      <w:r>
        <w:rPr>
          <w:lang/>
        </w:rPr>
        <w:tab/>
      </w:r>
      <w:r>
        <w:rPr>
          <w:lang/>
        </w:rPr>
        <w:fldChar w:fldCharType="begin"/>
      </w:r>
      <w:r>
        <w:rPr>
          <w:lang/>
        </w:rPr>
        <w:instrText xml:space="preserve"> PAGEREF _Toc59203013 \h </w:instrText>
      </w:r>
      <w:r>
        <w:rPr>
          <w:lang/>
        </w:rPr>
        <w:fldChar w:fldCharType="separate"/>
      </w:r>
      <w:r>
        <w:rPr>
          <w:lang/>
        </w:rPr>
        <w:t>40</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"_Toc59203014"</w:instrText>
      </w:r>
      <w:r>
        <w:rPr>
          <w:rStyle w:val="97"/>
          <w:lang/>
        </w:rPr>
        <w:instrText xml:space="preserve"> </w:instrText>
      </w:r>
      <w:r>
        <w:rPr>
          <w:rStyle w:val="97"/>
          <w:lang/>
        </w:rPr>
        <w:fldChar w:fldCharType="separate"/>
      </w:r>
      <w:r>
        <w:rPr>
          <w:rStyle w:val="97"/>
          <w:lang/>
        </w:rPr>
        <w:t>9</w:t>
      </w:r>
      <w:r>
        <w:rPr>
          <w:rStyle w:val="97"/>
          <w:rFonts w:hint="eastAsia"/>
          <w:lang/>
        </w:rPr>
        <w:t>．重新招标和不再招标</w:t>
      </w:r>
      <w:r>
        <w:rPr>
          <w:lang/>
        </w:rPr>
        <w:tab/>
      </w:r>
      <w:r>
        <w:rPr>
          <w:lang/>
        </w:rPr>
        <w:fldChar w:fldCharType="begin"/>
      </w:r>
      <w:r>
        <w:rPr>
          <w:lang/>
        </w:rPr>
        <w:instrText xml:space="preserve"> PAGEREF _Toc59203014 \h </w:instrText>
      </w:r>
      <w:r>
        <w:rPr>
          <w:lang/>
        </w:rPr>
        <w:fldChar w:fldCharType="separate"/>
      </w:r>
      <w:r>
        <w:rPr>
          <w:lang/>
        </w:rPr>
        <w:t>42</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"_Toc59203015"</w:instrText>
      </w:r>
      <w:r>
        <w:rPr>
          <w:rStyle w:val="97"/>
          <w:lang/>
        </w:rPr>
        <w:instrText xml:space="preserve"> </w:instrText>
      </w:r>
      <w:r>
        <w:rPr>
          <w:rStyle w:val="97"/>
          <w:lang/>
        </w:rPr>
        <w:fldChar w:fldCharType="separate"/>
      </w:r>
      <w:r>
        <w:rPr>
          <w:rStyle w:val="97"/>
          <w:lang/>
        </w:rPr>
        <w:t>10</w:t>
      </w:r>
      <w:r>
        <w:rPr>
          <w:rStyle w:val="97"/>
          <w:rFonts w:hint="eastAsia"/>
          <w:lang/>
        </w:rPr>
        <w:t>．需要补充的其他内容</w:t>
      </w:r>
      <w:r>
        <w:rPr>
          <w:lang/>
        </w:rPr>
        <w:tab/>
      </w:r>
      <w:r>
        <w:rPr>
          <w:lang/>
        </w:rPr>
        <w:fldChar w:fldCharType="begin"/>
      </w:r>
      <w:r>
        <w:rPr>
          <w:lang/>
        </w:rPr>
        <w:instrText xml:space="preserve"> PAGEREF _Toc59203015 \h </w:instrText>
      </w:r>
      <w:r>
        <w:rPr>
          <w:lang/>
        </w:rPr>
        <w:fldChar w:fldCharType="separate"/>
      </w:r>
      <w:r>
        <w:rPr>
          <w:lang/>
        </w:rPr>
        <w:t>43</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"_Toc59203016"</w:instrText>
      </w:r>
      <w:r>
        <w:rPr>
          <w:rStyle w:val="97"/>
          <w:lang/>
        </w:rPr>
        <w:instrText xml:space="preserve"> </w:instrText>
      </w:r>
      <w:r>
        <w:rPr>
          <w:rStyle w:val="97"/>
          <w:lang/>
        </w:rPr>
        <w:fldChar w:fldCharType="separate"/>
      </w:r>
      <w:r>
        <w:rPr>
          <w:rStyle w:val="97"/>
          <w:lang/>
        </w:rPr>
        <w:t>11.</w:t>
      </w:r>
      <w:r>
        <w:rPr>
          <w:rStyle w:val="97"/>
          <w:rFonts w:hint="eastAsia"/>
          <w:lang/>
        </w:rPr>
        <w:t>备注</w:t>
      </w:r>
      <w:r>
        <w:rPr>
          <w:lang/>
        </w:rPr>
        <w:tab/>
      </w:r>
      <w:r>
        <w:rPr>
          <w:lang/>
        </w:rPr>
        <w:fldChar w:fldCharType="begin"/>
      </w:r>
      <w:r>
        <w:rPr>
          <w:lang/>
        </w:rPr>
        <w:instrText xml:space="preserve"> PAGEREF _Toc59203016 \h </w:instrText>
      </w:r>
      <w:r>
        <w:rPr>
          <w:lang/>
        </w:rPr>
        <w:fldChar w:fldCharType="separate"/>
      </w:r>
      <w:r>
        <w:rPr>
          <w:lang/>
        </w:rPr>
        <w:t>44</w:t>
      </w:r>
      <w:r>
        <w:rPr>
          <w:lang/>
        </w:rPr>
        <w:fldChar w:fldCharType="end"/>
      </w:r>
      <w:r>
        <w:rPr>
          <w:rStyle w:val="97"/>
          <w:lang/>
        </w:rPr>
        <w:fldChar w:fldCharType="end"/>
      </w:r>
    </w:p>
    <w:p>
      <w:pPr>
        <w:pStyle w:val="55"/>
        <w:tabs>
          <w:tab w:val="right" w:leader="dot" w:pos="9629"/>
        </w:tabs>
        <w:rPr>
          <w:rFonts w:ascii="Calibri" w:hAnsi="Calibri"/>
          <w:b w:val="0"/>
          <w:bCs w:val="0"/>
          <w:caps w:val="0"/>
          <w:sz w:val="21"/>
          <w:szCs w:val="22"/>
          <w:lang/>
        </w:rPr>
      </w:pPr>
      <w:r>
        <w:rPr>
          <w:rStyle w:val="97"/>
          <w:lang/>
        </w:rPr>
        <w:fldChar w:fldCharType="begin"/>
      </w:r>
      <w:r>
        <w:rPr>
          <w:rStyle w:val="97"/>
          <w:lang/>
        </w:rPr>
        <w:instrText xml:space="preserve"> </w:instrText>
      </w:r>
      <w:r>
        <w:rPr>
          <w:lang/>
        </w:rPr>
        <w:instrText xml:space="preserve">HYPERLINK \l "_Toc59203017"</w:instrText>
      </w:r>
      <w:r>
        <w:rPr>
          <w:rStyle w:val="97"/>
          <w:lang/>
        </w:rPr>
        <w:instrText xml:space="preserve"> </w:instrText>
      </w:r>
      <w:r>
        <w:rPr>
          <w:rStyle w:val="97"/>
          <w:lang/>
        </w:rPr>
        <w:fldChar w:fldCharType="separate"/>
      </w:r>
      <w:r>
        <w:rPr>
          <w:rStyle w:val="97"/>
          <w:rFonts w:hint="eastAsia"/>
          <w:lang/>
        </w:rPr>
        <w:t>第三章</w:t>
      </w:r>
      <w:r>
        <w:rPr>
          <w:rStyle w:val="97"/>
          <w:lang/>
        </w:rPr>
        <w:t xml:space="preserve">  </w:t>
      </w:r>
      <w:r>
        <w:rPr>
          <w:rStyle w:val="97"/>
          <w:rFonts w:hint="eastAsia"/>
          <w:lang/>
        </w:rPr>
        <w:t>评标办法（综合评估法）</w:t>
      </w:r>
      <w:r>
        <w:rPr>
          <w:lang/>
        </w:rPr>
        <w:tab/>
      </w:r>
      <w:r>
        <w:rPr>
          <w:lang/>
        </w:rPr>
        <w:fldChar w:fldCharType="begin"/>
      </w:r>
      <w:r>
        <w:rPr>
          <w:lang/>
        </w:rPr>
        <w:instrText xml:space="preserve"> PAGEREF _Toc59203017 \h </w:instrText>
      </w:r>
      <w:r>
        <w:rPr>
          <w:lang/>
        </w:rPr>
        <w:fldChar w:fldCharType="separate"/>
      </w:r>
      <w:r>
        <w:rPr>
          <w:lang/>
        </w:rPr>
        <w:t>47</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"_Toc59203018"</w:instrText>
      </w:r>
      <w:r>
        <w:rPr>
          <w:rStyle w:val="97"/>
          <w:lang/>
        </w:rPr>
        <w:instrText xml:space="preserve"> </w:instrText>
      </w:r>
      <w:r>
        <w:rPr>
          <w:rStyle w:val="97"/>
          <w:lang/>
        </w:rPr>
        <w:fldChar w:fldCharType="separate"/>
      </w:r>
      <w:r>
        <w:rPr>
          <w:rStyle w:val="97"/>
          <w:rFonts w:hint="eastAsia"/>
          <w:lang/>
        </w:rPr>
        <w:t>评标办法前附表</w:t>
      </w:r>
      <w:r>
        <w:rPr>
          <w:lang/>
        </w:rPr>
        <w:tab/>
      </w:r>
      <w:r>
        <w:rPr>
          <w:lang/>
        </w:rPr>
        <w:fldChar w:fldCharType="begin"/>
      </w:r>
      <w:r>
        <w:rPr>
          <w:lang/>
        </w:rPr>
        <w:instrText xml:space="preserve"> PAGEREF _Toc59203018 \h </w:instrText>
      </w:r>
      <w:r>
        <w:rPr>
          <w:lang/>
        </w:rPr>
        <w:fldChar w:fldCharType="separate"/>
      </w:r>
      <w:r>
        <w:rPr>
          <w:lang/>
        </w:rPr>
        <w:t>47</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"_Toc59203019"</w:instrText>
      </w:r>
      <w:r>
        <w:rPr>
          <w:rStyle w:val="97"/>
          <w:lang/>
        </w:rPr>
        <w:instrText xml:space="preserve"> </w:instrText>
      </w:r>
      <w:r>
        <w:rPr>
          <w:rStyle w:val="97"/>
          <w:lang/>
        </w:rPr>
        <w:fldChar w:fldCharType="separate"/>
      </w:r>
      <w:r>
        <w:rPr>
          <w:rStyle w:val="97"/>
          <w:rFonts w:hint="eastAsia"/>
          <w:lang/>
        </w:rPr>
        <w:t>评标办法正文部分</w:t>
      </w:r>
      <w:r>
        <w:rPr>
          <w:lang/>
        </w:rPr>
        <w:tab/>
      </w:r>
      <w:r>
        <w:rPr>
          <w:lang/>
        </w:rPr>
        <w:fldChar w:fldCharType="begin"/>
      </w:r>
      <w:r>
        <w:rPr>
          <w:lang/>
        </w:rPr>
        <w:instrText xml:space="preserve"> PAGEREF _Toc59203019 \h </w:instrText>
      </w:r>
      <w:r>
        <w:rPr>
          <w:lang/>
        </w:rPr>
        <w:fldChar w:fldCharType="separate"/>
      </w:r>
      <w:r>
        <w:rPr>
          <w:lang/>
        </w:rPr>
        <w:t>59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"_Toc59203020"</w:instrText>
      </w:r>
      <w:r>
        <w:rPr>
          <w:rStyle w:val="97"/>
          <w:lang/>
        </w:rPr>
        <w:instrText xml:space="preserve"> </w:instrText>
      </w:r>
      <w:r>
        <w:rPr>
          <w:rStyle w:val="97"/>
          <w:lang/>
        </w:rPr>
        <w:fldChar w:fldCharType="separate"/>
      </w:r>
      <w:r>
        <w:rPr>
          <w:rStyle w:val="97"/>
          <w:lang/>
        </w:rPr>
        <w:t xml:space="preserve">1. </w:t>
      </w:r>
      <w:r>
        <w:rPr>
          <w:rStyle w:val="97"/>
          <w:rFonts w:hint="eastAsia"/>
          <w:lang/>
        </w:rPr>
        <w:t>评标方法</w:t>
      </w:r>
      <w:r>
        <w:rPr>
          <w:lang/>
        </w:rPr>
        <w:tab/>
      </w:r>
      <w:r>
        <w:rPr>
          <w:lang/>
        </w:rPr>
        <w:fldChar w:fldCharType="begin"/>
      </w:r>
      <w:r>
        <w:rPr>
          <w:lang/>
        </w:rPr>
        <w:instrText xml:space="preserve"> PAGEREF _Toc59203020 \h </w:instrText>
      </w:r>
      <w:r>
        <w:rPr>
          <w:lang/>
        </w:rPr>
        <w:fldChar w:fldCharType="separate"/>
      </w:r>
      <w:r>
        <w:rPr>
          <w:lang/>
        </w:rPr>
        <w:t>59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"_Toc59203021"</w:instrText>
      </w:r>
      <w:r>
        <w:rPr>
          <w:rStyle w:val="97"/>
          <w:lang/>
        </w:rPr>
        <w:instrText xml:space="preserve"> </w:instrText>
      </w:r>
      <w:r>
        <w:rPr>
          <w:rStyle w:val="97"/>
          <w:lang/>
        </w:rPr>
        <w:fldChar w:fldCharType="separate"/>
      </w:r>
      <w:r>
        <w:rPr>
          <w:rStyle w:val="97"/>
          <w:lang/>
        </w:rPr>
        <w:t xml:space="preserve">2. </w:t>
      </w:r>
      <w:r>
        <w:rPr>
          <w:rStyle w:val="97"/>
          <w:rFonts w:hint="eastAsia"/>
          <w:lang/>
        </w:rPr>
        <w:t>评审标准</w:t>
      </w:r>
      <w:r>
        <w:rPr>
          <w:lang/>
        </w:rPr>
        <w:tab/>
      </w:r>
      <w:r>
        <w:rPr>
          <w:lang/>
        </w:rPr>
        <w:fldChar w:fldCharType="begin"/>
      </w:r>
      <w:r>
        <w:rPr>
          <w:lang/>
        </w:rPr>
        <w:instrText xml:space="preserve"> PAGEREF _Toc59203021 \h </w:instrText>
      </w:r>
      <w:r>
        <w:rPr>
          <w:lang/>
        </w:rPr>
        <w:fldChar w:fldCharType="separate"/>
      </w:r>
      <w:r>
        <w:rPr>
          <w:lang/>
        </w:rPr>
        <w:t>59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"_Toc59203022"</w:instrText>
      </w:r>
      <w:r>
        <w:rPr>
          <w:rStyle w:val="97"/>
          <w:lang/>
        </w:rPr>
        <w:instrText xml:space="preserve"> </w:instrText>
      </w:r>
      <w:r>
        <w:rPr>
          <w:rStyle w:val="97"/>
          <w:lang/>
        </w:rPr>
        <w:fldChar w:fldCharType="separate"/>
      </w:r>
      <w:r>
        <w:rPr>
          <w:rStyle w:val="97"/>
          <w:lang/>
        </w:rPr>
        <w:t xml:space="preserve">3. </w:t>
      </w:r>
      <w:r>
        <w:rPr>
          <w:rStyle w:val="97"/>
          <w:rFonts w:hint="eastAsia"/>
          <w:lang/>
        </w:rPr>
        <w:t>评标程序</w:t>
      </w:r>
      <w:r>
        <w:rPr>
          <w:lang/>
        </w:rPr>
        <w:tab/>
      </w:r>
      <w:r>
        <w:rPr>
          <w:lang/>
        </w:rPr>
        <w:fldChar w:fldCharType="begin"/>
      </w:r>
      <w:r>
        <w:rPr>
          <w:lang/>
        </w:rPr>
        <w:instrText xml:space="preserve"> PAGEREF _Toc59203022 \h </w:instrText>
      </w:r>
      <w:r>
        <w:rPr>
          <w:lang/>
        </w:rPr>
        <w:fldChar w:fldCharType="separate"/>
      </w:r>
      <w:r>
        <w:rPr>
          <w:lang/>
        </w:rPr>
        <w:t>60</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"_Toc59203023"</w:instrText>
      </w:r>
      <w:r>
        <w:rPr>
          <w:rStyle w:val="97"/>
          <w:lang/>
        </w:rPr>
        <w:instrText xml:space="preserve"> </w:instrText>
      </w:r>
      <w:r>
        <w:rPr>
          <w:rStyle w:val="97"/>
          <w:lang/>
        </w:rPr>
        <w:fldChar w:fldCharType="separate"/>
      </w:r>
      <w:r>
        <w:rPr>
          <w:rStyle w:val="97"/>
          <w:rFonts w:hint="eastAsia"/>
          <w:lang/>
        </w:rPr>
        <w:t>附件</w:t>
      </w:r>
      <w:r>
        <w:rPr>
          <w:rStyle w:val="97"/>
          <w:lang/>
        </w:rPr>
        <w:t xml:space="preserve">A  </w:t>
      </w:r>
      <w:r>
        <w:rPr>
          <w:rStyle w:val="97"/>
          <w:rFonts w:hint="eastAsia"/>
          <w:lang/>
        </w:rPr>
        <w:t>评标详细程序</w:t>
      </w:r>
      <w:r>
        <w:rPr>
          <w:lang/>
        </w:rPr>
        <w:tab/>
      </w:r>
      <w:r>
        <w:rPr>
          <w:lang/>
        </w:rPr>
        <w:fldChar w:fldCharType="begin"/>
      </w:r>
      <w:r>
        <w:rPr>
          <w:lang/>
        </w:rPr>
        <w:instrText xml:space="preserve"> PAGEREF _Toc59203023 \h </w:instrText>
      </w:r>
      <w:r>
        <w:rPr>
          <w:lang/>
        </w:rPr>
        <w:fldChar w:fldCharType="separate"/>
      </w:r>
      <w:r>
        <w:rPr>
          <w:lang/>
        </w:rPr>
        <w:t>62</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"_Toc59203024"</w:instrText>
      </w:r>
      <w:r>
        <w:rPr>
          <w:rStyle w:val="97"/>
          <w:lang/>
        </w:rPr>
        <w:instrText xml:space="preserve"> </w:instrText>
      </w:r>
      <w:r>
        <w:rPr>
          <w:rStyle w:val="97"/>
          <w:lang/>
        </w:rPr>
        <w:fldChar w:fldCharType="separate"/>
      </w:r>
      <w:r>
        <w:rPr>
          <w:rStyle w:val="97"/>
          <w:rFonts w:hint="eastAsia"/>
          <w:lang/>
        </w:rPr>
        <w:t>附件</w:t>
      </w:r>
      <w:r>
        <w:rPr>
          <w:rStyle w:val="97"/>
          <w:lang/>
        </w:rPr>
        <w:t xml:space="preserve">B  </w:t>
      </w:r>
      <w:r>
        <w:rPr>
          <w:rStyle w:val="97"/>
          <w:rFonts w:hint="eastAsia"/>
          <w:lang/>
        </w:rPr>
        <w:t>否决投标条件</w:t>
      </w:r>
      <w:r>
        <w:rPr>
          <w:lang/>
        </w:rPr>
        <w:tab/>
      </w:r>
      <w:r>
        <w:rPr>
          <w:lang/>
        </w:rPr>
        <w:fldChar w:fldCharType="begin"/>
      </w:r>
      <w:r>
        <w:rPr>
          <w:lang/>
        </w:rPr>
        <w:instrText xml:space="preserve"> PAGEREF _Toc59203024 \h </w:instrText>
      </w:r>
      <w:r>
        <w:rPr>
          <w:lang/>
        </w:rPr>
        <w:fldChar w:fldCharType="separate"/>
      </w:r>
      <w:r>
        <w:rPr>
          <w:lang/>
        </w:rPr>
        <w:t>67</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"_Toc59203025"</w:instrText>
      </w:r>
      <w:r>
        <w:rPr>
          <w:rStyle w:val="97"/>
          <w:lang/>
        </w:rPr>
        <w:instrText xml:space="preserve"> </w:instrText>
      </w:r>
      <w:r>
        <w:rPr>
          <w:rStyle w:val="97"/>
          <w:lang/>
        </w:rPr>
        <w:fldChar w:fldCharType="separate"/>
      </w:r>
      <w:r>
        <w:rPr>
          <w:rStyle w:val="97"/>
          <w:rFonts w:hint="eastAsia"/>
          <w:lang/>
        </w:rPr>
        <w:t>附表</w:t>
      </w:r>
      <w:r>
        <w:rPr>
          <w:rStyle w:val="97"/>
          <w:lang/>
        </w:rPr>
        <w:t>A</w:t>
      </w:r>
      <w:r>
        <w:rPr>
          <w:rStyle w:val="97"/>
          <w:rFonts w:hint="eastAsia"/>
          <w:lang/>
        </w:rPr>
        <w:t>－</w:t>
      </w:r>
      <w:r>
        <w:rPr>
          <w:rStyle w:val="97"/>
          <w:lang/>
        </w:rPr>
        <w:t>1</w:t>
      </w:r>
      <w:r>
        <w:rPr>
          <w:rStyle w:val="97"/>
          <w:rFonts w:hint="eastAsia"/>
          <w:lang/>
        </w:rPr>
        <w:t>：投标单位签到表</w:t>
      </w:r>
      <w:r>
        <w:rPr>
          <w:lang/>
        </w:rPr>
        <w:tab/>
      </w:r>
      <w:r>
        <w:rPr>
          <w:lang/>
        </w:rPr>
        <w:fldChar w:fldCharType="begin"/>
      </w:r>
      <w:r>
        <w:rPr>
          <w:lang/>
        </w:rPr>
        <w:instrText xml:space="preserve"> PAGEREF _Toc59203025 \h </w:instrText>
      </w:r>
      <w:r>
        <w:rPr>
          <w:lang/>
        </w:rPr>
        <w:fldChar w:fldCharType="separate"/>
      </w:r>
      <w:r>
        <w:rPr>
          <w:lang/>
        </w:rPr>
        <w:t>69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"_Toc59203026"</w:instrText>
      </w:r>
      <w:r>
        <w:rPr>
          <w:rStyle w:val="97"/>
          <w:lang/>
        </w:rPr>
        <w:instrText xml:space="preserve"> </w:instrText>
      </w:r>
      <w:r>
        <w:rPr>
          <w:rStyle w:val="97"/>
          <w:lang/>
        </w:rPr>
        <w:fldChar w:fldCharType="separate"/>
      </w:r>
      <w:r>
        <w:rPr>
          <w:rStyle w:val="97"/>
          <w:rFonts w:hint="eastAsia"/>
          <w:lang/>
        </w:rPr>
        <w:t>附表</w:t>
      </w:r>
      <w:r>
        <w:rPr>
          <w:rStyle w:val="97"/>
          <w:lang/>
        </w:rPr>
        <w:t>A</w:t>
      </w:r>
      <w:r>
        <w:rPr>
          <w:rStyle w:val="97"/>
          <w:rFonts w:hint="eastAsia"/>
          <w:lang/>
        </w:rPr>
        <w:t>－</w:t>
      </w:r>
      <w:r>
        <w:rPr>
          <w:rStyle w:val="97"/>
          <w:lang/>
        </w:rPr>
        <w:t>2</w:t>
      </w:r>
      <w:r>
        <w:rPr>
          <w:rStyle w:val="97"/>
          <w:rFonts w:hint="eastAsia"/>
          <w:lang/>
        </w:rPr>
        <w:t>：投标单位人员诚信状态核查情况记录表</w:t>
      </w:r>
      <w:r>
        <w:rPr>
          <w:lang/>
        </w:rPr>
        <w:tab/>
      </w:r>
      <w:r>
        <w:rPr>
          <w:lang/>
        </w:rPr>
        <w:fldChar w:fldCharType="begin"/>
      </w:r>
      <w:r>
        <w:rPr>
          <w:lang/>
        </w:rPr>
        <w:instrText xml:space="preserve"> PAGEREF _Toc59203026 \h </w:instrText>
      </w:r>
      <w:r>
        <w:rPr>
          <w:lang/>
        </w:rPr>
        <w:fldChar w:fldCharType="separate"/>
      </w:r>
      <w:r>
        <w:rPr>
          <w:lang/>
        </w:rPr>
        <w:t>70</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"_Toc59203027"</w:instrText>
      </w:r>
      <w:r>
        <w:rPr>
          <w:rStyle w:val="97"/>
          <w:lang/>
        </w:rPr>
        <w:instrText xml:space="preserve"> </w:instrText>
      </w:r>
      <w:r>
        <w:rPr>
          <w:rStyle w:val="97"/>
          <w:lang/>
        </w:rPr>
        <w:fldChar w:fldCharType="separate"/>
      </w:r>
      <w:r>
        <w:rPr>
          <w:rStyle w:val="97"/>
          <w:rFonts w:hint="eastAsia"/>
          <w:lang/>
        </w:rPr>
        <w:t>附表</w:t>
      </w:r>
      <w:r>
        <w:rPr>
          <w:rStyle w:val="97"/>
          <w:lang/>
        </w:rPr>
        <w:t>A</w:t>
      </w:r>
      <w:r>
        <w:rPr>
          <w:rStyle w:val="97"/>
          <w:rFonts w:hint="eastAsia"/>
          <w:lang/>
        </w:rPr>
        <w:t>－</w:t>
      </w:r>
      <w:r>
        <w:rPr>
          <w:rStyle w:val="97"/>
          <w:lang/>
        </w:rPr>
        <w:t>3</w:t>
      </w:r>
      <w:r>
        <w:rPr>
          <w:rStyle w:val="97"/>
          <w:rFonts w:hint="eastAsia"/>
          <w:lang/>
        </w:rPr>
        <w:t>：开标记录表</w:t>
      </w:r>
      <w:r>
        <w:rPr>
          <w:lang/>
        </w:rPr>
        <w:tab/>
      </w:r>
      <w:r>
        <w:rPr>
          <w:lang/>
        </w:rPr>
        <w:fldChar w:fldCharType="begin"/>
      </w:r>
      <w:r>
        <w:rPr>
          <w:lang/>
        </w:rPr>
        <w:instrText xml:space="preserve"> PAGEREF _Toc59203027 \h </w:instrText>
      </w:r>
      <w:r>
        <w:rPr>
          <w:lang/>
        </w:rPr>
        <w:fldChar w:fldCharType="separate"/>
      </w:r>
      <w:r>
        <w:rPr>
          <w:lang/>
        </w:rPr>
        <w:t>71</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"_Toc59203028"</w:instrText>
      </w:r>
      <w:r>
        <w:rPr>
          <w:rStyle w:val="97"/>
          <w:lang/>
        </w:rPr>
        <w:instrText xml:space="preserve"> </w:instrText>
      </w:r>
      <w:r>
        <w:rPr>
          <w:rStyle w:val="97"/>
          <w:lang/>
        </w:rPr>
        <w:fldChar w:fldCharType="separate"/>
      </w:r>
      <w:r>
        <w:rPr>
          <w:rStyle w:val="97"/>
          <w:rFonts w:hint="eastAsia"/>
          <w:lang/>
        </w:rPr>
        <w:t>附表</w:t>
      </w:r>
      <w:r>
        <w:rPr>
          <w:rStyle w:val="97"/>
          <w:lang/>
        </w:rPr>
        <w:t>A</w:t>
      </w:r>
      <w:r>
        <w:rPr>
          <w:rStyle w:val="97"/>
          <w:rFonts w:hint="eastAsia"/>
          <w:lang/>
        </w:rPr>
        <w:t>－</w:t>
      </w:r>
      <w:r>
        <w:rPr>
          <w:rStyle w:val="97"/>
          <w:lang/>
        </w:rPr>
        <w:t>3-1</w:t>
      </w:r>
      <w:r>
        <w:rPr>
          <w:rStyle w:val="97"/>
          <w:rFonts w:hint="eastAsia"/>
          <w:lang/>
        </w:rPr>
        <w:t>：开标会异常记录表（如有）</w:t>
      </w:r>
      <w:r>
        <w:rPr>
          <w:lang/>
        </w:rPr>
        <w:tab/>
      </w:r>
      <w:r>
        <w:rPr>
          <w:lang/>
        </w:rPr>
        <w:fldChar w:fldCharType="begin"/>
      </w:r>
      <w:r>
        <w:rPr>
          <w:lang/>
        </w:rPr>
        <w:instrText xml:space="preserve"> PAGEREF _Toc59203028 \h </w:instrText>
      </w:r>
      <w:r>
        <w:rPr>
          <w:lang/>
        </w:rPr>
        <w:fldChar w:fldCharType="separate"/>
      </w:r>
      <w:r>
        <w:rPr>
          <w:lang/>
        </w:rPr>
        <w:t>72</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"_Toc59203029"</w:instrText>
      </w:r>
      <w:r>
        <w:rPr>
          <w:rStyle w:val="97"/>
          <w:lang/>
        </w:rPr>
        <w:instrText xml:space="preserve"> </w:instrText>
      </w:r>
      <w:r>
        <w:rPr>
          <w:rStyle w:val="97"/>
          <w:lang/>
        </w:rPr>
        <w:fldChar w:fldCharType="separate"/>
      </w:r>
      <w:r>
        <w:rPr>
          <w:rStyle w:val="97"/>
          <w:rFonts w:hint="eastAsia"/>
          <w:lang/>
        </w:rPr>
        <w:t>附表</w:t>
      </w:r>
      <w:r>
        <w:rPr>
          <w:rStyle w:val="97"/>
          <w:lang/>
        </w:rPr>
        <w:t>A</w:t>
      </w:r>
      <w:r>
        <w:rPr>
          <w:rStyle w:val="97"/>
          <w:rFonts w:hint="eastAsia"/>
          <w:lang/>
        </w:rPr>
        <w:t>－</w:t>
      </w:r>
      <w:r>
        <w:rPr>
          <w:rStyle w:val="97"/>
          <w:lang/>
        </w:rPr>
        <w:t>4</w:t>
      </w:r>
      <w:r>
        <w:rPr>
          <w:rStyle w:val="97"/>
          <w:rFonts w:hint="eastAsia"/>
          <w:lang/>
        </w:rPr>
        <w:t>：评标委员会签到表</w:t>
      </w:r>
      <w:r>
        <w:rPr>
          <w:lang/>
        </w:rPr>
        <w:tab/>
      </w:r>
      <w:r>
        <w:rPr>
          <w:lang/>
        </w:rPr>
        <w:fldChar w:fldCharType="begin"/>
      </w:r>
      <w:r>
        <w:rPr>
          <w:lang/>
        </w:rPr>
        <w:instrText xml:space="preserve"> PAGEREF _Toc59203029 \h </w:instrText>
      </w:r>
      <w:r>
        <w:rPr>
          <w:lang/>
        </w:rPr>
        <w:fldChar w:fldCharType="separate"/>
      </w:r>
      <w:r>
        <w:rPr>
          <w:lang/>
        </w:rPr>
        <w:t>74</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"_Toc59203030"</w:instrText>
      </w:r>
      <w:r>
        <w:rPr>
          <w:rStyle w:val="97"/>
          <w:lang/>
        </w:rPr>
        <w:instrText xml:space="preserve"> </w:instrText>
      </w:r>
      <w:r>
        <w:rPr>
          <w:rStyle w:val="97"/>
          <w:lang/>
        </w:rPr>
        <w:fldChar w:fldCharType="separate"/>
      </w:r>
      <w:r>
        <w:rPr>
          <w:rStyle w:val="97"/>
          <w:rFonts w:hint="eastAsia"/>
          <w:lang/>
        </w:rPr>
        <w:t>附表</w:t>
      </w:r>
      <w:r>
        <w:rPr>
          <w:rStyle w:val="97"/>
          <w:lang/>
        </w:rPr>
        <w:t>A-5</w:t>
      </w:r>
      <w:r>
        <w:rPr>
          <w:rStyle w:val="97"/>
          <w:rFonts w:hint="eastAsia"/>
          <w:lang/>
        </w:rPr>
        <w:t>：资格评审记录表一</w:t>
      </w:r>
      <w:r>
        <w:rPr>
          <w:lang/>
        </w:rPr>
        <w:tab/>
      </w:r>
      <w:r>
        <w:rPr>
          <w:lang/>
        </w:rPr>
        <w:fldChar w:fldCharType="begin"/>
      </w:r>
      <w:r>
        <w:rPr>
          <w:lang/>
        </w:rPr>
        <w:instrText xml:space="preserve"> PAGEREF _Toc59203030 \h </w:instrText>
      </w:r>
      <w:r>
        <w:rPr>
          <w:lang/>
        </w:rPr>
        <w:fldChar w:fldCharType="separate"/>
      </w:r>
      <w:r>
        <w:rPr>
          <w:lang/>
        </w:rPr>
        <w:t>75</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"_Toc59203031"</w:instrText>
      </w:r>
      <w:r>
        <w:rPr>
          <w:rStyle w:val="97"/>
          <w:lang/>
        </w:rPr>
        <w:instrText xml:space="preserve"> </w:instrText>
      </w:r>
      <w:r>
        <w:rPr>
          <w:rStyle w:val="97"/>
          <w:lang/>
        </w:rPr>
        <w:fldChar w:fldCharType="separate"/>
      </w:r>
      <w:r>
        <w:rPr>
          <w:rStyle w:val="97"/>
          <w:rFonts w:hint="eastAsia"/>
          <w:lang/>
        </w:rPr>
        <w:t>附表</w:t>
      </w:r>
      <w:r>
        <w:rPr>
          <w:rStyle w:val="97"/>
          <w:lang/>
        </w:rPr>
        <w:t>A-6</w:t>
      </w:r>
      <w:r>
        <w:rPr>
          <w:rStyle w:val="97"/>
          <w:rFonts w:hint="eastAsia"/>
          <w:lang/>
        </w:rPr>
        <w:t>：资格评审记录表二</w:t>
      </w:r>
      <w:r>
        <w:rPr>
          <w:lang/>
        </w:rPr>
        <w:tab/>
      </w:r>
      <w:r>
        <w:rPr>
          <w:lang/>
        </w:rPr>
        <w:fldChar w:fldCharType="begin"/>
      </w:r>
      <w:r>
        <w:rPr>
          <w:lang/>
        </w:rPr>
        <w:instrText xml:space="preserve"> PAGEREF _Toc59203031 \h </w:instrText>
      </w:r>
      <w:r>
        <w:rPr>
          <w:lang/>
        </w:rPr>
        <w:fldChar w:fldCharType="separate"/>
      </w:r>
      <w:r>
        <w:rPr>
          <w:lang/>
        </w:rPr>
        <w:t>76</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"_Toc59203032"</w:instrText>
      </w:r>
      <w:r>
        <w:rPr>
          <w:rStyle w:val="97"/>
          <w:lang/>
        </w:rPr>
        <w:instrText xml:space="preserve"> </w:instrText>
      </w:r>
      <w:r>
        <w:rPr>
          <w:rStyle w:val="97"/>
          <w:lang/>
        </w:rPr>
        <w:fldChar w:fldCharType="separate"/>
      </w:r>
      <w:r>
        <w:rPr>
          <w:rStyle w:val="97"/>
          <w:rFonts w:hint="eastAsia"/>
          <w:lang/>
        </w:rPr>
        <w:t>附表</w:t>
      </w:r>
      <w:r>
        <w:rPr>
          <w:rStyle w:val="97"/>
          <w:lang/>
        </w:rPr>
        <w:t>A-6</w:t>
      </w:r>
      <w:r>
        <w:rPr>
          <w:rStyle w:val="97"/>
          <w:rFonts w:hint="eastAsia"/>
          <w:lang/>
        </w:rPr>
        <w:t>：资格评审记录表二</w:t>
      </w:r>
      <w:r>
        <w:rPr>
          <w:lang/>
        </w:rPr>
        <w:tab/>
      </w:r>
      <w:r>
        <w:rPr>
          <w:lang/>
        </w:rPr>
        <w:fldChar w:fldCharType="begin"/>
      </w:r>
      <w:r>
        <w:rPr>
          <w:lang/>
        </w:rPr>
        <w:instrText xml:space="preserve"> PAGEREF _Toc59203032 \h </w:instrText>
      </w:r>
      <w:r>
        <w:rPr>
          <w:lang/>
        </w:rPr>
        <w:fldChar w:fldCharType="separate"/>
      </w:r>
      <w:r>
        <w:rPr>
          <w:lang/>
        </w:rPr>
        <w:t>77</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"_Toc59203033"</w:instrText>
      </w:r>
      <w:r>
        <w:rPr>
          <w:rStyle w:val="97"/>
          <w:lang/>
        </w:rPr>
        <w:instrText xml:space="preserve"> </w:instrText>
      </w:r>
      <w:r>
        <w:rPr>
          <w:rStyle w:val="97"/>
          <w:lang/>
        </w:rPr>
        <w:fldChar w:fldCharType="separate"/>
      </w:r>
      <w:r>
        <w:rPr>
          <w:rStyle w:val="97"/>
          <w:rFonts w:hint="eastAsia"/>
          <w:lang/>
        </w:rPr>
        <w:t>附表</w:t>
      </w:r>
      <w:r>
        <w:rPr>
          <w:rStyle w:val="97"/>
          <w:lang/>
        </w:rPr>
        <w:t>A-6-1</w:t>
      </w:r>
      <w:r>
        <w:rPr>
          <w:rStyle w:val="97"/>
          <w:rFonts w:hint="eastAsia"/>
          <w:lang/>
        </w:rPr>
        <w:t>：施工企业信誉实力评分记录表</w:t>
      </w:r>
      <w:r>
        <w:rPr>
          <w:lang/>
        </w:rPr>
        <w:tab/>
      </w:r>
      <w:r>
        <w:rPr>
          <w:lang/>
        </w:rPr>
        <w:fldChar w:fldCharType="begin"/>
      </w:r>
      <w:r>
        <w:rPr>
          <w:lang/>
        </w:rPr>
        <w:instrText xml:space="preserve"> PAGEREF _Toc59203033 \h </w:instrText>
      </w:r>
      <w:r>
        <w:rPr>
          <w:lang/>
        </w:rPr>
        <w:fldChar w:fldCharType="separate"/>
      </w:r>
      <w:r>
        <w:rPr>
          <w:lang/>
        </w:rPr>
        <w:t>78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"_Toc59203034"</w:instrText>
      </w:r>
      <w:r>
        <w:rPr>
          <w:rStyle w:val="97"/>
          <w:lang/>
        </w:rPr>
        <w:instrText xml:space="preserve"> </w:instrText>
      </w:r>
      <w:r>
        <w:rPr>
          <w:rStyle w:val="97"/>
          <w:lang/>
        </w:rPr>
        <w:fldChar w:fldCharType="separate"/>
      </w:r>
      <w:r>
        <w:rPr>
          <w:rStyle w:val="97"/>
          <w:rFonts w:hint="eastAsia"/>
          <w:lang/>
        </w:rPr>
        <w:t>附表</w:t>
      </w:r>
      <w:r>
        <w:rPr>
          <w:rStyle w:val="97"/>
          <w:lang/>
        </w:rPr>
        <w:t>A-6-1</w:t>
      </w:r>
      <w:r>
        <w:rPr>
          <w:rStyle w:val="97"/>
          <w:rFonts w:hint="eastAsia"/>
          <w:lang/>
        </w:rPr>
        <w:t>：施工企业信誉实力评分记录表</w:t>
      </w:r>
      <w:r>
        <w:rPr>
          <w:lang/>
        </w:rPr>
        <w:tab/>
      </w:r>
      <w:r>
        <w:rPr>
          <w:lang/>
        </w:rPr>
        <w:fldChar w:fldCharType="begin"/>
      </w:r>
      <w:r>
        <w:rPr>
          <w:lang/>
        </w:rPr>
        <w:instrText xml:space="preserve"> PAGEREF _Toc59203034 \h </w:instrText>
      </w:r>
      <w:r>
        <w:rPr>
          <w:lang/>
        </w:rPr>
        <w:fldChar w:fldCharType="separate"/>
      </w:r>
      <w:r>
        <w:rPr>
          <w:lang/>
        </w:rPr>
        <w:t>79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"_Toc59203035"</w:instrText>
      </w:r>
      <w:r>
        <w:rPr>
          <w:rStyle w:val="97"/>
          <w:lang/>
        </w:rPr>
        <w:instrText xml:space="preserve"> </w:instrText>
      </w:r>
      <w:r>
        <w:rPr>
          <w:rStyle w:val="97"/>
          <w:lang/>
        </w:rPr>
        <w:fldChar w:fldCharType="separate"/>
      </w:r>
      <w:r>
        <w:rPr>
          <w:rStyle w:val="97"/>
          <w:rFonts w:hint="eastAsia"/>
          <w:lang/>
        </w:rPr>
        <w:t>附表</w:t>
      </w:r>
      <w:r>
        <w:rPr>
          <w:rStyle w:val="97"/>
          <w:lang/>
        </w:rPr>
        <w:t>A-6-2</w:t>
      </w:r>
      <w:r>
        <w:rPr>
          <w:rStyle w:val="97"/>
          <w:rFonts w:hint="eastAsia"/>
          <w:lang/>
        </w:rPr>
        <w:t>：企业信誉实力加权得分统计表</w:t>
      </w:r>
      <w:r>
        <w:rPr>
          <w:lang/>
        </w:rPr>
        <w:tab/>
      </w:r>
      <w:r>
        <w:rPr>
          <w:lang/>
        </w:rPr>
        <w:fldChar w:fldCharType="begin"/>
      </w:r>
      <w:r>
        <w:rPr>
          <w:lang/>
        </w:rPr>
        <w:instrText xml:space="preserve"> PAGEREF _Toc59203035 \h </w:instrText>
      </w:r>
      <w:r>
        <w:rPr>
          <w:lang/>
        </w:rPr>
        <w:fldChar w:fldCharType="separate"/>
      </w:r>
      <w:r>
        <w:rPr>
          <w:lang/>
        </w:rPr>
        <w:t>80</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"_Toc59203036"</w:instrText>
      </w:r>
      <w:r>
        <w:rPr>
          <w:rStyle w:val="97"/>
          <w:lang/>
        </w:rPr>
        <w:instrText xml:space="preserve"> </w:instrText>
      </w:r>
      <w:r>
        <w:rPr>
          <w:rStyle w:val="97"/>
          <w:lang/>
        </w:rPr>
        <w:fldChar w:fldCharType="separate"/>
      </w:r>
      <w:r>
        <w:rPr>
          <w:rStyle w:val="97"/>
          <w:rFonts w:hint="eastAsia"/>
          <w:lang/>
        </w:rPr>
        <w:t>附表</w:t>
      </w:r>
      <w:r>
        <w:rPr>
          <w:rStyle w:val="97"/>
          <w:lang/>
        </w:rPr>
        <w:t>A-7</w:t>
      </w:r>
      <w:r>
        <w:rPr>
          <w:rStyle w:val="97"/>
          <w:rFonts w:hint="eastAsia"/>
          <w:lang/>
        </w:rPr>
        <w:t>：形式评审记录表</w:t>
      </w:r>
      <w:r>
        <w:rPr>
          <w:lang/>
        </w:rPr>
        <w:tab/>
      </w:r>
      <w:r>
        <w:rPr>
          <w:lang/>
        </w:rPr>
        <w:fldChar w:fldCharType="begin"/>
      </w:r>
      <w:r>
        <w:rPr>
          <w:lang/>
        </w:rPr>
        <w:instrText xml:space="preserve"> PAGEREF _Toc59203036 \h </w:instrText>
      </w:r>
      <w:r>
        <w:rPr>
          <w:lang/>
        </w:rPr>
        <w:fldChar w:fldCharType="separate"/>
      </w:r>
      <w:r>
        <w:rPr>
          <w:lang/>
        </w:rPr>
        <w:t>82</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"_Toc59203037"</w:instrText>
      </w:r>
      <w:r>
        <w:rPr>
          <w:rStyle w:val="97"/>
          <w:lang/>
        </w:rPr>
        <w:instrText xml:space="preserve"> </w:instrText>
      </w:r>
      <w:r>
        <w:rPr>
          <w:rStyle w:val="97"/>
          <w:lang/>
        </w:rPr>
        <w:fldChar w:fldCharType="separate"/>
      </w:r>
      <w:r>
        <w:rPr>
          <w:rStyle w:val="97"/>
          <w:rFonts w:hint="eastAsia"/>
          <w:lang/>
        </w:rPr>
        <w:t>附表</w:t>
      </w:r>
      <w:r>
        <w:rPr>
          <w:rStyle w:val="97"/>
          <w:lang/>
        </w:rPr>
        <w:t>A-8-1</w:t>
      </w:r>
      <w:r>
        <w:rPr>
          <w:rStyle w:val="97"/>
          <w:rFonts w:hint="eastAsia"/>
          <w:lang/>
        </w:rPr>
        <w:t>：响应性评审记录表（投标函）</w:t>
      </w:r>
      <w:r>
        <w:rPr>
          <w:lang/>
        </w:rPr>
        <w:tab/>
      </w:r>
      <w:r>
        <w:rPr>
          <w:lang/>
        </w:rPr>
        <w:fldChar w:fldCharType="begin"/>
      </w:r>
      <w:r>
        <w:rPr>
          <w:lang/>
        </w:rPr>
        <w:instrText xml:space="preserve"> PAGEREF _Toc59203037 \h </w:instrText>
      </w:r>
      <w:r>
        <w:rPr>
          <w:lang/>
        </w:rPr>
        <w:fldChar w:fldCharType="separate"/>
      </w:r>
      <w:r>
        <w:rPr>
          <w:lang/>
        </w:rPr>
        <w:t>83</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"_Toc59203038"</w:instrText>
      </w:r>
      <w:r>
        <w:rPr>
          <w:rStyle w:val="97"/>
          <w:lang/>
        </w:rPr>
        <w:instrText xml:space="preserve"> </w:instrText>
      </w:r>
      <w:r>
        <w:rPr>
          <w:rStyle w:val="97"/>
          <w:lang/>
        </w:rPr>
        <w:fldChar w:fldCharType="separate"/>
      </w:r>
      <w:r>
        <w:rPr>
          <w:rStyle w:val="97"/>
          <w:rFonts w:hint="eastAsia" w:ascii="宋体" w:hAnsi="宋体"/>
          <w:kern w:val="0"/>
          <w:lang/>
        </w:rPr>
        <w:t>附表</w:t>
      </w:r>
      <w:r>
        <w:rPr>
          <w:rStyle w:val="97"/>
          <w:rFonts w:ascii="宋体" w:hAnsi="宋体"/>
          <w:kern w:val="0"/>
          <w:lang/>
        </w:rPr>
        <w:t>A-8-2</w:t>
      </w:r>
      <w:r>
        <w:rPr>
          <w:rStyle w:val="97"/>
          <w:rFonts w:hint="eastAsia" w:ascii="宋体" w:hAnsi="宋体"/>
          <w:kern w:val="0"/>
          <w:lang/>
        </w:rPr>
        <w:t>：响应性评审记录表（资信业绩明标）</w:t>
      </w:r>
      <w:r>
        <w:rPr>
          <w:lang/>
        </w:rPr>
        <w:tab/>
      </w:r>
      <w:r>
        <w:rPr>
          <w:lang/>
        </w:rPr>
        <w:fldChar w:fldCharType="begin"/>
      </w:r>
      <w:r>
        <w:rPr>
          <w:lang/>
        </w:rPr>
        <w:instrText xml:space="preserve"> PAGEREF _Toc59203038 \h </w:instrText>
      </w:r>
      <w:r>
        <w:rPr>
          <w:lang/>
        </w:rPr>
        <w:fldChar w:fldCharType="separate"/>
      </w:r>
      <w:r>
        <w:rPr>
          <w:lang/>
        </w:rPr>
        <w:t>84</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"_Toc59203039"</w:instrText>
      </w:r>
      <w:r>
        <w:rPr>
          <w:rStyle w:val="97"/>
          <w:lang/>
        </w:rPr>
        <w:instrText xml:space="preserve"> </w:instrText>
      </w:r>
      <w:r>
        <w:rPr>
          <w:rStyle w:val="97"/>
          <w:lang/>
        </w:rPr>
        <w:fldChar w:fldCharType="separate"/>
      </w:r>
      <w:r>
        <w:rPr>
          <w:rStyle w:val="97"/>
          <w:rFonts w:hint="eastAsia" w:ascii="宋体" w:hAnsi="宋体"/>
          <w:kern w:val="0"/>
          <w:lang/>
        </w:rPr>
        <w:t>附表</w:t>
      </w:r>
      <w:r>
        <w:rPr>
          <w:rStyle w:val="97"/>
          <w:rFonts w:ascii="宋体" w:hAnsi="宋体"/>
          <w:kern w:val="0"/>
          <w:lang/>
        </w:rPr>
        <w:t>A-8-3</w:t>
      </w:r>
      <w:r>
        <w:rPr>
          <w:rStyle w:val="97"/>
          <w:rFonts w:hint="eastAsia" w:ascii="宋体" w:hAnsi="宋体"/>
          <w:kern w:val="0"/>
          <w:lang/>
        </w:rPr>
        <w:t>：响应性评审记录表（技术标暗标）</w:t>
      </w:r>
      <w:r>
        <w:rPr>
          <w:lang/>
        </w:rPr>
        <w:tab/>
      </w:r>
      <w:r>
        <w:rPr>
          <w:lang/>
        </w:rPr>
        <w:fldChar w:fldCharType="begin"/>
      </w:r>
      <w:r>
        <w:rPr>
          <w:lang/>
        </w:rPr>
        <w:instrText xml:space="preserve"> PAGEREF _Toc59203039 \h </w:instrText>
      </w:r>
      <w:r>
        <w:rPr>
          <w:lang/>
        </w:rPr>
        <w:fldChar w:fldCharType="separate"/>
      </w:r>
      <w:r>
        <w:rPr>
          <w:lang/>
        </w:rPr>
        <w:t>85</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"_Toc59203040"</w:instrText>
      </w:r>
      <w:r>
        <w:rPr>
          <w:rStyle w:val="97"/>
          <w:lang/>
        </w:rPr>
        <w:instrText xml:space="preserve"> </w:instrText>
      </w:r>
      <w:r>
        <w:rPr>
          <w:rStyle w:val="97"/>
          <w:lang/>
        </w:rPr>
        <w:fldChar w:fldCharType="separate"/>
      </w:r>
      <w:r>
        <w:rPr>
          <w:rStyle w:val="97"/>
          <w:rFonts w:hint="eastAsia" w:ascii="宋体" w:hAnsi="宋体"/>
          <w:kern w:val="0"/>
          <w:lang/>
        </w:rPr>
        <w:t>附表</w:t>
      </w:r>
      <w:r>
        <w:rPr>
          <w:rStyle w:val="97"/>
          <w:rFonts w:ascii="宋体" w:hAnsi="宋体"/>
          <w:kern w:val="0"/>
          <w:lang/>
        </w:rPr>
        <w:t>A-8-4</w:t>
      </w:r>
      <w:r>
        <w:rPr>
          <w:rStyle w:val="97"/>
          <w:rFonts w:hint="eastAsia" w:ascii="宋体" w:hAnsi="宋体"/>
          <w:kern w:val="0"/>
          <w:lang/>
        </w:rPr>
        <w:t>：响应性评审记录表（设计标暗标）</w:t>
      </w:r>
      <w:r>
        <w:rPr>
          <w:lang/>
        </w:rPr>
        <w:tab/>
      </w:r>
      <w:r>
        <w:rPr>
          <w:lang/>
        </w:rPr>
        <w:fldChar w:fldCharType="begin"/>
      </w:r>
      <w:r>
        <w:rPr>
          <w:lang/>
        </w:rPr>
        <w:instrText xml:space="preserve"> PAGEREF _Toc59203040 \h </w:instrText>
      </w:r>
      <w:r>
        <w:rPr>
          <w:lang/>
        </w:rPr>
        <w:fldChar w:fldCharType="separate"/>
      </w:r>
      <w:r>
        <w:rPr>
          <w:lang/>
        </w:rPr>
        <w:t>86</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"_Toc59203041"</w:instrText>
      </w:r>
      <w:r>
        <w:rPr>
          <w:rStyle w:val="97"/>
          <w:lang/>
        </w:rPr>
        <w:instrText xml:space="preserve"> </w:instrText>
      </w:r>
      <w:r>
        <w:rPr>
          <w:rStyle w:val="97"/>
          <w:lang/>
        </w:rPr>
        <w:fldChar w:fldCharType="separate"/>
      </w:r>
      <w:r>
        <w:rPr>
          <w:rStyle w:val="97"/>
          <w:rFonts w:hint="eastAsia"/>
          <w:lang/>
        </w:rPr>
        <w:t>附表</w:t>
      </w:r>
      <w:r>
        <w:rPr>
          <w:rStyle w:val="97"/>
          <w:lang/>
        </w:rPr>
        <w:t>A-9</w:t>
      </w:r>
      <w:r>
        <w:rPr>
          <w:rStyle w:val="97"/>
          <w:rFonts w:hint="eastAsia"/>
          <w:lang/>
        </w:rPr>
        <w:t>：工程总承包工作大纲评分记录表</w:t>
      </w:r>
      <w:r>
        <w:rPr>
          <w:lang/>
        </w:rPr>
        <w:tab/>
      </w:r>
      <w:r>
        <w:rPr>
          <w:lang/>
        </w:rPr>
        <w:fldChar w:fldCharType="begin"/>
      </w:r>
      <w:r>
        <w:rPr>
          <w:lang/>
        </w:rPr>
        <w:instrText xml:space="preserve"> PAGEREF _Toc59203041 \h </w:instrText>
      </w:r>
      <w:r>
        <w:rPr>
          <w:lang/>
        </w:rPr>
        <w:fldChar w:fldCharType="separate"/>
      </w:r>
      <w:r>
        <w:rPr>
          <w:lang/>
        </w:rPr>
        <w:t>87</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"_Toc59203042"</w:instrText>
      </w:r>
      <w:r>
        <w:rPr>
          <w:rStyle w:val="97"/>
          <w:lang/>
        </w:rPr>
        <w:instrText xml:space="preserve"> </w:instrText>
      </w:r>
      <w:r>
        <w:rPr>
          <w:rStyle w:val="97"/>
          <w:lang/>
        </w:rPr>
        <w:fldChar w:fldCharType="separate"/>
      </w:r>
      <w:r>
        <w:rPr>
          <w:rStyle w:val="97"/>
          <w:rFonts w:hint="eastAsia"/>
          <w:lang/>
        </w:rPr>
        <w:t>附表</w:t>
      </w:r>
      <w:r>
        <w:rPr>
          <w:rStyle w:val="97"/>
          <w:lang/>
        </w:rPr>
        <w:t>A-10</w:t>
      </w:r>
      <w:r>
        <w:rPr>
          <w:rStyle w:val="97"/>
          <w:rFonts w:hint="eastAsia"/>
          <w:lang/>
        </w:rPr>
        <w:t>：投标人工程总承包工作大纲评分计算表</w:t>
      </w:r>
      <w:r>
        <w:rPr>
          <w:lang/>
        </w:rPr>
        <w:tab/>
      </w:r>
      <w:r>
        <w:rPr>
          <w:lang/>
        </w:rPr>
        <w:fldChar w:fldCharType="begin"/>
      </w:r>
      <w:r>
        <w:rPr>
          <w:lang/>
        </w:rPr>
        <w:instrText xml:space="preserve"> PAGEREF _Toc59203042 \h </w:instrText>
      </w:r>
      <w:r>
        <w:rPr>
          <w:lang/>
        </w:rPr>
        <w:fldChar w:fldCharType="separate"/>
      </w:r>
      <w:r>
        <w:rPr>
          <w:lang/>
        </w:rPr>
        <w:t>88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"_Toc59203043"</w:instrText>
      </w:r>
      <w:r>
        <w:rPr>
          <w:rStyle w:val="97"/>
          <w:lang/>
        </w:rPr>
        <w:instrText xml:space="preserve"> </w:instrText>
      </w:r>
      <w:r>
        <w:rPr>
          <w:rStyle w:val="97"/>
          <w:lang/>
        </w:rPr>
        <w:fldChar w:fldCharType="separate"/>
      </w:r>
      <w:r>
        <w:rPr>
          <w:rStyle w:val="97"/>
          <w:rFonts w:hint="eastAsia"/>
          <w:lang/>
        </w:rPr>
        <w:t>附表</w:t>
      </w:r>
      <w:r>
        <w:rPr>
          <w:rStyle w:val="97"/>
          <w:lang/>
        </w:rPr>
        <w:t>A-11</w:t>
      </w:r>
      <w:r>
        <w:rPr>
          <w:rStyle w:val="97"/>
          <w:rFonts w:hint="eastAsia"/>
          <w:lang/>
        </w:rPr>
        <w:t>：施工组织设计评分记录表</w:t>
      </w:r>
      <w:r>
        <w:rPr>
          <w:lang/>
        </w:rPr>
        <w:tab/>
      </w:r>
      <w:r>
        <w:rPr>
          <w:lang/>
        </w:rPr>
        <w:fldChar w:fldCharType="begin"/>
      </w:r>
      <w:r>
        <w:rPr>
          <w:lang/>
        </w:rPr>
        <w:instrText xml:space="preserve"> PAGEREF _Toc59203043 \h </w:instrText>
      </w:r>
      <w:r>
        <w:rPr>
          <w:lang/>
        </w:rPr>
        <w:fldChar w:fldCharType="separate"/>
      </w:r>
      <w:r>
        <w:rPr>
          <w:lang/>
        </w:rPr>
        <w:t>89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"_Toc59203044"</w:instrText>
      </w:r>
      <w:r>
        <w:rPr>
          <w:rStyle w:val="97"/>
          <w:lang/>
        </w:rPr>
        <w:instrText xml:space="preserve"> </w:instrText>
      </w:r>
      <w:r>
        <w:rPr>
          <w:rStyle w:val="97"/>
          <w:lang/>
        </w:rPr>
        <w:fldChar w:fldCharType="separate"/>
      </w:r>
      <w:r>
        <w:rPr>
          <w:rStyle w:val="97"/>
          <w:rFonts w:hint="eastAsia"/>
          <w:lang/>
        </w:rPr>
        <w:t>附表</w:t>
      </w:r>
      <w:r>
        <w:rPr>
          <w:rStyle w:val="97"/>
          <w:lang/>
        </w:rPr>
        <w:t>A-12</w:t>
      </w:r>
      <w:r>
        <w:rPr>
          <w:rStyle w:val="97"/>
          <w:rFonts w:hint="eastAsia"/>
          <w:lang/>
        </w:rPr>
        <w:t>：投标人施工组织设计评分计算表</w:t>
      </w:r>
      <w:r>
        <w:rPr>
          <w:lang/>
        </w:rPr>
        <w:tab/>
      </w:r>
      <w:r>
        <w:rPr>
          <w:lang/>
        </w:rPr>
        <w:fldChar w:fldCharType="begin"/>
      </w:r>
      <w:r>
        <w:rPr>
          <w:lang/>
        </w:rPr>
        <w:instrText xml:space="preserve"> PAGEREF _Toc59203044 \h </w:instrText>
      </w:r>
      <w:r>
        <w:rPr>
          <w:lang/>
        </w:rPr>
        <w:fldChar w:fldCharType="separate"/>
      </w:r>
      <w:r>
        <w:rPr>
          <w:lang/>
        </w:rPr>
        <w:t>91</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"_Toc59203045"</w:instrText>
      </w:r>
      <w:r>
        <w:rPr>
          <w:rStyle w:val="97"/>
          <w:lang/>
        </w:rPr>
        <w:instrText xml:space="preserve"> </w:instrText>
      </w:r>
      <w:r>
        <w:rPr>
          <w:rStyle w:val="97"/>
          <w:lang/>
        </w:rPr>
        <w:fldChar w:fldCharType="separate"/>
      </w:r>
      <w:r>
        <w:rPr>
          <w:rStyle w:val="97"/>
          <w:rFonts w:hint="eastAsia"/>
          <w:lang/>
        </w:rPr>
        <w:t>附表</w:t>
      </w:r>
      <w:r>
        <w:rPr>
          <w:rStyle w:val="97"/>
          <w:lang/>
        </w:rPr>
        <w:t>A-13</w:t>
      </w:r>
      <w:r>
        <w:rPr>
          <w:rStyle w:val="97"/>
          <w:rFonts w:hint="eastAsia"/>
          <w:lang/>
        </w:rPr>
        <w:t>：资信业绩评分记录表</w:t>
      </w:r>
      <w:r>
        <w:rPr>
          <w:lang/>
        </w:rPr>
        <w:tab/>
      </w:r>
      <w:r>
        <w:rPr>
          <w:lang/>
        </w:rPr>
        <w:fldChar w:fldCharType="begin"/>
      </w:r>
      <w:r>
        <w:rPr>
          <w:lang/>
        </w:rPr>
        <w:instrText xml:space="preserve"> PAGEREF _Toc59203045 \h </w:instrText>
      </w:r>
      <w:r>
        <w:rPr>
          <w:lang/>
        </w:rPr>
        <w:fldChar w:fldCharType="separate"/>
      </w:r>
      <w:r>
        <w:rPr>
          <w:lang/>
        </w:rPr>
        <w:t>93</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"_Toc59203046"</w:instrText>
      </w:r>
      <w:r>
        <w:rPr>
          <w:rStyle w:val="97"/>
          <w:lang/>
        </w:rPr>
        <w:instrText xml:space="preserve"> </w:instrText>
      </w:r>
      <w:r>
        <w:rPr>
          <w:rStyle w:val="97"/>
          <w:lang/>
        </w:rPr>
        <w:fldChar w:fldCharType="separate"/>
      </w:r>
      <w:r>
        <w:rPr>
          <w:rStyle w:val="97"/>
          <w:rFonts w:hint="eastAsia"/>
          <w:lang/>
        </w:rPr>
        <w:t>附表</w:t>
      </w:r>
      <w:r>
        <w:rPr>
          <w:rStyle w:val="97"/>
          <w:lang/>
        </w:rPr>
        <w:t>A-14</w:t>
      </w:r>
      <w:r>
        <w:rPr>
          <w:rStyle w:val="97"/>
          <w:rFonts w:hint="eastAsia"/>
          <w:lang/>
        </w:rPr>
        <w:t>：报价评分记录表</w:t>
      </w:r>
      <w:r>
        <w:rPr>
          <w:lang/>
        </w:rPr>
        <w:tab/>
      </w:r>
      <w:r>
        <w:rPr>
          <w:lang/>
        </w:rPr>
        <w:fldChar w:fldCharType="begin"/>
      </w:r>
      <w:r>
        <w:rPr>
          <w:lang/>
        </w:rPr>
        <w:instrText xml:space="preserve"> PAGEREF _Toc59203046 \h </w:instrText>
      </w:r>
      <w:r>
        <w:rPr>
          <w:lang/>
        </w:rPr>
        <w:fldChar w:fldCharType="separate"/>
      </w:r>
      <w:r>
        <w:rPr>
          <w:lang/>
        </w:rPr>
        <w:t>95</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"_Toc59203047"</w:instrText>
      </w:r>
      <w:r>
        <w:rPr>
          <w:rStyle w:val="97"/>
          <w:lang/>
        </w:rPr>
        <w:instrText xml:space="preserve"> </w:instrText>
      </w:r>
      <w:r>
        <w:rPr>
          <w:rStyle w:val="97"/>
          <w:lang/>
        </w:rPr>
        <w:fldChar w:fldCharType="separate"/>
      </w:r>
      <w:r>
        <w:rPr>
          <w:rStyle w:val="97"/>
          <w:rFonts w:hint="eastAsia"/>
          <w:lang/>
        </w:rPr>
        <w:t>附表</w:t>
      </w:r>
      <w:r>
        <w:rPr>
          <w:rStyle w:val="97"/>
          <w:lang/>
        </w:rPr>
        <w:t>A-15</w:t>
      </w:r>
      <w:r>
        <w:rPr>
          <w:rStyle w:val="97"/>
          <w:rFonts w:hint="eastAsia"/>
          <w:lang/>
        </w:rPr>
        <w:t>：施工企业信誉实力评分记录表</w:t>
      </w:r>
      <w:r>
        <w:rPr>
          <w:lang/>
        </w:rPr>
        <w:tab/>
      </w:r>
      <w:r>
        <w:rPr>
          <w:lang/>
        </w:rPr>
        <w:fldChar w:fldCharType="begin"/>
      </w:r>
      <w:r>
        <w:rPr>
          <w:lang/>
        </w:rPr>
        <w:instrText xml:space="preserve"> PAGEREF _Toc59203047 \h </w:instrText>
      </w:r>
      <w:r>
        <w:rPr>
          <w:lang/>
        </w:rPr>
        <w:fldChar w:fldCharType="separate"/>
      </w:r>
      <w:r>
        <w:rPr>
          <w:lang/>
        </w:rPr>
        <w:t>96</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"_Toc59203048"</w:instrText>
      </w:r>
      <w:r>
        <w:rPr>
          <w:rStyle w:val="97"/>
          <w:lang/>
        </w:rPr>
        <w:instrText xml:space="preserve"> </w:instrText>
      </w:r>
      <w:r>
        <w:rPr>
          <w:rStyle w:val="97"/>
          <w:lang/>
        </w:rPr>
        <w:fldChar w:fldCharType="separate"/>
      </w:r>
      <w:r>
        <w:rPr>
          <w:rStyle w:val="97"/>
          <w:rFonts w:hint="eastAsia"/>
          <w:lang/>
        </w:rPr>
        <w:t>附表</w:t>
      </w:r>
      <w:r>
        <w:rPr>
          <w:rStyle w:val="97"/>
          <w:lang/>
        </w:rPr>
        <w:t>A-15</w:t>
      </w:r>
      <w:r>
        <w:rPr>
          <w:rStyle w:val="97"/>
          <w:rFonts w:hint="eastAsia"/>
          <w:lang/>
        </w:rPr>
        <w:t>：施工企业信誉实力评分记录表</w:t>
      </w:r>
      <w:r>
        <w:rPr>
          <w:lang/>
        </w:rPr>
        <w:tab/>
      </w:r>
      <w:r>
        <w:rPr>
          <w:lang/>
        </w:rPr>
        <w:fldChar w:fldCharType="begin"/>
      </w:r>
      <w:r>
        <w:rPr>
          <w:lang/>
        </w:rPr>
        <w:instrText xml:space="preserve"> PAGEREF _Toc59203048 \h </w:instrText>
      </w:r>
      <w:r>
        <w:rPr>
          <w:lang/>
        </w:rPr>
        <w:fldChar w:fldCharType="separate"/>
      </w:r>
      <w:r>
        <w:rPr>
          <w:lang/>
        </w:rPr>
        <w:t>97</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"_Toc59203049"</w:instrText>
      </w:r>
      <w:r>
        <w:rPr>
          <w:rStyle w:val="97"/>
          <w:lang/>
        </w:rPr>
        <w:instrText xml:space="preserve"> </w:instrText>
      </w:r>
      <w:r>
        <w:rPr>
          <w:rStyle w:val="97"/>
          <w:lang/>
        </w:rPr>
        <w:fldChar w:fldCharType="separate"/>
      </w:r>
      <w:r>
        <w:rPr>
          <w:rStyle w:val="97"/>
          <w:rFonts w:hint="eastAsia"/>
          <w:lang/>
        </w:rPr>
        <w:t>附表</w:t>
      </w:r>
      <w:r>
        <w:rPr>
          <w:rStyle w:val="97"/>
          <w:lang/>
        </w:rPr>
        <w:t>A-16</w:t>
      </w:r>
      <w:r>
        <w:rPr>
          <w:rStyle w:val="97"/>
          <w:rFonts w:hint="eastAsia"/>
          <w:lang/>
        </w:rPr>
        <w:t>：企业信誉实力加权得分统计表</w:t>
      </w:r>
      <w:r>
        <w:rPr>
          <w:lang/>
        </w:rPr>
        <w:tab/>
      </w:r>
      <w:r>
        <w:rPr>
          <w:lang/>
        </w:rPr>
        <w:fldChar w:fldCharType="begin"/>
      </w:r>
      <w:r>
        <w:rPr>
          <w:lang/>
        </w:rPr>
        <w:instrText xml:space="preserve"> PAGEREF _Toc59203049 \h </w:instrText>
      </w:r>
      <w:r>
        <w:rPr>
          <w:lang/>
        </w:rPr>
        <w:fldChar w:fldCharType="separate"/>
      </w:r>
      <w:r>
        <w:rPr>
          <w:lang/>
        </w:rPr>
        <w:t>98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"_Toc59203050"</w:instrText>
      </w:r>
      <w:r>
        <w:rPr>
          <w:rStyle w:val="97"/>
          <w:lang/>
        </w:rPr>
        <w:instrText xml:space="preserve"> </w:instrText>
      </w:r>
      <w:r>
        <w:rPr>
          <w:rStyle w:val="97"/>
          <w:lang/>
        </w:rPr>
        <w:fldChar w:fldCharType="separate"/>
      </w:r>
      <w:r>
        <w:rPr>
          <w:rStyle w:val="97"/>
          <w:rFonts w:hint="eastAsia"/>
          <w:lang/>
        </w:rPr>
        <w:t>附表</w:t>
      </w:r>
      <w:r>
        <w:rPr>
          <w:rStyle w:val="97"/>
          <w:lang/>
        </w:rPr>
        <w:t>A-17</w:t>
      </w:r>
      <w:r>
        <w:rPr>
          <w:rStyle w:val="97"/>
          <w:rFonts w:hint="eastAsia"/>
          <w:lang/>
        </w:rPr>
        <w:t>：商务部分评分记录表</w:t>
      </w:r>
      <w:r>
        <w:rPr>
          <w:lang/>
        </w:rPr>
        <w:tab/>
      </w:r>
      <w:r>
        <w:rPr>
          <w:lang/>
        </w:rPr>
        <w:fldChar w:fldCharType="begin"/>
      </w:r>
      <w:r>
        <w:rPr>
          <w:lang/>
        </w:rPr>
        <w:instrText xml:space="preserve"> PAGEREF _Toc59203050 \h </w:instrText>
      </w:r>
      <w:r>
        <w:rPr>
          <w:lang/>
        </w:rPr>
        <w:fldChar w:fldCharType="separate"/>
      </w:r>
      <w:r>
        <w:rPr>
          <w:lang/>
        </w:rPr>
        <w:t>99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"_Toc59203051"</w:instrText>
      </w:r>
      <w:r>
        <w:rPr>
          <w:rStyle w:val="97"/>
          <w:lang/>
        </w:rPr>
        <w:instrText xml:space="preserve"> </w:instrText>
      </w:r>
      <w:r>
        <w:rPr>
          <w:rStyle w:val="97"/>
          <w:lang/>
        </w:rPr>
        <w:fldChar w:fldCharType="separate"/>
      </w:r>
      <w:r>
        <w:rPr>
          <w:rStyle w:val="97"/>
          <w:rFonts w:hint="eastAsia"/>
          <w:lang/>
        </w:rPr>
        <w:t>附表</w:t>
      </w:r>
      <w:r>
        <w:rPr>
          <w:rStyle w:val="97"/>
          <w:lang/>
        </w:rPr>
        <w:t>A-18</w:t>
      </w:r>
      <w:r>
        <w:rPr>
          <w:rStyle w:val="97"/>
          <w:rFonts w:hint="eastAsia"/>
          <w:lang/>
        </w:rPr>
        <w:t>：设计标评分记录表（适用方案设计完成后初步设计完成前以初步设计投标）</w:t>
      </w:r>
      <w:r>
        <w:rPr>
          <w:lang/>
        </w:rPr>
        <w:tab/>
      </w:r>
      <w:r>
        <w:rPr>
          <w:lang/>
        </w:rPr>
        <w:fldChar w:fldCharType="begin"/>
      </w:r>
      <w:r>
        <w:rPr>
          <w:lang/>
        </w:rPr>
        <w:instrText xml:space="preserve"> PAGEREF _Toc59203051 \h </w:instrText>
      </w:r>
      <w:r>
        <w:rPr>
          <w:lang/>
        </w:rPr>
        <w:fldChar w:fldCharType="separate"/>
      </w:r>
      <w:r>
        <w:rPr>
          <w:lang/>
        </w:rPr>
        <w:t>100</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"_Toc59203052"</w:instrText>
      </w:r>
      <w:r>
        <w:rPr>
          <w:rStyle w:val="97"/>
          <w:lang/>
        </w:rPr>
        <w:instrText xml:space="preserve"> </w:instrText>
      </w:r>
      <w:r>
        <w:rPr>
          <w:rStyle w:val="97"/>
          <w:lang/>
        </w:rPr>
        <w:fldChar w:fldCharType="separate"/>
      </w:r>
      <w:r>
        <w:rPr>
          <w:rStyle w:val="97"/>
          <w:rFonts w:hint="eastAsia"/>
          <w:lang/>
        </w:rPr>
        <w:t>附表</w:t>
      </w:r>
      <w:r>
        <w:rPr>
          <w:rStyle w:val="97"/>
          <w:lang/>
        </w:rPr>
        <w:t>A-19</w:t>
      </w:r>
      <w:r>
        <w:rPr>
          <w:rStyle w:val="97"/>
          <w:rFonts w:hint="eastAsia"/>
          <w:lang/>
        </w:rPr>
        <w:t>：投标人设计标评分计算表</w:t>
      </w:r>
      <w:r>
        <w:rPr>
          <w:lang/>
        </w:rPr>
        <w:tab/>
      </w:r>
      <w:r>
        <w:rPr>
          <w:lang/>
        </w:rPr>
        <w:fldChar w:fldCharType="begin"/>
      </w:r>
      <w:r>
        <w:rPr>
          <w:lang/>
        </w:rPr>
        <w:instrText xml:space="preserve"> PAGEREF _Toc59203052 \h </w:instrText>
      </w:r>
      <w:r>
        <w:rPr>
          <w:lang/>
        </w:rPr>
        <w:fldChar w:fldCharType="separate"/>
      </w:r>
      <w:r>
        <w:rPr>
          <w:lang/>
        </w:rPr>
        <w:t>101</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"_Toc59203053"</w:instrText>
      </w:r>
      <w:r>
        <w:rPr>
          <w:rStyle w:val="97"/>
          <w:lang/>
        </w:rPr>
        <w:instrText xml:space="preserve"> </w:instrText>
      </w:r>
      <w:r>
        <w:rPr>
          <w:rStyle w:val="97"/>
          <w:lang/>
        </w:rPr>
        <w:fldChar w:fldCharType="separate"/>
      </w:r>
      <w:r>
        <w:rPr>
          <w:rStyle w:val="97"/>
          <w:rFonts w:hint="eastAsia"/>
          <w:lang/>
        </w:rPr>
        <w:t>附表</w:t>
      </w:r>
      <w:r>
        <w:rPr>
          <w:rStyle w:val="97"/>
          <w:lang/>
        </w:rPr>
        <w:t>A-18</w:t>
      </w:r>
      <w:r>
        <w:rPr>
          <w:rStyle w:val="97"/>
          <w:rFonts w:hint="eastAsia"/>
          <w:lang/>
        </w:rPr>
        <w:t>：设计标评分记录表（适用方案设计完成后初步设计完成前以初步设计投标）</w:t>
      </w:r>
      <w:r>
        <w:rPr>
          <w:lang/>
        </w:rPr>
        <w:tab/>
      </w:r>
      <w:r>
        <w:rPr>
          <w:lang/>
        </w:rPr>
        <w:fldChar w:fldCharType="begin"/>
      </w:r>
      <w:r>
        <w:rPr>
          <w:lang/>
        </w:rPr>
        <w:instrText xml:space="preserve"> PAGEREF _Toc59203053 \h </w:instrText>
      </w:r>
      <w:r>
        <w:rPr>
          <w:lang/>
        </w:rPr>
        <w:fldChar w:fldCharType="separate"/>
      </w:r>
      <w:r>
        <w:rPr>
          <w:lang/>
        </w:rPr>
        <w:t>104</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"_Toc59203054"</w:instrText>
      </w:r>
      <w:r>
        <w:rPr>
          <w:rStyle w:val="97"/>
          <w:lang/>
        </w:rPr>
        <w:instrText xml:space="preserve"> </w:instrText>
      </w:r>
      <w:r>
        <w:rPr>
          <w:rStyle w:val="97"/>
          <w:lang/>
        </w:rPr>
        <w:fldChar w:fldCharType="separate"/>
      </w:r>
      <w:r>
        <w:rPr>
          <w:rStyle w:val="97"/>
          <w:rFonts w:hint="eastAsia"/>
          <w:lang/>
        </w:rPr>
        <w:t>附表</w:t>
      </w:r>
      <w:r>
        <w:rPr>
          <w:rStyle w:val="97"/>
          <w:lang/>
        </w:rPr>
        <w:t>A-19</w:t>
      </w:r>
      <w:r>
        <w:rPr>
          <w:rStyle w:val="97"/>
          <w:rFonts w:hint="eastAsia"/>
          <w:lang/>
        </w:rPr>
        <w:t>：投标人设计标评分计算表</w:t>
      </w:r>
      <w:r>
        <w:rPr>
          <w:lang/>
        </w:rPr>
        <w:tab/>
      </w:r>
      <w:r>
        <w:rPr>
          <w:lang/>
        </w:rPr>
        <w:fldChar w:fldCharType="begin"/>
      </w:r>
      <w:r>
        <w:rPr>
          <w:lang/>
        </w:rPr>
        <w:instrText xml:space="preserve"> PAGEREF _Toc59203054 \h </w:instrText>
      </w:r>
      <w:r>
        <w:rPr>
          <w:lang/>
        </w:rPr>
        <w:fldChar w:fldCharType="separate"/>
      </w:r>
      <w:r>
        <w:rPr>
          <w:lang/>
        </w:rPr>
        <w:t>106</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"_Toc59203055"</w:instrText>
      </w:r>
      <w:r>
        <w:rPr>
          <w:rStyle w:val="97"/>
          <w:lang/>
        </w:rPr>
        <w:instrText xml:space="preserve"> </w:instrText>
      </w:r>
      <w:r>
        <w:rPr>
          <w:rStyle w:val="97"/>
          <w:lang/>
        </w:rPr>
        <w:fldChar w:fldCharType="separate"/>
      </w:r>
      <w:r>
        <w:rPr>
          <w:rStyle w:val="97"/>
          <w:rFonts w:hint="eastAsia"/>
          <w:lang/>
        </w:rPr>
        <w:t>附表</w:t>
      </w:r>
      <w:r>
        <w:rPr>
          <w:rStyle w:val="97"/>
          <w:lang/>
        </w:rPr>
        <w:t>A-18</w:t>
      </w:r>
      <w:r>
        <w:rPr>
          <w:rStyle w:val="97"/>
          <w:rFonts w:hint="eastAsia"/>
          <w:lang/>
        </w:rPr>
        <w:t>：设计标评分记录表（适用初步设计完成后施工图设计完成前以深化初步设计投标）</w:t>
      </w:r>
      <w:r>
        <w:rPr>
          <w:lang/>
        </w:rPr>
        <w:tab/>
      </w:r>
      <w:r>
        <w:rPr>
          <w:lang/>
        </w:rPr>
        <w:fldChar w:fldCharType="begin"/>
      </w:r>
      <w:r>
        <w:rPr>
          <w:lang/>
        </w:rPr>
        <w:instrText xml:space="preserve"> PAGEREF _Toc59203055 \h </w:instrText>
      </w:r>
      <w:r>
        <w:rPr>
          <w:lang/>
        </w:rPr>
        <w:fldChar w:fldCharType="separate"/>
      </w:r>
      <w:r>
        <w:rPr>
          <w:lang/>
        </w:rPr>
        <w:t>111</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"_Toc59203056"</w:instrText>
      </w:r>
      <w:r>
        <w:rPr>
          <w:rStyle w:val="97"/>
          <w:lang/>
        </w:rPr>
        <w:instrText xml:space="preserve"> </w:instrText>
      </w:r>
      <w:r>
        <w:rPr>
          <w:rStyle w:val="97"/>
          <w:lang/>
        </w:rPr>
        <w:fldChar w:fldCharType="separate"/>
      </w:r>
      <w:r>
        <w:rPr>
          <w:rStyle w:val="97"/>
          <w:rFonts w:hint="eastAsia"/>
          <w:lang/>
        </w:rPr>
        <w:t>附表</w:t>
      </w:r>
      <w:r>
        <w:rPr>
          <w:rStyle w:val="97"/>
          <w:lang/>
        </w:rPr>
        <w:t>A-19</w:t>
      </w:r>
      <w:r>
        <w:rPr>
          <w:rStyle w:val="97"/>
          <w:rFonts w:hint="eastAsia"/>
          <w:lang/>
        </w:rPr>
        <w:t>：投标人设计标评分计算表</w:t>
      </w:r>
      <w:r>
        <w:rPr>
          <w:lang/>
        </w:rPr>
        <w:tab/>
      </w:r>
      <w:r>
        <w:rPr>
          <w:lang/>
        </w:rPr>
        <w:fldChar w:fldCharType="begin"/>
      </w:r>
      <w:r>
        <w:rPr>
          <w:lang/>
        </w:rPr>
        <w:instrText xml:space="preserve"> PAGEREF _Toc59203056 \h </w:instrText>
      </w:r>
      <w:r>
        <w:rPr>
          <w:lang/>
        </w:rPr>
        <w:fldChar w:fldCharType="separate"/>
      </w:r>
      <w:r>
        <w:rPr>
          <w:lang/>
        </w:rPr>
        <w:t>112</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"_Toc59203057"</w:instrText>
      </w:r>
      <w:r>
        <w:rPr>
          <w:rStyle w:val="97"/>
          <w:lang/>
        </w:rPr>
        <w:instrText xml:space="preserve"> </w:instrText>
      </w:r>
      <w:r>
        <w:rPr>
          <w:rStyle w:val="97"/>
          <w:lang/>
        </w:rPr>
        <w:fldChar w:fldCharType="separate"/>
      </w:r>
      <w:r>
        <w:rPr>
          <w:rStyle w:val="97"/>
          <w:rFonts w:hint="eastAsia"/>
          <w:lang/>
        </w:rPr>
        <w:t>附表</w:t>
      </w:r>
      <w:r>
        <w:rPr>
          <w:rStyle w:val="97"/>
          <w:lang/>
        </w:rPr>
        <w:t>A-18</w:t>
      </w:r>
      <w:r>
        <w:rPr>
          <w:rStyle w:val="97"/>
          <w:rFonts w:hint="eastAsia"/>
          <w:lang/>
        </w:rPr>
        <w:t>：设计标评分记录表（适用初步设计完成后施工图设计完成前以深化初步设计投标）</w:t>
      </w:r>
      <w:r>
        <w:rPr>
          <w:lang/>
        </w:rPr>
        <w:tab/>
      </w:r>
      <w:r>
        <w:rPr>
          <w:lang/>
        </w:rPr>
        <w:fldChar w:fldCharType="begin"/>
      </w:r>
      <w:r>
        <w:rPr>
          <w:lang/>
        </w:rPr>
        <w:instrText xml:space="preserve"> PAGEREF _Toc59203057 \h </w:instrText>
      </w:r>
      <w:r>
        <w:rPr>
          <w:lang/>
        </w:rPr>
        <w:fldChar w:fldCharType="separate"/>
      </w:r>
      <w:r>
        <w:rPr>
          <w:lang/>
        </w:rPr>
        <w:t>113</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"_Toc59203058"</w:instrText>
      </w:r>
      <w:r>
        <w:rPr>
          <w:rStyle w:val="97"/>
          <w:lang/>
        </w:rPr>
        <w:instrText xml:space="preserve"> </w:instrText>
      </w:r>
      <w:r>
        <w:rPr>
          <w:rStyle w:val="97"/>
          <w:lang/>
        </w:rPr>
        <w:fldChar w:fldCharType="separate"/>
      </w:r>
      <w:r>
        <w:rPr>
          <w:rStyle w:val="97"/>
          <w:rFonts w:hint="eastAsia"/>
          <w:lang/>
        </w:rPr>
        <w:t>附表</w:t>
      </w:r>
      <w:r>
        <w:rPr>
          <w:rStyle w:val="97"/>
          <w:lang/>
        </w:rPr>
        <w:t>A-19</w:t>
      </w:r>
      <w:r>
        <w:rPr>
          <w:rStyle w:val="97"/>
          <w:rFonts w:hint="eastAsia"/>
          <w:lang/>
        </w:rPr>
        <w:t>：投标人设计标评分计算表</w:t>
      </w:r>
      <w:r>
        <w:rPr>
          <w:lang/>
        </w:rPr>
        <w:tab/>
      </w:r>
      <w:r>
        <w:rPr>
          <w:lang/>
        </w:rPr>
        <w:fldChar w:fldCharType="begin"/>
      </w:r>
      <w:r>
        <w:rPr>
          <w:lang/>
        </w:rPr>
        <w:instrText xml:space="preserve"> PAGEREF _Toc59203058 \h </w:instrText>
      </w:r>
      <w:r>
        <w:rPr>
          <w:lang/>
        </w:rPr>
        <w:fldChar w:fldCharType="separate"/>
      </w:r>
      <w:r>
        <w:rPr>
          <w:lang/>
        </w:rPr>
        <w:t>115</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"_Toc59203059"</w:instrText>
      </w:r>
      <w:r>
        <w:rPr>
          <w:rStyle w:val="97"/>
          <w:lang/>
        </w:rPr>
        <w:instrText xml:space="preserve"> </w:instrText>
      </w:r>
      <w:r>
        <w:rPr>
          <w:rStyle w:val="97"/>
          <w:lang/>
        </w:rPr>
        <w:fldChar w:fldCharType="separate"/>
      </w:r>
      <w:r>
        <w:rPr>
          <w:rStyle w:val="97"/>
          <w:rFonts w:hint="eastAsia"/>
          <w:lang/>
        </w:rPr>
        <w:t>附表</w:t>
      </w:r>
      <w:r>
        <w:rPr>
          <w:rStyle w:val="97"/>
          <w:lang/>
        </w:rPr>
        <w:t>A-20</w:t>
      </w:r>
      <w:r>
        <w:rPr>
          <w:rStyle w:val="97"/>
          <w:rFonts w:hint="eastAsia"/>
          <w:lang/>
        </w:rPr>
        <w:t>：评标结果汇总表</w:t>
      </w:r>
      <w:r>
        <w:rPr>
          <w:lang/>
        </w:rPr>
        <w:tab/>
      </w:r>
      <w:r>
        <w:rPr>
          <w:lang/>
        </w:rPr>
        <w:fldChar w:fldCharType="begin"/>
      </w:r>
      <w:r>
        <w:rPr>
          <w:lang/>
        </w:rPr>
        <w:instrText xml:space="preserve"> PAGEREF _Toc59203059 \h </w:instrText>
      </w:r>
      <w:r>
        <w:rPr>
          <w:lang/>
        </w:rPr>
        <w:fldChar w:fldCharType="separate"/>
      </w:r>
      <w:r>
        <w:rPr>
          <w:lang/>
        </w:rPr>
        <w:t>116</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"_Toc59203060"</w:instrText>
      </w:r>
      <w:r>
        <w:rPr>
          <w:rStyle w:val="97"/>
          <w:lang/>
        </w:rPr>
        <w:instrText xml:space="preserve"> </w:instrText>
      </w:r>
      <w:r>
        <w:rPr>
          <w:rStyle w:val="97"/>
          <w:lang/>
        </w:rPr>
        <w:fldChar w:fldCharType="separate"/>
      </w:r>
      <w:r>
        <w:rPr>
          <w:rStyle w:val="97"/>
          <w:rFonts w:hint="eastAsia"/>
          <w:lang/>
        </w:rPr>
        <w:t>附表</w:t>
      </w:r>
      <w:r>
        <w:rPr>
          <w:rStyle w:val="97"/>
          <w:lang/>
        </w:rPr>
        <w:t>A-21</w:t>
      </w:r>
      <w:r>
        <w:rPr>
          <w:rStyle w:val="97"/>
          <w:rFonts w:hint="eastAsia"/>
          <w:lang/>
        </w:rPr>
        <w:t>：中标候选人公示</w:t>
      </w:r>
      <w:r>
        <w:rPr>
          <w:lang/>
        </w:rPr>
        <w:tab/>
      </w:r>
      <w:r>
        <w:rPr>
          <w:lang/>
        </w:rPr>
        <w:fldChar w:fldCharType="begin"/>
      </w:r>
      <w:r>
        <w:rPr>
          <w:lang/>
        </w:rPr>
        <w:instrText xml:space="preserve"> PAGEREF _Toc59203060 \h </w:instrText>
      </w:r>
      <w:r>
        <w:rPr>
          <w:lang/>
        </w:rPr>
        <w:fldChar w:fldCharType="separate"/>
      </w:r>
      <w:r>
        <w:rPr>
          <w:lang/>
        </w:rPr>
        <w:t>118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"_Toc59203061"</w:instrText>
      </w:r>
      <w:r>
        <w:rPr>
          <w:rStyle w:val="97"/>
          <w:lang/>
        </w:rPr>
        <w:instrText xml:space="preserve"> </w:instrText>
      </w:r>
      <w:r>
        <w:rPr>
          <w:rStyle w:val="97"/>
          <w:lang/>
        </w:rPr>
        <w:fldChar w:fldCharType="separate"/>
      </w:r>
      <w:r>
        <w:rPr>
          <w:rStyle w:val="97"/>
          <w:rFonts w:hint="eastAsia"/>
          <w:lang/>
        </w:rPr>
        <w:t>附表</w:t>
      </w:r>
      <w:r>
        <w:rPr>
          <w:rStyle w:val="97"/>
          <w:lang/>
        </w:rPr>
        <w:t>A-22</w:t>
      </w:r>
      <w:r>
        <w:rPr>
          <w:rStyle w:val="97"/>
          <w:rFonts w:hint="eastAsia"/>
          <w:lang/>
        </w:rPr>
        <w:t>：中标通知书</w:t>
      </w:r>
      <w:r>
        <w:rPr>
          <w:lang/>
        </w:rPr>
        <w:tab/>
      </w:r>
      <w:r>
        <w:rPr>
          <w:lang/>
        </w:rPr>
        <w:fldChar w:fldCharType="begin"/>
      </w:r>
      <w:r>
        <w:rPr>
          <w:lang/>
        </w:rPr>
        <w:instrText xml:space="preserve"> PAGEREF _Toc59203061 \h </w:instrText>
      </w:r>
      <w:r>
        <w:rPr>
          <w:lang/>
        </w:rPr>
        <w:fldChar w:fldCharType="separate"/>
      </w:r>
      <w:r>
        <w:rPr>
          <w:lang/>
        </w:rPr>
        <w:t>1</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"_Toc59203062"</w:instrText>
      </w:r>
      <w:r>
        <w:rPr>
          <w:rStyle w:val="97"/>
          <w:lang/>
        </w:rPr>
        <w:instrText xml:space="preserve"> </w:instrText>
      </w:r>
      <w:r>
        <w:rPr>
          <w:rStyle w:val="97"/>
          <w:lang/>
        </w:rPr>
        <w:fldChar w:fldCharType="separate"/>
      </w:r>
      <w:r>
        <w:rPr>
          <w:rStyle w:val="97"/>
          <w:rFonts w:hint="eastAsia"/>
          <w:lang/>
        </w:rPr>
        <w:t>附表</w:t>
      </w:r>
      <w:r>
        <w:rPr>
          <w:rStyle w:val="97"/>
          <w:lang/>
        </w:rPr>
        <w:t>A-23</w:t>
      </w:r>
      <w:r>
        <w:rPr>
          <w:rStyle w:val="97"/>
          <w:rFonts w:hint="eastAsia"/>
          <w:lang/>
        </w:rPr>
        <w:t>：中标公告</w:t>
      </w:r>
      <w:r>
        <w:rPr>
          <w:lang/>
        </w:rPr>
        <w:tab/>
      </w:r>
      <w:r>
        <w:rPr>
          <w:lang/>
        </w:rPr>
        <w:fldChar w:fldCharType="begin"/>
      </w:r>
      <w:r>
        <w:rPr>
          <w:lang/>
        </w:rPr>
        <w:instrText xml:space="preserve"> PAGEREF _Toc59203062 \h </w:instrText>
      </w:r>
      <w:r>
        <w:rPr>
          <w:lang/>
        </w:rPr>
        <w:fldChar w:fldCharType="separate"/>
      </w:r>
      <w:r>
        <w:rPr>
          <w:lang/>
        </w:rPr>
        <w:t>3</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"_Toc59203063"</w:instrText>
      </w:r>
      <w:r>
        <w:rPr>
          <w:rStyle w:val="97"/>
          <w:lang/>
        </w:rPr>
        <w:instrText xml:space="preserve"> </w:instrText>
      </w:r>
      <w:r>
        <w:rPr>
          <w:rStyle w:val="97"/>
          <w:lang/>
        </w:rPr>
        <w:fldChar w:fldCharType="separate"/>
      </w:r>
      <w:r>
        <w:rPr>
          <w:rStyle w:val="97"/>
          <w:rFonts w:hint="eastAsia"/>
          <w:lang/>
        </w:rPr>
        <w:t>附表</w:t>
      </w:r>
      <w:r>
        <w:rPr>
          <w:rStyle w:val="97"/>
          <w:lang/>
        </w:rPr>
        <w:t>A-24</w:t>
      </w:r>
      <w:r>
        <w:rPr>
          <w:rStyle w:val="97"/>
          <w:rFonts w:hint="eastAsia"/>
          <w:lang/>
        </w:rPr>
        <w:t>：中标结果通知书</w:t>
      </w:r>
      <w:r>
        <w:rPr>
          <w:lang/>
        </w:rPr>
        <w:tab/>
      </w:r>
      <w:r>
        <w:rPr>
          <w:lang/>
        </w:rPr>
        <w:fldChar w:fldCharType="begin"/>
      </w:r>
      <w:r>
        <w:rPr>
          <w:lang/>
        </w:rPr>
        <w:instrText xml:space="preserve"> PAGEREF _Toc59203063 \h </w:instrText>
      </w:r>
      <w:r>
        <w:rPr>
          <w:lang/>
        </w:rPr>
        <w:fldChar w:fldCharType="separate"/>
      </w:r>
      <w:r>
        <w:rPr>
          <w:lang/>
        </w:rPr>
        <w:t>4</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"_Toc59203064"</w:instrText>
      </w:r>
      <w:r>
        <w:rPr>
          <w:rStyle w:val="97"/>
          <w:lang/>
        </w:rPr>
        <w:instrText xml:space="preserve"> </w:instrText>
      </w:r>
      <w:r>
        <w:rPr>
          <w:rStyle w:val="97"/>
          <w:lang/>
        </w:rPr>
        <w:fldChar w:fldCharType="separate"/>
      </w:r>
      <w:r>
        <w:rPr>
          <w:rStyle w:val="97"/>
          <w:rFonts w:hint="eastAsia"/>
          <w:lang/>
        </w:rPr>
        <w:t>附表</w:t>
      </w:r>
      <w:r>
        <w:rPr>
          <w:rStyle w:val="97"/>
          <w:lang/>
        </w:rPr>
        <w:t>A-25</w:t>
      </w:r>
      <w:r>
        <w:rPr>
          <w:rStyle w:val="97"/>
          <w:rFonts w:hint="eastAsia"/>
          <w:lang/>
        </w:rPr>
        <w:t>：确认通知</w:t>
      </w:r>
      <w:r>
        <w:rPr>
          <w:lang/>
        </w:rPr>
        <w:tab/>
      </w:r>
      <w:r>
        <w:rPr>
          <w:lang/>
        </w:rPr>
        <w:fldChar w:fldCharType="begin"/>
      </w:r>
      <w:r>
        <w:rPr>
          <w:lang/>
        </w:rPr>
        <w:instrText xml:space="preserve"> PAGEREF _Toc59203064 \h </w:instrText>
      </w:r>
      <w:r>
        <w:rPr>
          <w:lang/>
        </w:rPr>
        <w:fldChar w:fldCharType="separate"/>
      </w:r>
      <w:r>
        <w:rPr>
          <w:lang/>
        </w:rPr>
        <w:t>5</w:t>
      </w:r>
      <w:r>
        <w:rPr>
          <w:lang/>
        </w:rPr>
        <w:fldChar w:fldCharType="end"/>
      </w:r>
      <w:r>
        <w:rPr>
          <w:rStyle w:val="97"/>
          <w:lang/>
        </w:rPr>
        <w:fldChar w:fldCharType="end"/>
      </w:r>
    </w:p>
    <w:p>
      <w:pPr>
        <w:pStyle w:val="55"/>
        <w:tabs>
          <w:tab w:val="right" w:leader="dot" w:pos="9629"/>
        </w:tabs>
        <w:rPr>
          <w:rFonts w:ascii="Calibri" w:hAnsi="Calibri"/>
          <w:b w:val="0"/>
          <w:bCs w:val="0"/>
          <w:caps w:val="0"/>
          <w:sz w:val="21"/>
          <w:szCs w:val="22"/>
          <w:lang/>
        </w:rPr>
      </w:pPr>
      <w:r>
        <w:rPr>
          <w:rStyle w:val="97"/>
          <w:lang/>
        </w:rPr>
        <w:fldChar w:fldCharType="begin"/>
      </w:r>
      <w:r>
        <w:rPr>
          <w:rStyle w:val="97"/>
          <w:lang/>
        </w:rPr>
        <w:instrText xml:space="preserve"> </w:instrText>
      </w:r>
      <w:r>
        <w:rPr>
          <w:lang/>
        </w:rPr>
        <w:instrText xml:space="preserve">HYPERLINK \l "_Toc59203065"</w:instrText>
      </w:r>
      <w:r>
        <w:rPr>
          <w:rStyle w:val="97"/>
          <w:lang/>
        </w:rPr>
        <w:instrText xml:space="preserve"> </w:instrText>
      </w:r>
      <w:r>
        <w:rPr>
          <w:rStyle w:val="97"/>
          <w:lang/>
        </w:rPr>
        <w:fldChar w:fldCharType="separate"/>
      </w:r>
      <w:r>
        <w:rPr>
          <w:rStyle w:val="97"/>
          <w:rFonts w:hint="eastAsia"/>
          <w:lang/>
        </w:rPr>
        <w:t>第四章</w:t>
      </w:r>
      <w:r>
        <w:rPr>
          <w:rStyle w:val="97"/>
          <w:lang/>
        </w:rPr>
        <w:t xml:space="preserve">  </w:t>
      </w:r>
      <w:r>
        <w:rPr>
          <w:rStyle w:val="97"/>
          <w:rFonts w:hint="eastAsia"/>
          <w:lang/>
        </w:rPr>
        <w:t>合同条款及格式</w:t>
      </w:r>
      <w:r>
        <w:rPr>
          <w:lang/>
        </w:rPr>
        <w:tab/>
      </w:r>
      <w:r>
        <w:rPr>
          <w:lang/>
        </w:rPr>
        <w:fldChar w:fldCharType="begin"/>
      </w:r>
      <w:r>
        <w:rPr>
          <w:lang/>
        </w:rPr>
        <w:instrText xml:space="preserve"> PAGEREF _Toc59203065 \h </w:instrText>
      </w:r>
      <w:r>
        <w:rPr>
          <w:lang/>
        </w:rPr>
        <w:fldChar w:fldCharType="separate"/>
      </w:r>
      <w:r>
        <w:rPr>
          <w:lang/>
        </w:rPr>
        <w:t>6</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"_Toc59203066"</w:instrText>
      </w:r>
      <w:r>
        <w:rPr>
          <w:rStyle w:val="97"/>
          <w:lang/>
        </w:rPr>
        <w:instrText xml:space="preserve"> </w:instrText>
      </w:r>
      <w:r>
        <w:rPr>
          <w:rStyle w:val="97"/>
          <w:lang/>
        </w:rPr>
        <w:fldChar w:fldCharType="separate"/>
      </w:r>
      <w:r>
        <w:rPr>
          <w:rStyle w:val="97"/>
          <w:rFonts w:hint="eastAsia"/>
          <w:lang/>
        </w:rPr>
        <w:t>第一部分</w:t>
      </w:r>
      <w:r>
        <w:rPr>
          <w:rStyle w:val="97"/>
          <w:lang/>
        </w:rPr>
        <w:t xml:space="preserve"> </w:t>
      </w:r>
      <w:r>
        <w:rPr>
          <w:rStyle w:val="97"/>
          <w:rFonts w:hint="eastAsia"/>
          <w:lang/>
        </w:rPr>
        <w:t>合同协议书</w:t>
      </w:r>
      <w:r>
        <w:rPr>
          <w:lang/>
        </w:rPr>
        <w:tab/>
      </w:r>
      <w:r>
        <w:rPr>
          <w:lang/>
        </w:rPr>
        <w:fldChar w:fldCharType="begin"/>
      </w:r>
      <w:r>
        <w:rPr>
          <w:lang/>
        </w:rPr>
        <w:instrText xml:space="preserve"> PAGEREF _Toc59203066 \h </w:instrText>
      </w:r>
      <w:r>
        <w:rPr>
          <w:lang/>
        </w:rPr>
        <w:fldChar w:fldCharType="separate"/>
      </w:r>
      <w:r>
        <w:rPr>
          <w:lang/>
        </w:rPr>
        <w:t>6</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"_Toc59203067"</w:instrText>
      </w:r>
      <w:r>
        <w:rPr>
          <w:rStyle w:val="97"/>
          <w:lang/>
        </w:rPr>
        <w:instrText xml:space="preserve"> </w:instrText>
      </w:r>
      <w:r>
        <w:rPr>
          <w:rStyle w:val="97"/>
          <w:lang/>
        </w:rPr>
        <w:fldChar w:fldCharType="separate"/>
      </w:r>
      <w:r>
        <w:rPr>
          <w:rStyle w:val="97"/>
          <w:rFonts w:hint="eastAsia" w:cs="宋体"/>
          <w:lang/>
        </w:rPr>
        <w:t>一、工程概况</w:t>
      </w:r>
      <w:r>
        <w:rPr>
          <w:lang/>
        </w:rPr>
        <w:tab/>
      </w:r>
      <w:r>
        <w:rPr>
          <w:lang/>
        </w:rPr>
        <w:fldChar w:fldCharType="begin"/>
      </w:r>
      <w:r>
        <w:rPr>
          <w:lang/>
        </w:rPr>
        <w:instrText xml:space="preserve"> PAGEREF _Toc59203067 \h </w:instrText>
      </w:r>
      <w:r>
        <w:rPr>
          <w:lang/>
        </w:rPr>
        <w:fldChar w:fldCharType="separate"/>
      </w:r>
      <w:r>
        <w:rPr>
          <w:lang/>
        </w:rPr>
        <w:t>6</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"_Toc59203068"</w:instrText>
      </w:r>
      <w:r>
        <w:rPr>
          <w:rStyle w:val="97"/>
          <w:lang/>
        </w:rPr>
        <w:instrText xml:space="preserve"> </w:instrText>
      </w:r>
      <w:r>
        <w:rPr>
          <w:rStyle w:val="97"/>
          <w:lang/>
        </w:rPr>
        <w:fldChar w:fldCharType="separate"/>
      </w:r>
      <w:r>
        <w:rPr>
          <w:rStyle w:val="97"/>
          <w:rFonts w:hint="eastAsia" w:cs="宋体"/>
          <w:lang/>
        </w:rPr>
        <w:t>二、合同工期</w:t>
      </w:r>
      <w:r>
        <w:rPr>
          <w:lang/>
        </w:rPr>
        <w:tab/>
      </w:r>
      <w:r>
        <w:rPr>
          <w:lang/>
        </w:rPr>
        <w:fldChar w:fldCharType="begin"/>
      </w:r>
      <w:r>
        <w:rPr>
          <w:lang/>
        </w:rPr>
        <w:instrText xml:space="preserve"> PAGEREF _Toc59203068 \h </w:instrText>
      </w:r>
      <w:r>
        <w:rPr>
          <w:lang/>
        </w:rPr>
        <w:fldChar w:fldCharType="separate"/>
      </w:r>
      <w:r>
        <w:rPr>
          <w:lang/>
        </w:rPr>
        <w:t>6</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"_Toc59203069"</w:instrText>
      </w:r>
      <w:r>
        <w:rPr>
          <w:rStyle w:val="97"/>
          <w:lang/>
        </w:rPr>
        <w:instrText xml:space="preserve"> </w:instrText>
      </w:r>
      <w:r>
        <w:rPr>
          <w:rStyle w:val="97"/>
          <w:lang/>
        </w:rPr>
        <w:fldChar w:fldCharType="separate"/>
      </w:r>
      <w:r>
        <w:rPr>
          <w:rStyle w:val="97"/>
          <w:rFonts w:hint="eastAsia" w:cs="宋体"/>
          <w:lang/>
        </w:rPr>
        <w:t>三、质量标准</w:t>
      </w:r>
      <w:r>
        <w:rPr>
          <w:lang/>
        </w:rPr>
        <w:tab/>
      </w:r>
      <w:r>
        <w:rPr>
          <w:lang/>
        </w:rPr>
        <w:fldChar w:fldCharType="begin"/>
      </w:r>
      <w:r>
        <w:rPr>
          <w:lang/>
        </w:rPr>
        <w:instrText xml:space="preserve"> PAGEREF _Toc59203069 \h </w:instrText>
      </w:r>
      <w:r>
        <w:rPr>
          <w:lang/>
        </w:rPr>
        <w:fldChar w:fldCharType="separate"/>
      </w:r>
      <w:r>
        <w:rPr>
          <w:lang/>
        </w:rPr>
        <w:t>6</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"_Toc59203070"</w:instrText>
      </w:r>
      <w:r>
        <w:rPr>
          <w:rStyle w:val="97"/>
          <w:lang/>
        </w:rPr>
        <w:instrText xml:space="preserve"> </w:instrText>
      </w:r>
      <w:r>
        <w:rPr>
          <w:rStyle w:val="97"/>
          <w:lang/>
        </w:rPr>
        <w:fldChar w:fldCharType="separate"/>
      </w:r>
      <w:r>
        <w:rPr>
          <w:rStyle w:val="97"/>
          <w:rFonts w:hint="eastAsia" w:cs="宋体"/>
          <w:lang/>
        </w:rPr>
        <w:t>四、签约合同价与合同价格形式</w:t>
      </w:r>
      <w:r>
        <w:rPr>
          <w:lang/>
        </w:rPr>
        <w:tab/>
      </w:r>
      <w:r>
        <w:rPr>
          <w:lang/>
        </w:rPr>
        <w:fldChar w:fldCharType="begin"/>
      </w:r>
      <w:r>
        <w:rPr>
          <w:lang/>
        </w:rPr>
        <w:instrText xml:space="preserve"> PAGEREF _Toc59203070 \h </w:instrText>
      </w:r>
      <w:r>
        <w:rPr>
          <w:lang/>
        </w:rPr>
        <w:fldChar w:fldCharType="separate"/>
      </w:r>
      <w:r>
        <w:rPr>
          <w:lang/>
        </w:rPr>
        <w:t>6</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"_Toc59203071"</w:instrText>
      </w:r>
      <w:r>
        <w:rPr>
          <w:rStyle w:val="97"/>
          <w:lang/>
        </w:rPr>
        <w:instrText xml:space="preserve"> </w:instrText>
      </w:r>
      <w:r>
        <w:rPr>
          <w:rStyle w:val="97"/>
          <w:lang/>
        </w:rPr>
        <w:fldChar w:fldCharType="separate"/>
      </w:r>
      <w:r>
        <w:rPr>
          <w:rStyle w:val="97"/>
          <w:rFonts w:hint="eastAsia" w:cs="宋体"/>
          <w:lang/>
        </w:rPr>
        <w:t>五、工程总承包项目经理</w:t>
      </w:r>
      <w:r>
        <w:rPr>
          <w:lang/>
        </w:rPr>
        <w:tab/>
      </w:r>
      <w:r>
        <w:rPr>
          <w:lang/>
        </w:rPr>
        <w:fldChar w:fldCharType="begin"/>
      </w:r>
      <w:r>
        <w:rPr>
          <w:lang/>
        </w:rPr>
        <w:instrText xml:space="preserve"> PAGEREF _Toc59203071 \h </w:instrText>
      </w:r>
      <w:r>
        <w:rPr>
          <w:lang/>
        </w:rPr>
        <w:fldChar w:fldCharType="separate"/>
      </w:r>
      <w:r>
        <w:rPr>
          <w:lang/>
        </w:rPr>
        <w:t>7</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"_Toc59203072"</w:instrText>
      </w:r>
      <w:r>
        <w:rPr>
          <w:rStyle w:val="97"/>
          <w:lang/>
        </w:rPr>
        <w:instrText xml:space="preserve"> </w:instrText>
      </w:r>
      <w:r>
        <w:rPr>
          <w:rStyle w:val="97"/>
          <w:lang/>
        </w:rPr>
        <w:fldChar w:fldCharType="separate"/>
      </w:r>
      <w:r>
        <w:rPr>
          <w:rStyle w:val="97"/>
          <w:rFonts w:hint="eastAsia" w:cs="宋体"/>
          <w:lang/>
        </w:rPr>
        <w:t>六、合同文件构成</w:t>
      </w:r>
      <w:r>
        <w:rPr>
          <w:lang/>
        </w:rPr>
        <w:tab/>
      </w:r>
      <w:r>
        <w:rPr>
          <w:lang/>
        </w:rPr>
        <w:fldChar w:fldCharType="begin"/>
      </w:r>
      <w:r>
        <w:rPr>
          <w:lang/>
        </w:rPr>
        <w:instrText xml:space="preserve"> PAGEREF _Toc59203072 \h </w:instrText>
      </w:r>
      <w:r>
        <w:rPr>
          <w:lang/>
        </w:rPr>
        <w:fldChar w:fldCharType="separate"/>
      </w:r>
      <w:r>
        <w:rPr>
          <w:lang/>
        </w:rPr>
        <w:t>7</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"_Toc59203073"</w:instrText>
      </w:r>
      <w:r>
        <w:rPr>
          <w:rStyle w:val="97"/>
          <w:lang/>
        </w:rPr>
        <w:instrText xml:space="preserve"> </w:instrText>
      </w:r>
      <w:r>
        <w:rPr>
          <w:rStyle w:val="97"/>
          <w:lang/>
        </w:rPr>
        <w:fldChar w:fldCharType="separate"/>
      </w:r>
      <w:r>
        <w:rPr>
          <w:rStyle w:val="97"/>
          <w:rFonts w:hint="eastAsia" w:cs="宋体"/>
          <w:lang/>
        </w:rPr>
        <w:t>七、承诺</w:t>
      </w:r>
      <w:r>
        <w:rPr>
          <w:lang/>
        </w:rPr>
        <w:tab/>
      </w:r>
      <w:r>
        <w:rPr>
          <w:lang/>
        </w:rPr>
        <w:fldChar w:fldCharType="begin"/>
      </w:r>
      <w:r>
        <w:rPr>
          <w:lang/>
        </w:rPr>
        <w:instrText xml:space="preserve"> PAGEREF _Toc59203073 \h </w:instrText>
      </w:r>
      <w:r>
        <w:rPr>
          <w:lang/>
        </w:rPr>
        <w:fldChar w:fldCharType="separate"/>
      </w:r>
      <w:r>
        <w:rPr>
          <w:lang/>
        </w:rPr>
        <w:t>7</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"_Toc59203074"</w:instrText>
      </w:r>
      <w:r>
        <w:rPr>
          <w:rStyle w:val="97"/>
          <w:lang/>
        </w:rPr>
        <w:instrText xml:space="preserve"> </w:instrText>
      </w:r>
      <w:r>
        <w:rPr>
          <w:rStyle w:val="97"/>
          <w:lang/>
        </w:rPr>
        <w:fldChar w:fldCharType="separate"/>
      </w:r>
      <w:r>
        <w:rPr>
          <w:rStyle w:val="97"/>
          <w:rFonts w:hint="eastAsia" w:cs="宋体"/>
          <w:lang/>
        </w:rPr>
        <w:t>八、订立时间</w:t>
      </w:r>
      <w:r>
        <w:rPr>
          <w:lang/>
        </w:rPr>
        <w:tab/>
      </w:r>
      <w:r>
        <w:rPr>
          <w:lang/>
        </w:rPr>
        <w:fldChar w:fldCharType="begin"/>
      </w:r>
      <w:r>
        <w:rPr>
          <w:lang/>
        </w:rPr>
        <w:instrText xml:space="preserve"> PAGEREF _Toc59203074 \h </w:instrText>
      </w:r>
      <w:r>
        <w:rPr>
          <w:lang/>
        </w:rPr>
        <w:fldChar w:fldCharType="separate"/>
      </w:r>
      <w:r>
        <w:rPr>
          <w:lang/>
        </w:rPr>
        <w:t>7</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"_Toc59203075"</w:instrText>
      </w:r>
      <w:r>
        <w:rPr>
          <w:rStyle w:val="97"/>
          <w:lang/>
        </w:rPr>
        <w:instrText xml:space="preserve"> </w:instrText>
      </w:r>
      <w:r>
        <w:rPr>
          <w:rStyle w:val="97"/>
          <w:lang/>
        </w:rPr>
        <w:fldChar w:fldCharType="separate"/>
      </w:r>
      <w:r>
        <w:rPr>
          <w:rStyle w:val="97"/>
          <w:rFonts w:hint="eastAsia" w:cs="宋体"/>
          <w:lang/>
        </w:rPr>
        <w:t>九、订立地点</w:t>
      </w:r>
      <w:r>
        <w:rPr>
          <w:lang/>
        </w:rPr>
        <w:tab/>
      </w:r>
      <w:r>
        <w:rPr>
          <w:lang/>
        </w:rPr>
        <w:fldChar w:fldCharType="begin"/>
      </w:r>
      <w:r>
        <w:rPr>
          <w:lang/>
        </w:rPr>
        <w:instrText xml:space="preserve"> PAGEREF _Toc59203075 \h </w:instrText>
      </w:r>
      <w:r>
        <w:rPr>
          <w:lang/>
        </w:rPr>
        <w:fldChar w:fldCharType="separate"/>
      </w:r>
      <w:r>
        <w:rPr>
          <w:lang/>
        </w:rPr>
        <w:t>8</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"_Toc59203076"</w:instrText>
      </w:r>
      <w:r>
        <w:rPr>
          <w:rStyle w:val="97"/>
          <w:lang/>
        </w:rPr>
        <w:instrText xml:space="preserve"> </w:instrText>
      </w:r>
      <w:r>
        <w:rPr>
          <w:rStyle w:val="97"/>
          <w:lang/>
        </w:rPr>
        <w:fldChar w:fldCharType="separate"/>
      </w:r>
      <w:r>
        <w:rPr>
          <w:rStyle w:val="97"/>
          <w:rFonts w:hint="eastAsia" w:cs="宋体"/>
          <w:lang/>
        </w:rPr>
        <w:t>十、合同生效</w:t>
      </w:r>
      <w:r>
        <w:rPr>
          <w:lang/>
        </w:rPr>
        <w:tab/>
      </w:r>
      <w:r>
        <w:rPr>
          <w:lang/>
        </w:rPr>
        <w:fldChar w:fldCharType="begin"/>
      </w:r>
      <w:r>
        <w:rPr>
          <w:lang/>
        </w:rPr>
        <w:instrText xml:space="preserve"> PAGEREF _Toc59203076 \h </w:instrText>
      </w:r>
      <w:r>
        <w:rPr>
          <w:lang/>
        </w:rPr>
        <w:fldChar w:fldCharType="separate"/>
      </w:r>
      <w:r>
        <w:rPr>
          <w:lang/>
        </w:rPr>
        <w:t>8</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"_Toc59203077"</w:instrText>
      </w:r>
      <w:r>
        <w:rPr>
          <w:rStyle w:val="97"/>
          <w:lang/>
        </w:rPr>
        <w:instrText xml:space="preserve"> </w:instrText>
      </w:r>
      <w:r>
        <w:rPr>
          <w:rStyle w:val="97"/>
          <w:lang/>
        </w:rPr>
        <w:fldChar w:fldCharType="separate"/>
      </w:r>
      <w:r>
        <w:rPr>
          <w:rStyle w:val="97"/>
          <w:rFonts w:hint="eastAsia" w:cs="宋体"/>
          <w:lang/>
        </w:rPr>
        <w:t>十一、合同份数</w:t>
      </w:r>
      <w:r>
        <w:rPr>
          <w:lang/>
        </w:rPr>
        <w:tab/>
      </w:r>
      <w:r>
        <w:rPr>
          <w:lang/>
        </w:rPr>
        <w:fldChar w:fldCharType="begin"/>
      </w:r>
      <w:r>
        <w:rPr>
          <w:lang/>
        </w:rPr>
        <w:instrText xml:space="preserve"> PAGEREF _Toc59203077 \h </w:instrText>
      </w:r>
      <w:r>
        <w:rPr>
          <w:lang/>
        </w:rPr>
        <w:fldChar w:fldCharType="separate"/>
      </w:r>
      <w:r>
        <w:rPr>
          <w:lang/>
        </w:rPr>
        <w:t>8</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"_Toc59203078"</w:instrText>
      </w:r>
      <w:r>
        <w:rPr>
          <w:rStyle w:val="97"/>
          <w:lang/>
        </w:rPr>
        <w:instrText xml:space="preserve"> </w:instrText>
      </w:r>
      <w:r>
        <w:rPr>
          <w:rStyle w:val="97"/>
          <w:lang/>
        </w:rPr>
        <w:fldChar w:fldCharType="separate"/>
      </w:r>
      <w:r>
        <w:rPr>
          <w:rStyle w:val="97"/>
          <w:rFonts w:hint="eastAsia"/>
          <w:lang/>
        </w:rPr>
        <w:t>第二部分</w:t>
      </w:r>
      <w:r>
        <w:rPr>
          <w:rStyle w:val="97"/>
          <w:lang/>
        </w:rPr>
        <w:t xml:space="preserve">  </w:t>
      </w:r>
      <w:r>
        <w:rPr>
          <w:rStyle w:val="97"/>
          <w:rFonts w:hint="eastAsia"/>
          <w:lang/>
        </w:rPr>
        <w:t>通用合同条款</w:t>
      </w:r>
      <w:r>
        <w:rPr>
          <w:lang/>
        </w:rPr>
        <w:tab/>
      </w:r>
      <w:r>
        <w:rPr>
          <w:lang/>
        </w:rPr>
        <w:fldChar w:fldCharType="begin"/>
      </w:r>
      <w:r>
        <w:rPr>
          <w:lang/>
        </w:rPr>
        <w:instrText xml:space="preserve"> PAGEREF _Toc59203078 \h </w:instrText>
      </w:r>
      <w:r>
        <w:rPr>
          <w:lang/>
        </w:rPr>
        <w:fldChar w:fldCharType="separate"/>
      </w:r>
      <w:r>
        <w:rPr>
          <w:lang/>
        </w:rPr>
        <w:t>9</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"_Toc59203079"</w:instrText>
      </w:r>
      <w:r>
        <w:rPr>
          <w:rStyle w:val="97"/>
          <w:lang/>
        </w:rPr>
        <w:instrText xml:space="preserve"> </w:instrText>
      </w:r>
      <w:r>
        <w:rPr>
          <w:rStyle w:val="97"/>
          <w:lang/>
        </w:rPr>
        <w:fldChar w:fldCharType="separate"/>
      </w:r>
      <w:r>
        <w:rPr>
          <w:rStyle w:val="97"/>
          <w:rFonts w:hint="eastAsia" w:ascii="宋体" w:hAnsi="宋体" w:cs="宋体"/>
          <w:lang/>
        </w:rPr>
        <w:t>第</w:t>
      </w:r>
      <w:r>
        <w:rPr>
          <w:rStyle w:val="97"/>
          <w:rFonts w:ascii="宋体" w:hAnsi="宋体" w:cs="宋体"/>
          <w:lang/>
        </w:rPr>
        <w:t>1</w:t>
      </w:r>
      <w:r>
        <w:rPr>
          <w:rStyle w:val="97"/>
          <w:rFonts w:hint="eastAsia" w:ascii="宋体" w:hAnsi="宋体" w:cs="宋体"/>
          <w:lang/>
        </w:rPr>
        <w:t>条</w:t>
      </w:r>
      <w:r>
        <w:rPr>
          <w:rStyle w:val="97"/>
          <w:rFonts w:ascii="宋体" w:hAnsi="宋体" w:cs="宋体"/>
          <w:lang/>
        </w:rPr>
        <w:t xml:space="preserve"> </w:t>
      </w:r>
      <w:r>
        <w:rPr>
          <w:rStyle w:val="97"/>
          <w:rFonts w:hint="eastAsia" w:ascii="宋体" w:hAnsi="宋体" w:cs="宋体"/>
          <w:lang/>
        </w:rPr>
        <w:t>一般约定</w:t>
      </w:r>
      <w:r>
        <w:rPr>
          <w:lang/>
        </w:rPr>
        <w:tab/>
      </w:r>
      <w:r>
        <w:rPr>
          <w:lang/>
        </w:rPr>
        <w:fldChar w:fldCharType="begin"/>
      </w:r>
      <w:r>
        <w:rPr>
          <w:lang/>
        </w:rPr>
        <w:instrText xml:space="preserve"> PAGEREF _Toc59203079 \h </w:instrText>
      </w:r>
      <w:r>
        <w:rPr>
          <w:lang/>
        </w:rPr>
        <w:fldChar w:fldCharType="separate"/>
      </w:r>
      <w:r>
        <w:rPr>
          <w:lang/>
        </w:rPr>
        <w:t>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"_Toc59203080"</w:instrText>
      </w:r>
      <w:r>
        <w:rPr>
          <w:rStyle w:val="97"/>
          <w:lang/>
        </w:rPr>
        <w:instrText xml:space="preserve"> </w:instrText>
      </w:r>
      <w:r>
        <w:rPr>
          <w:rStyle w:val="97"/>
          <w:lang/>
        </w:rPr>
        <w:fldChar w:fldCharType="separate"/>
      </w:r>
      <w:r>
        <w:rPr>
          <w:rStyle w:val="97"/>
          <w:rFonts w:ascii="宋体" w:hAnsi="宋体" w:cs="宋体"/>
          <w:bCs/>
          <w:lang/>
        </w:rPr>
        <w:t xml:space="preserve">1.1 </w:t>
      </w:r>
      <w:r>
        <w:rPr>
          <w:rStyle w:val="97"/>
          <w:rFonts w:hint="eastAsia" w:ascii="宋体" w:hAnsi="宋体" w:cs="宋体"/>
          <w:bCs/>
          <w:lang/>
        </w:rPr>
        <w:t>词语定义和解释</w:t>
      </w:r>
      <w:r>
        <w:rPr>
          <w:lang/>
        </w:rPr>
        <w:tab/>
      </w:r>
      <w:r>
        <w:rPr>
          <w:lang/>
        </w:rPr>
        <w:fldChar w:fldCharType="begin"/>
      </w:r>
      <w:r>
        <w:rPr>
          <w:lang/>
        </w:rPr>
        <w:instrText xml:space="preserve"> PAGEREF _Toc59203080 \h </w:instrText>
      </w:r>
      <w:r>
        <w:rPr>
          <w:lang/>
        </w:rPr>
        <w:fldChar w:fldCharType="separate"/>
      </w:r>
      <w:r>
        <w:rPr>
          <w:lang/>
        </w:rPr>
        <w:t>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"_Toc59203081"</w:instrText>
      </w:r>
      <w:r>
        <w:rPr>
          <w:rStyle w:val="97"/>
          <w:lang/>
        </w:rPr>
        <w:instrText xml:space="preserve"> </w:instrText>
      </w:r>
      <w:r>
        <w:rPr>
          <w:rStyle w:val="97"/>
          <w:lang/>
        </w:rPr>
        <w:fldChar w:fldCharType="separate"/>
      </w:r>
      <w:r>
        <w:rPr>
          <w:rStyle w:val="97"/>
          <w:rFonts w:ascii="宋体" w:hAnsi="宋体" w:cs="宋体"/>
          <w:bCs/>
          <w:lang/>
        </w:rPr>
        <w:t xml:space="preserve">1.2 </w:t>
      </w:r>
      <w:r>
        <w:rPr>
          <w:rStyle w:val="97"/>
          <w:rFonts w:hint="eastAsia" w:ascii="宋体" w:hAnsi="宋体" w:cs="宋体"/>
          <w:bCs/>
          <w:lang/>
        </w:rPr>
        <w:t>语言文字</w:t>
      </w:r>
      <w:r>
        <w:rPr>
          <w:lang/>
        </w:rPr>
        <w:tab/>
      </w:r>
      <w:r>
        <w:rPr>
          <w:lang/>
        </w:rPr>
        <w:fldChar w:fldCharType="begin"/>
      </w:r>
      <w:r>
        <w:rPr>
          <w:lang/>
        </w:rPr>
        <w:instrText xml:space="preserve"> PAGEREF _Toc59203081 \h </w:instrText>
      </w:r>
      <w:r>
        <w:rPr>
          <w:lang/>
        </w:rPr>
        <w:fldChar w:fldCharType="separate"/>
      </w:r>
      <w:r>
        <w:rPr>
          <w:lang/>
        </w:rPr>
        <w:t>12</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"_Toc59203082"</w:instrText>
      </w:r>
      <w:r>
        <w:rPr>
          <w:rStyle w:val="97"/>
          <w:lang/>
        </w:rPr>
        <w:instrText xml:space="preserve"> </w:instrText>
      </w:r>
      <w:r>
        <w:rPr>
          <w:rStyle w:val="97"/>
          <w:lang/>
        </w:rPr>
        <w:fldChar w:fldCharType="separate"/>
      </w:r>
      <w:r>
        <w:rPr>
          <w:rStyle w:val="97"/>
          <w:rFonts w:ascii="宋体" w:hAnsi="宋体" w:cs="宋体"/>
          <w:bCs/>
          <w:lang/>
        </w:rPr>
        <w:t xml:space="preserve">1.3 </w:t>
      </w:r>
      <w:r>
        <w:rPr>
          <w:rStyle w:val="97"/>
          <w:rFonts w:hint="eastAsia" w:ascii="宋体" w:hAnsi="宋体" w:cs="宋体"/>
          <w:bCs/>
          <w:lang/>
        </w:rPr>
        <w:t>法律</w:t>
      </w:r>
      <w:r>
        <w:rPr>
          <w:lang/>
        </w:rPr>
        <w:tab/>
      </w:r>
      <w:r>
        <w:rPr>
          <w:lang/>
        </w:rPr>
        <w:fldChar w:fldCharType="begin"/>
      </w:r>
      <w:r>
        <w:rPr>
          <w:lang/>
        </w:rPr>
        <w:instrText xml:space="preserve"> PAGEREF _Toc59203082 \h </w:instrText>
      </w:r>
      <w:r>
        <w:rPr>
          <w:lang/>
        </w:rPr>
        <w:fldChar w:fldCharType="separate"/>
      </w:r>
      <w:r>
        <w:rPr>
          <w:lang/>
        </w:rPr>
        <w:t>13</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"_Toc59203083"</w:instrText>
      </w:r>
      <w:r>
        <w:rPr>
          <w:rStyle w:val="97"/>
          <w:lang/>
        </w:rPr>
        <w:instrText xml:space="preserve"> </w:instrText>
      </w:r>
      <w:r>
        <w:rPr>
          <w:rStyle w:val="97"/>
          <w:lang/>
        </w:rPr>
        <w:fldChar w:fldCharType="separate"/>
      </w:r>
      <w:r>
        <w:rPr>
          <w:rStyle w:val="97"/>
          <w:rFonts w:ascii="宋体" w:hAnsi="宋体" w:cs="宋体"/>
          <w:bCs/>
          <w:lang/>
        </w:rPr>
        <w:t xml:space="preserve">1.4 </w:t>
      </w:r>
      <w:r>
        <w:rPr>
          <w:rStyle w:val="97"/>
          <w:rFonts w:hint="eastAsia" w:ascii="宋体" w:hAnsi="宋体" w:cs="宋体"/>
          <w:bCs/>
          <w:lang/>
        </w:rPr>
        <w:t>标准和规范</w:t>
      </w:r>
      <w:r>
        <w:rPr>
          <w:lang/>
        </w:rPr>
        <w:tab/>
      </w:r>
      <w:r>
        <w:rPr>
          <w:lang/>
        </w:rPr>
        <w:fldChar w:fldCharType="begin"/>
      </w:r>
      <w:r>
        <w:rPr>
          <w:lang/>
        </w:rPr>
        <w:instrText xml:space="preserve"> PAGEREF _Toc59203083 \h </w:instrText>
      </w:r>
      <w:r>
        <w:rPr>
          <w:lang/>
        </w:rPr>
        <w:fldChar w:fldCharType="separate"/>
      </w:r>
      <w:r>
        <w:rPr>
          <w:lang/>
        </w:rPr>
        <w:t>13</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"_Toc59203084"</w:instrText>
      </w:r>
      <w:r>
        <w:rPr>
          <w:rStyle w:val="97"/>
          <w:lang/>
        </w:rPr>
        <w:instrText xml:space="preserve"> </w:instrText>
      </w:r>
      <w:r>
        <w:rPr>
          <w:rStyle w:val="97"/>
          <w:lang/>
        </w:rPr>
        <w:fldChar w:fldCharType="separate"/>
      </w:r>
      <w:r>
        <w:rPr>
          <w:rStyle w:val="97"/>
          <w:rFonts w:ascii="宋体" w:hAnsi="宋体" w:cs="宋体"/>
          <w:bCs/>
          <w:lang/>
        </w:rPr>
        <w:t xml:space="preserve">1.5 </w:t>
      </w:r>
      <w:r>
        <w:rPr>
          <w:rStyle w:val="97"/>
          <w:rFonts w:hint="eastAsia" w:ascii="宋体" w:hAnsi="宋体" w:cs="宋体"/>
          <w:bCs/>
          <w:lang/>
        </w:rPr>
        <w:t>合同文件的优先顺序</w:t>
      </w:r>
      <w:r>
        <w:rPr>
          <w:lang/>
        </w:rPr>
        <w:tab/>
      </w:r>
      <w:r>
        <w:rPr>
          <w:lang/>
        </w:rPr>
        <w:fldChar w:fldCharType="begin"/>
      </w:r>
      <w:r>
        <w:rPr>
          <w:lang/>
        </w:rPr>
        <w:instrText xml:space="preserve"> PAGEREF _Toc59203084 \h </w:instrText>
      </w:r>
      <w:r>
        <w:rPr>
          <w:lang/>
        </w:rPr>
        <w:fldChar w:fldCharType="separate"/>
      </w:r>
      <w:r>
        <w:rPr>
          <w:lang/>
        </w:rPr>
        <w:t>13</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"_Toc59203085"</w:instrText>
      </w:r>
      <w:r>
        <w:rPr>
          <w:rStyle w:val="97"/>
          <w:lang/>
        </w:rPr>
        <w:instrText xml:space="preserve"> </w:instrText>
      </w:r>
      <w:r>
        <w:rPr>
          <w:rStyle w:val="97"/>
          <w:lang/>
        </w:rPr>
        <w:fldChar w:fldCharType="separate"/>
      </w:r>
      <w:r>
        <w:rPr>
          <w:rStyle w:val="97"/>
          <w:rFonts w:ascii="宋体" w:hAnsi="宋体" w:cs="宋体"/>
          <w:bCs/>
          <w:lang/>
        </w:rPr>
        <w:t xml:space="preserve">1.6 </w:t>
      </w:r>
      <w:r>
        <w:rPr>
          <w:rStyle w:val="97"/>
          <w:rFonts w:hint="eastAsia" w:ascii="宋体" w:hAnsi="宋体" w:cs="宋体"/>
          <w:bCs/>
          <w:lang/>
        </w:rPr>
        <w:t>文件的提供和照管</w:t>
      </w:r>
      <w:r>
        <w:rPr>
          <w:lang/>
        </w:rPr>
        <w:tab/>
      </w:r>
      <w:r>
        <w:rPr>
          <w:lang/>
        </w:rPr>
        <w:fldChar w:fldCharType="begin"/>
      </w:r>
      <w:r>
        <w:rPr>
          <w:lang/>
        </w:rPr>
        <w:instrText xml:space="preserve"> PAGEREF _Toc59203085 \h </w:instrText>
      </w:r>
      <w:r>
        <w:rPr>
          <w:lang/>
        </w:rPr>
        <w:fldChar w:fldCharType="separate"/>
      </w:r>
      <w:r>
        <w:rPr>
          <w:lang/>
        </w:rPr>
        <w:t>14</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"_Toc59203086"</w:instrText>
      </w:r>
      <w:r>
        <w:rPr>
          <w:rStyle w:val="97"/>
          <w:lang/>
        </w:rPr>
        <w:instrText xml:space="preserve"> </w:instrText>
      </w:r>
      <w:r>
        <w:rPr>
          <w:rStyle w:val="97"/>
          <w:lang/>
        </w:rPr>
        <w:fldChar w:fldCharType="separate"/>
      </w:r>
      <w:r>
        <w:rPr>
          <w:rStyle w:val="97"/>
          <w:rFonts w:ascii="宋体" w:hAnsi="宋体" w:cs="宋体"/>
          <w:bCs/>
          <w:lang/>
        </w:rPr>
        <w:t xml:space="preserve">1.7 </w:t>
      </w:r>
      <w:r>
        <w:rPr>
          <w:rStyle w:val="97"/>
          <w:rFonts w:hint="eastAsia" w:ascii="宋体" w:hAnsi="宋体" w:cs="宋体"/>
          <w:bCs/>
          <w:lang/>
        </w:rPr>
        <w:t>联络</w:t>
      </w:r>
      <w:r>
        <w:rPr>
          <w:lang/>
        </w:rPr>
        <w:tab/>
      </w:r>
      <w:r>
        <w:rPr>
          <w:lang/>
        </w:rPr>
        <w:fldChar w:fldCharType="begin"/>
      </w:r>
      <w:r>
        <w:rPr>
          <w:lang/>
        </w:rPr>
        <w:instrText xml:space="preserve"> PAGEREF _Toc59203086 \h </w:instrText>
      </w:r>
      <w:r>
        <w:rPr>
          <w:lang/>
        </w:rPr>
        <w:fldChar w:fldCharType="separate"/>
      </w:r>
      <w:r>
        <w:rPr>
          <w:lang/>
        </w:rPr>
        <w:t>14</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"_Toc59203087"</w:instrText>
      </w:r>
      <w:r>
        <w:rPr>
          <w:rStyle w:val="97"/>
          <w:lang/>
        </w:rPr>
        <w:instrText xml:space="preserve"> </w:instrText>
      </w:r>
      <w:r>
        <w:rPr>
          <w:rStyle w:val="97"/>
          <w:lang/>
        </w:rPr>
        <w:fldChar w:fldCharType="separate"/>
      </w:r>
      <w:r>
        <w:rPr>
          <w:rStyle w:val="97"/>
          <w:rFonts w:ascii="宋体" w:hAnsi="宋体" w:cs="宋体"/>
          <w:bCs/>
          <w:lang/>
        </w:rPr>
        <w:t xml:space="preserve">1.8 </w:t>
      </w:r>
      <w:r>
        <w:rPr>
          <w:rStyle w:val="97"/>
          <w:rFonts w:hint="eastAsia" w:ascii="宋体" w:hAnsi="宋体" w:cs="宋体"/>
          <w:bCs/>
          <w:lang/>
        </w:rPr>
        <w:t>严禁贿赂</w:t>
      </w:r>
      <w:r>
        <w:rPr>
          <w:lang/>
        </w:rPr>
        <w:tab/>
      </w:r>
      <w:r>
        <w:rPr>
          <w:lang/>
        </w:rPr>
        <w:fldChar w:fldCharType="begin"/>
      </w:r>
      <w:r>
        <w:rPr>
          <w:lang/>
        </w:rPr>
        <w:instrText xml:space="preserve"> PAGEREF _Toc59203087 \h </w:instrText>
      </w:r>
      <w:r>
        <w:rPr>
          <w:lang/>
        </w:rPr>
        <w:fldChar w:fldCharType="separate"/>
      </w:r>
      <w:r>
        <w:rPr>
          <w:lang/>
        </w:rPr>
        <w:t>15</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"_Toc59203088"</w:instrText>
      </w:r>
      <w:r>
        <w:rPr>
          <w:rStyle w:val="97"/>
          <w:lang/>
        </w:rPr>
        <w:instrText xml:space="preserve"> </w:instrText>
      </w:r>
      <w:r>
        <w:rPr>
          <w:rStyle w:val="97"/>
          <w:lang/>
        </w:rPr>
        <w:fldChar w:fldCharType="separate"/>
      </w:r>
      <w:r>
        <w:rPr>
          <w:rStyle w:val="97"/>
          <w:rFonts w:ascii="宋体" w:hAnsi="宋体" w:cs="宋体"/>
          <w:bCs/>
          <w:lang/>
        </w:rPr>
        <w:t xml:space="preserve">1.9 </w:t>
      </w:r>
      <w:r>
        <w:rPr>
          <w:rStyle w:val="97"/>
          <w:rFonts w:hint="eastAsia" w:ascii="宋体" w:hAnsi="宋体" w:cs="宋体"/>
          <w:bCs/>
          <w:lang/>
        </w:rPr>
        <w:t>化石、文物</w:t>
      </w:r>
      <w:r>
        <w:rPr>
          <w:lang/>
        </w:rPr>
        <w:tab/>
      </w:r>
      <w:r>
        <w:rPr>
          <w:lang/>
        </w:rPr>
        <w:fldChar w:fldCharType="begin"/>
      </w:r>
      <w:r>
        <w:rPr>
          <w:lang/>
        </w:rPr>
        <w:instrText xml:space="preserve"> PAGEREF _Toc59203088 \h </w:instrText>
      </w:r>
      <w:r>
        <w:rPr>
          <w:lang/>
        </w:rPr>
        <w:fldChar w:fldCharType="separate"/>
      </w:r>
      <w:r>
        <w:rPr>
          <w:lang/>
        </w:rPr>
        <w:t>15</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"_Toc59203089"</w:instrText>
      </w:r>
      <w:r>
        <w:rPr>
          <w:rStyle w:val="97"/>
          <w:lang/>
        </w:rPr>
        <w:instrText xml:space="preserve"> </w:instrText>
      </w:r>
      <w:r>
        <w:rPr>
          <w:rStyle w:val="97"/>
          <w:lang/>
        </w:rPr>
        <w:fldChar w:fldCharType="separate"/>
      </w:r>
      <w:r>
        <w:rPr>
          <w:rStyle w:val="97"/>
          <w:rFonts w:ascii="宋体" w:hAnsi="宋体" w:cs="宋体"/>
          <w:bCs/>
          <w:lang/>
        </w:rPr>
        <w:t xml:space="preserve">1.10 </w:t>
      </w:r>
      <w:r>
        <w:rPr>
          <w:rStyle w:val="97"/>
          <w:rFonts w:hint="eastAsia" w:ascii="宋体" w:hAnsi="宋体" w:cs="宋体"/>
          <w:bCs/>
          <w:lang/>
        </w:rPr>
        <w:t>知识产权</w:t>
      </w:r>
      <w:r>
        <w:rPr>
          <w:lang/>
        </w:rPr>
        <w:tab/>
      </w:r>
      <w:r>
        <w:rPr>
          <w:lang/>
        </w:rPr>
        <w:fldChar w:fldCharType="begin"/>
      </w:r>
      <w:r>
        <w:rPr>
          <w:lang/>
        </w:rPr>
        <w:instrText xml:space="preserve"> PAGEREF _Toc59203089 \h </w:instrText>
      </w:r>
      <w:r>
        <w:rPr>
          <w:lang/>
        </w:rPr>
        <w:fldChar w:fldCharType="separate"/>
      </w:r>
      <w:r>
        <w:rPr>
          <w:lang/>
        </w:rPr>
        <w:t>15</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"_Toc59203090"</w:instrText>
      </w:r>
      <w:r>
        <w:rPr>
          <w:rStyle w:val="97"/>
          <w:lang/>
        </w:rPr>
        <w:instrText xml:space="preserve"> </w:instrText>
      </w:r>
      <w:r>
        <w:rPr>
          <w:rStyle w:val="97"/>
          <w:lang/>
        </w:rPr>
        <w:fldChar w:fldCharType="separate"/>
      </w:r>
      <w:r>
        <w:rPr>
          <w:rStyle w:val="97"/>
          <w:rFonts w:ascii="宋体" w:hAnsi="宋体" w:cs="宋体"/>
          <w:bCs/>
          <w:lang/>
        </w:rPr>
        <w:t xml:space="preserve">1.11 </w:t>
      </w:r>
      <w:r>
        <w:rPr>
          <w:rStyle w:val="97"/>
          <w:rFonts w:hint="eastAsia" w:ascii="宋体" w:hAnsi="宋体" w:cs="宋体"/>
          <w:bCs/>
          <w:lang/>
        </w:rPr>
        <w:t>保密</w:t>
      </w:r>
      <w:r>
        <w:rPr>
          <w:lang/>
        </w:rPr>
        <w:tab/>
      </w:r>
      <w:r>
        <w:rPr>
          <w:lang/>
        </w:rPr>
        <w:fldChar w:fldCharType="begin"/>
      </w:r>
      <w:r>
        <w:rPr>
          <w:lang/>
        </w:rPr>
        <w:instrText xml:space="preserve"> PAGEREF _Toc59203090 \h </w:instrText>
      </w:r>
      <w:r>
        <w:rPr>
          <w:lang/>
        </w:rPr>
        <w:fldChar w:fldCharType="separate"/>
      </w:r>
      <w:r>
        <w:rPr>
          <w:lang/>
        </w:rPr>
        <w:t>16</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"_Toc59203091"</w:instrText>
      </w:r>
      <w:r>
        <w:rPr>
          <w:rStyle w:val="97"/>
          <w:lang/>
        </w:rPr>
        <w:instrText xml:space="preserve"> </w:instrText>
      </w:r>
      <w:r>
        <w:rPr>
          <w:rStyle w:val="97"/>
          <w:lang/>
        </w:rPr>
        <w:fldChar w:fldCharType="separate"/>
      </w:r>
      <w:r>
        <w:rPr>
          <w:rStyle w:val="97"/>
          <w:rFonts w:ascii="宋体" w:hAnsi="宋体" w:cs="宋体"/>
          <w:bCs/>
          <w:lang/>
        </w:rPr>
        <w:t xml:space="preserve">1.12 </w:t>
      </w:r>
      <w:r>
        <w:rPr>
          <w:rStyle w:val="97"/>
          <w:rFonts w:hint="eastAsia" w:ascii="宋体" w:hAnsi="宋体" w:cs="宋体"/>
          <w:bCs/>
          <w:lang/>
        </w:rPr>
        <w:t>《发包人要求》和基础资料中的错误</w:t>
      </w:r>
      <w:r>
        <w:rPr>
          <w:lang/>
        </w:rPr>
        <w:tab/>
      </w:r>
      <w:r>
        <w:rPr>
          <w:lang/>
        </w:rPr>
        <w:fldChar w:fldCharType="begin"/>
      </w:r>
      <w:r>
        <w:rPr>
          <w:lang/>
        </w:rPr>
        <w:instrText xml:space="preserve"> PAGEREF _Toc59203091 \h </w:instrText>
      </w:r>
      <w:r>
        <w:rPr>
          <w:lang/>
        </w:rPr>
        <w:fldChar w:fldCharType="separate"/>
      </w:r>
      <w:r>
        <w:rPr>
          <w:lang/>
        </w:rPr>
        <w:t>16</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"_Toc59203092"</w:instrText>
      </w:r>
      <w:r>
        <w:rPr>
          <w:rStyle w:val="97"/>
          <w:lang/>
        </w:rPr>
        <w:instrText xml:space="preserve"> </w:instrText>
      </w:r>
      <w:r>
        <w:rPr>
          <w:rStyle w:val="97"/>
          <w:lang/>
        </w:rPr>
        <w:fldChar w:fldCharType="separate"/>
      </w:r>
      <w:r>
        <w:rPr>
          <w:rStyle w:val="97"/>
          <w:rFonts w:ascii="宋体" w:hAnsi="宋体" w:cs="宋体"/>
          <w:bCs/>
          <w:lang/>
        </w:rPr>
        <w:t xml:space="preserve">1.13 </w:t>
      </w:r>
      <w:r>
        <w:rPr>
          <w:rStyle w:val="97"/>
          <w:rFonts w:hint="eastAsia" w:ascii="宋体" w:hAnsi="宋体" w:cs="宋体"/>
          <w:bCs/>
          <w:lang/>
        </w:rPr>
        <w:t>责任限制</w:t>
      </w:r>
      <w:r>
        <w:rPr>
          <w:lang/>
        </w:rPr>
        <w:tab/>
      </w:r>
      <w:r>
        <w:rPr>
          <w:lang/>
        </w:rPr>
        <w:fldChar w:fldCharType="begin"/>
      </w:r>
      <w:r>
        <w:rPr>
          <w:lang/>
        </w:rPr>
        <w:instrText xml:space="preserve"> PAGEREF _Toc59203092 \h </w:instrText>
      </w:r>
      <w:r>
        <w:rPr>
          <w:lang/>
        </w:rPr>
        <w:fldChar w:fldCharType="separate"/>
      </w:r>
      <w:r>
        <w:rPr>
          <w:lang/>
        </w:rPr>
        <w:t>16</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"_Toc59203093"</w:instrText>
      </w:r>
      <w:r>
        <w:rPr>
          <w:rStyle w:val="97"/>
          <w:lang/>
        </w:rPr>
        <w:instrText xml:space="preserve"> </w:instrText>
      </w:r>
      <w:r>
        <w:rPr>
          <w:rStyle w:val="97"/>
          <w:lang/>
        </w:rPr>
        <w:fldChar w:fldCharType="separate"/>
      </w:r>
      <w:r>
        <w:rPr>
          <w:rStyle w:val="97"/>
          <w:rFonts w:ascii="宋体" w:hAnsi="宋体" w:cs="宋体"/>
          <w:bCs/>
          <w:lang/>
        </w:rPr>
        <w:t xml:space="preserve">1.14 </w:t>
      </w:r>
      <w:r>
        <w:rPr>
          <w:rStyle w:val="97"/>
          <w:rFonts w:hint="eastAsia" w:ascii="宋体" w:hAnsi="宋体" w:cs="宋体"/>
          <w:bCs/>
          <w:lang/>
        </w:rPr>
        <w:t>建筑信息模型技术的应用</w:t>
      </w:r>
      <w:r>
        <w:rPr>
          <w:lang/>
        </w:rPr>
        <w:tab/>
      </w:r>
      <w:r>
        <w:rPr>
          <w:lang/>
        </w:rPr>
        <w:fldChar w:fldCharType="begin"/>
      </w:r>
      <w:r>
        <w:rPr>
          <w:lang/>
        </w:rPr>
        <w:instrText xml:space="preserve"> PAGEREF _Toc59203093 \h </w:instrText>
      </w:r>
      <w:r>
        <w:rPr>
          <w:lang/>
        </w:rPr>
        <w:fldChar w:fldCharType="separate"/>
      </w:r>
      <w:r>
        <w:rPr>
          <w:lang/>
        </w:rPr>
        <w:t>16</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"_Toc59203094"</w:instrText>
      </w:r>
      <w:r>
        <w:rPr>
          <w:rStyle w:val="97"/>
          <w:lang/>
        </w:rPr>
        <w:instrText xml:space="preserve"> </w:instrText>
      </w:r>
      <w:r>
        <w:rPr>
          <w:rStyle w:val="97"/>
          <w:lang/>
        </w:rPr>
        <w:fldChar w:fldCharType="separate"/>
      </w:r>
      <w:r>
        <w:rPr>
          <w:rStyle w:val="97"/>
          <w:rFonts w:hint="eastAsia" w:ascii="宋体" w:hAnsi="宋体" w:cs="宋体"/>
          <w:lang/>
        </w:rPr>
        <w:t>第</w:t>
      </w:r>
      <w:r>
        <w:rPr>
          <w:rStyle w:val="97"/>
          <w:rFonts w:ascii="宋体" w:hAnsi="宋体" w:cs="宋体"/>
          <w:lang/>
        </w:rPr>
        <w:t>2</w:t>
      </w:r>
      <w:r>
        <w:rPr>
          <w:rStyle w:val="97"/>
          <w:rFonts w:hint="eastAsia" w:ascii="宋体" w:hAnsi="宋体" w:cs="宋体"/>
          <w:lang/>
        </w:rPr>
        <w:t>条</w:t>
      </w:r>
      <w:r>
        <w:rPr>
          <w:rStyle w:val="97"/>
          <w:rFonts w:ascii="宋体" w:hAnsi="宋体" w:cs="宋体"/>
          <w:lang/>
        </w:rPr>
        <w:t xml:space="preserve"> </w:t>
      </w:r>
      <w:r>
        <w:rPr>
          <w:rStyle w:val="97"/>
          <w:rFonts w:hint="eastAsia" w:ascii="宋体" w:hAnsi="宋体" w:cs="宋体"/>
          <w:lang/>
        </w:rPr>
        <w:t>发包人</w:t>
      </w:r>
      <w:r>
        <w:rPr>
          <w:lang/>
        </w:rPr>
        <w:tab/>
      </w:r>
      <w:r>
        <w:rPr>
          <w:lang/>
        </w:rPr>
        <w:fldChar w:fldCharType="begin"/>
      </w:r>
      <w:r>
        <w:rPr>
          <w:lang/>
        </w:rPr>
        <w:instrText xml:space="preserve"> PAGEREF _Toc59203094 \h </w:instrText>
      </w:r>
      <w:r>
        <w:rPr>
          <w:lang/>
        </w:rPr>
        <w:fldChar w:fldCharType="separate"/>
      </w:r>
      <w:r>
        <w:rPr>
          <w:lang/>
        </w:rPr>
        <w:t>16</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"_Toc59203095"</w:instrText>
      </w:r>
      <w:r>
        <w:rPr>
          <w:rStyle w:val="97"/>
          <w:lang/>
        </w:rPr>
        <w:instrText xml:space="preserve"> </w:instrText>
      </w:r>
      <w:r>
        <w:rPr>
          <w:rStyle w:val="97"/>
          <w:lang/>
        </w:rPr>
        <w:fldChar w:fldCharType="separate"/>
      </w:r>
      <w:r>
        <w:rPr>
          <w:rStyle w:val="97"/>
          <w:rFonts w:ascii="宋体" w:hAnsi="宋体" w:cs="宋体"/>
          <w:bCs/>
          <w:lang/>
        </w:rPr>
        <w:t xml:space="preserve">2.1 </w:t>
      </w:r>
      <w:r>
        <w:rPr>
          <w:rStyle w:val="97"/>
          <w:rFonts w:hint="eastAsia" w:ascii="宋体" w:hAnsi="宋体" w:cs="宋体"/>
          <w:bCs/>
          <w:lang/>
        </w:rPr>
        <w:t>遵守法律</w:t>
      </w:r>
      <w:r>
        <w:rPr>
          <w:lang/>
        </w:rPr>
        <w:tab/>
      </w:r>
      <w:r>
        <w:rPr>
          <w:lang/>
        </w:rPr>
        <w:fldChar w:fldCharType="begin"/>
      </w:r>
      <w:r>
        <w:rPr>
          <w:lang/>
        </w:rPr>
        <w:instrText xml:space="preserve"> PAGEREF _Toc59203095 \h </w:instrText>
      </w:r>
      <w:r>
        <w:rPr>
          <w:lang/>
        </w:rPr>
        <w:fldChar w:fldCharType="separate"/>
      </w:r>
      <w:r>
        <w:rPr>
          <w:lang/>
        </w:rPr>
        <w:t>16</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"_Toc59203096"</w:instrText>
      </w:r>
      <w:r>
        <w:rPr>
          <w:rStyle w:val="97"/>
          <w:lang/>
        </w:rPr>
        <w:instrText xml:space="preserve"> </w:instrText>
      </w:r>
      <w:r>
        <w:rPr>
          <w:rStyle w:val="97"/>
          <w:lang/>
        </w:rPr>
        <w:fldChar w:fldCharType="separate"/>
      </w:r>
      <w:r>
        <w:rPr>
          <w:rStyle w:val="97"/>
          <w:rFonts w:ascii="宋体" w:hAnsi="宋体" w:cs="宋体"/>
          <w:bCs/>
          <w:lang/>
        </w:rPr>
        <w:t xml:space="preserve">2.2 </w:t>
      </w:r>
      <w:r>
        <w:rPr>
          <w:rStyle w:val="97"/>
          <w:rFonts w:hint="eastAsia" w:ascii="宋体" w:hAnsi="宋体" w:cs="宋体"/>
          <w:bCs/>
          <w:lang/>
        </w:rPr>
        <w:t>提供施工现场和工作条件</w:t>
      </w:r>
      <w:r>
        <w:rPr>
          <w:lang/>
        </w:rPr>
        <w:tab/>
      </w:r>
      <w:r>
        <w:rPr>
          <w:lang/>
        </w:rPr>
        <w:fldChar w:fldCharType="begin"/>
      </w:r>
      <w:r>
        <w:rPr>
          <w:lang/>
        </w:rPr>
        <w:instrText xml:space="preserve"> PAGEREF _Toc59203096 \h </w:instrText>
      </w:r>
      <w:r>
        <w:rPr>
          <w:lang/>
        </w:rPr>
        <w:fldChar w:fldCharType="separate"/>
      </w:r>
      <w:r>
        <w:rPr>
          <w:lang/>
        </w:rPr>
        <w:t>17</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"_Toc59203097"</w:instrText>
      </w:r>
      <w:r>
        <w:rPr>
          <w:rStyle w:val="97"/>
          <w:lang/>
        </w:rPr>
        <w:instrText xml:space="preserve"> </w:instrText>
      </w:r>
      <w:r>
        <w:rPr>
          <w:rStyle w:val="97"/>
          <w:lang/>
        </w:rPr>
        <w:fldChar w:fldCharType="separate"/>
      </w:r>
      <w:r>
        <w:rPr>
          <w:rStyle w:val="97"/>
          <w:rFonts w:ascii="宋体" w:hAnsi="宋体" w:cs="宋体"/>
          <w:bCs/>
          <w:lang/>
        </w:rPr>
        <w:t xml:space="preserve">2.3 </w:t>
      </w:r>
      <w:r>
        <w:rPr>
          <w:rStyle w:val="97"/>
          <w:rFonts w:hint="eastAsia" w:ascii="宋体" w:hAnsi="宋体" w:cs="宋体"/>
          <w:bCs/>
          <w:lang/>
        </w:rPr>
        <w:t>提供基础资料</w:t>
      </w:r>
      <w:r>
        <w:rPr>
          <w:lang/>
        </w:rPr>
        <w:tab/>
      </w:r>
      <w:r>
        <w:rPr>
          <w:lang/>
        </w:rPr>
        <w:fldChar w:fldCharType="begin"/>
      </w:r>
      <w:r>
        <w:rPr>
          <w:lang/>
        </w:rPr>
        <w:instrText xml:space="preserve"> PAGEREF _Toc59203097 \h </w:instrText>
      </w:r>
      <w:r>
        <w:rPr>
          <w:lang/>
        </w:rPr>
        <w:fldChar w:fldCharType="separate"/>
      </w:r>
      <w:r>
        <w:rPr>
          <w:lang/>
        </w:rPr>
        <w:t>17</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"_Toc59203098"</w:instrText>
      </w:r>
      <w:r>
        <w:rPr>
          <w:rStyle w:val="97"/>
          <w:lang/>
        </w:rPr>
        <w:instrText xml:space="preserve"> </w:instrText>
      </w:r>
      <w:r>
        <w:rPr>
          <w:rStyle w:val="97"/>
          <w:lang/>
        </w:rPr>
        <w:fldChar w:fldCharType="separate"/>
      </w:r>
      <w:r>
        <w:rPr>
          <w:rStyle w:val="97"/>
          <w:rFonts w:ascii="宋体" w:hAnsi="宋体" w:cs="宋体"/>
          <w:bCs/>
          <w:lang/>
        </w:rPr>
        <w:t xml:space="preserve">2.4 </w:t>
      </w:r>
      <w:r>
        <w:rPr>
          <w:rStyle w:val="97"/>
          <w:rFonts w:hint="eastAsia" w:ascii="宋体" w:hAnsi="宋体" w:cs="宋体"/>
          <w:bCs/>
          <w:lang/>
        </w:rPr>
        <w:t>办理许可和批准</w:t>
      </w:r>
      <w:r>
        <w:rPr>
          <w:lang/>
        </w:rPr>
        <w:tab/>
      </w:r>
      <w:r>
        <w:rPr>
          <w:lang/>
        </w:rPr>
        <w:fldChar w:fldCharType="begin"/>
      </w:r>
      <w:r>
        <w:rPr>
          <w:lang/>
        </w:rPr>
        <w:instrText xml:space="preserve"> PAGEREF _Toc59203098 \h </w:instrText>
      </w:r>
      <w:r>
        <w:rPr>
          <w:lang/>
        </w:rPr>
        <w:fldChar w:fldCharType="separate"/>
      </w:r>
      <w:r>
        <w:rPr>
          <w:lang/>
        </w:rPr>
        <w:t>17</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"_Toc59203099"</w:instrText>
      </w:r>
      <w:r>
        <w:rPr>
          <w:rStyle w:val="97"/>
          <w:lang/>
        </w:rPr>
        <w:instrText xml:space="preserve"> </w:instrText>
      </w:r>
      <w:r>
        <w:rPr>
          <w:rStyle w:val="97"/>
          <w:lang/>
        </w:rPr>
        <w:fldChar w:fldCharType="separate"/>
      </w:r>
      <w:r>
        <w:rPr>
          <w:rStyle w:val="97"/>
          <w:rFonts w:ascii="宋体" w:hAnsi="宋体" w:cs="宋体"/>
          <w:bCs/>
          <w:lang/>
        </w:rPr>
        <w:t xml:space="preserve">2.5 </w:t>
      </w:r>
      <w:r>
        <w:rPr>
          <w:rStyle w:val="97"/>
          <w:rFonts w:hint="eastAsia" w:ascii="宋体" w:hAnsi="宋体" w:cs="宋体"/>
          <w:bCs/>
          <w:lang/>
        </w:rPr>
        <w:t>支付合同价款</w:t>
      </w:r>
      <w:r>
        <w:rPr>
          <w:lang/>
        </w:rPr>
        <w:tab/>
      </w:r>
      <w:r>
        <w:rPr>
          <w:lang/>
        </w:rPr>
        <w:fldChar w:fldCharType="begin"/>
      </w:r>
      <w:r>
        <w:rPr>
          <w:lang/>
        </w:rPr>
        <w:instrText xml:space="preserve"> PAGEREF _Toc59203099 \h </w:instrText>
      </w:r>
      <w:r>
        <w:rPr>
          <w:lang/>
        </w:rPr>
        <w:fldChar w:fldCharType="separate"/>
      </w:r>
      <w:r>
        <w:rPr>
          <w:lang/>
        </w:rPr>
        <w:t>18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"_Toc59203100"</w:instrText>
      </w:r>
      <w:r>
        <w:rPr>
          <w:rStyle w:val="97"/>
          <w:lang/>
        </w:rPr>
        <w:instrText xml:space="preserve"> </w:instrText>
      </w:r>
      <w:r>
        <w:rPr>
          <w:rStyle w:val="97"/>
          <w:lang/>
        </w:rPr>
        <w:fldChar w:fldCharType="separate"/>
      </w:r>
      <w:r>
        <w:rPr>
          <w:rStyle w:val="97"/>
          <w:rFonts w:ascii="宋体" w:hAnsi="宋体" w:cs="宋体"/>
          <w:bCs/>
          <w:lang/>
        </w:rPr>
        <w:t xml:space="preserve">2.6 </w:t>
      </w:r>
      <w:r>
        <w:rPr>
          <w:rStyle w:val="97"/>
          <w:rFonts w:hint="eastAsia" w:ascii="宋体" w:hAnsi="宋体" w:cs="宋体"/>
          <w:bCs/>
          <w:lang/>
        </w:rPr>
        <w:t>现场管理配合</w:t>
      </w:r>
      <w:r>
        <w:rPr>
          <w:lang/>
        </w:rPr>
        <w:tab/>
      </w:r>
      <w:r>
        <w:rPr>
          <w:lang/>
        </w:rPr>
        <w:fldChar w:fldCharType="begin"/>
      </w:r>
      <w:r>
        <w:rPr>
          <w:lang/>
        </w:rPr>
        <w:instrText xml:space="preserve"> PAGEREF _Toc59203100 \h </w:instrText>
      </w:r>
      <w:r>
        <w:rPr>
          <w:lang/>
        </w:rPr>
        <w:fldChar w:fldCharType="separate"/>
      </w:r>
      <w:r>
        <w:rPr>
          <w:lang/>
        </w:rPr>
        <w:t>18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"_Toc59203101"</w:instrText>
      </w:r>
      <w:r>
        <w:rPr>
          <w:rStyle w:val="97"/>
          <w:lang/>
        </w:rPr>
        <w:instrText xml:space="preserve"> </w:instrText>
      </w:r>
      <w:r>
        <w:rPr>
          <w:rStyle w:val="97"/>
          <w:lang/>
        </w:rPr>
        <w:fldChar w:fldCharType="separate"/>
      </w:r>
      <w:r>
        <w:rPr>
          <w:rStyle w:val="97"/>
          <w:rFonts w:ascii="宋体" w:hAnsi="宋体" w:cs="宋体"/>
          <w:bCs/>
          <w:lang/>
        </w:rPr>
        <w:t xml:space="preserve">2.7 </w:t>
      </w:r>
      <w:r>
        <w:rPr>
          <w:rStyle w:val="97"/>
          <w:rFonts w:hint="eastAsia" w:ascii="宋体" w:hAnsi="宋体" w:cs="宋体"/>
          <w:bCs/>
          <w:lang/>
        </w:rPr>
        <w:t>其他义务</w:t>
      </w:r>
      <w:r>
        <w:rPr>
          <w:lang/>
        </w:rPr>
        <w:tab/>
      </w:r>
      <w:r>
        <w:rPr>
          <w:lang/>
        </w:rPr>
        <w:fldChar w:fldCharType="begin"/>
      </w:r>
      <w:r>
        <w:rPr>
          <w:lang/>
        </w:rPr>
        <w:instrText xml:space="preserve"> PAGEREF _Toc59203101 \h </w:instrText>
      </w:r>
      <w:r>
        <w:rPr>
          <w:lang/>
        </w:rPr>
        <w:fldChar w:fldCharType="separate"/>
      </w:r>
      <w:r>
        <w:rPr>
          <w:lang/>
        </w:rPr>
        <w:t>18</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"_Toc59203102"</w:instrText>
      </w:r>
      <w:r>
        <w:rPr>
          <w:rStyle w:val="97"/>
          <w:lang/>
        </w:rPr>
        <w:instrText xml:space="preserve"> </w:instrText>
      </w:r>
      <w:r>
        <w:rPr>
          <w:rStyle w:val="97"/>
          <w:lang/>
        </w:rPr>
        <w:fldChar w:fldCharType="separate"/>
      </w:r>
      <w:r>
        <w:rPr>
          <w:rStyle w:val="97"/>
          <w:rFonts w:hint="eastAsia" w:ascii="宋体" w:hAnsi="宋体" w:cs="宋体"/>
          <w:lang/>
        </w:rPr>
        <w:t>第</w:t>
      </w:r>
      <w:r>
        <w:rPr>
          <w:rStyle w:val="97"/>
          <w:rFonts w:ascii="宋体" w:hAnsi="宋体" w:cs="宋体"/>
          <w:lang/>
        </w:rPr>
        <w:t>3</w:t>
      </w:r>
      <w:r>
        <w:rPr>
          <w:rStyle w:val="97"/>
          <w:rFonts w:hint="eastAsia" w:ascii="宋体" w:hAnsi="宋体" w:cs="宋体"/>
          <w:lang/>
        </w:rPr>
        <w:t>条</w:t>
      </w:r>
      <w:r>
        <w:rPr>
          <w:rStyle w:val="97"/>
          <w:rFonts w:ascii="宋体" w:hAnsi="宋体" w:cs="宋体"/>
          <w:lang/>
        </w:rPr>
        <w:t xml:space="preserve"> </w:t>
      </w:r>
      <w:r>
        <w:rPr>
          <w:rStyle w:val="97"/>
          <w:rFonts w:hint="eastAsia" w:ascii="宋体" w:hAnsi="宋体" w:cs="宋体"/>
          <w:lang/>
        </w:rPr>
        <w:t>发包人的管理</w:t>
      </w:r>
      <w:r>
        <w:rPr>
          <w:lang/>
        </w:rPr>
        <w:tab/>
      </w:r>
      <w:r>
        <w:rPr>
          <w:lang/>
        </w:rPr>
        <w:fldChar w:fldCharType="begin"/>
      </w:r>
      <w:r>
        <w:rPr>
          <w:lang/>
        </w:rPr>
        <w:instrText xml:space="preserve"> PAGEREF _Toc59203102 \h </w:instrText>
      </w:r>
      <w:r>
        <w:rPr>
          <w:lang/>
        </w:rPr>
        <w:fldChar w:fldCharType="separate"/>
      </w:r>
      <w:r>
        <w:rPr>
          <w:lang/>
        </w:rPr>
        <w:t>18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"_Toc59203103"</w:instrText>
      </w:r>
      <w:r>
        <w:rPr>
          <w:rStyle w:val="97"/>
          <w:lang/>
        </w:rPr>
        <w:instrText xml:space="preserve"> </w:instrText>
      </w:r>
      <w:r>
        <w:rPr>
          <w:rStyle w:val="97"/>
          <w:lang/>
        </w:rPr>
        <w:fldChar w:fldCharType="separate"/>
      </w:r>
      <w:r>
        <w:rPr>
          <w:rStyle w:val="97"/>
          <w:rFonts w:ascii="宋体" w:hAnsi="宋体" w:cs="宋体"/>
          <w:bCs/>
          <w:lang/>
        </w:rPr>
        <w:t xml:space="preserve">3.1 </w:t>
      </w:r>
      <w:r>
        <w:rPr>
          <w:rStyle w:val="97"/>
          <w:rFonts w:hint="eastAsia" w:ascii="宋体" w:hAnsi="宋体" w:cs="宋体"/>
          <w:bCs/>
          <w:lang/>
        </w:rPr>
        <w:t>发包人代表</w:t>
      </w:r>
      <w:r>
        <w:rPr>
          <w:lang/>
        </w:rPr>
        <w:tab/>
      </w:r>
      <w:r>
        <w:rPr>
          <w:lang/>
        </w:rPr>
        <w:fldChar w:fldCharType="begin"/>
      </w:r>
      <w:r>
        <w:rPr>
          <w:lang/>
        </w:rPr>
        <w:instrText xml:space="preserve"> PAGEREF _Toc59203103 \h </w:instrText>
      </w:r>
      <w:r>
        <w:rPr>
          <w:lang/>
        </w:rPr>
        <w:fldChar w:fldCharType="separate"/>
      </w:r>
      <w:r>
        <w:rPr>
          <w:lang/>
        </w:rPr>
        <w:t>18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"_Toc59203104"</w:instrText>
      </w:r>
      <w:r>
        <w:rPr>
          <w:rStyle w:val="97"/>
          <w:lang/>
        </w:rPr>
        <w:instrText xml:space="preserve"> </w:instrText>
      </w:r>
      <w:r>
        <w:rPr>
          <w:rStyle w:val="97"/>
          <w:lang/>
        </w:rPr>
        <w:fldChar w:fldCharType="separate"/>
      </w:r>
      <w:r>
        <w:rPr>
          <w:rStyle w:val="97"/>
          <w:rFonts w:ascii="宋体" w:hAnsi="宋体" w:cs="宋体"/>
          <w:bCs/>
          <w:lang/>
        </w:rPr>
        <w:t xml:space="preserve">3.2 </w:t>
      </w:r>
      <w:r>
        <w:rPr>
          <w:rStyle w:val="97"/>
          <w:rFonts w:hint="eastAsia" w:ascii="宋体" w:hAnsi="宋体" w:cs="宋体"/>
          <w:bCs/>
          <w:lang/>
        </w:rPr>
        <w:t>发包人人员</w:t>
      </w:r>
      <w:r>
        <w:rPr>
          <w:lang/>
        </w:rPr>
        <w:tab/>
      </w:r>
      <w:r>
        <w:rPr>
          <w:lang/>
        </w:rPr>
        <w:fldChar w:fldCharType="begin"/>
      </w:r>
      <w:r>
        <w:rPr>
          <w:lang/>
        </w:rPr>
        <w:instrText xml:space="preserve"> PAGEREF _Toc59203104 \h </w:instrText>
      </w:r>
      <w:r>
        <w:rPr>
          <w:lang/>
        </w:rPr>
        <w:fldChar w:fldCharType="separate"/>
      </w:r>
      <w:r>
        <w:rPr>
          <w:lang/>
        </w:rPr>
        <w:t>19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"_Toc59203105"</w:instrText>
      </w:r>
      <w:r>
        <w:rPr>
          <w:rStyle w:val="97"/>
          <w:lang/>
        </w:rPr>
        <w:instrText xml:space="preserve"> </w:instrText>
      </w:r>
      <w:r>
        <w:rPr>
          <w:rStyle w:val="97"/>
          <w:lang/>
        </w:rPr>
        <w:fldChar w:fldCharType="separate"/>
      </w:r>
      <w:r>
        <w:rPr>
          <w:rStyle w:val="97"/>
          <w:rFonts w:ascii="宋体" w:hAnsi="宋体" w:cs="宋体"/>
          <w:bCs/>
          <w:lang/>
        </w:rPr>
        <w:t xml:space="preserve">3.3 </w:t>
      </w:r>
      <w:r>
        <w:rPr>
          <w:rStyle w:val="97"/>
          <w:rFonts w:hint="eastAsia" w:ascii="宋体" w:hAnsi="宋体" w:cs="宋体"/>
          <w:bCs/>
          <w:lang/>
        </w:rPr>
        <w:t>工程师</w:t>
      </w:r>
      <w:r>
        <w:rPr>
          <w:lang/>
        </w:rPr>
        <w:tab/>
      </w:r>
      <w:r>
        <w:rPr>
          <w:lang/>
        </w:rPr>
        <w:fldChar w:fldCharType="begin"/>
      </w:r>
      <w:r>
        <w:rPr>
          <w:lang/>
        </w:rPr>
        <w:instrText xml:space="preserve"> PAGEREF _Toc59203105 \h </w:instrText>
      </w:r>
      <w:r>
        <w:rPr>
          <w:lang/>
        </w:rPr>
        <w:fldChar w:fldCharType="separate"/>
      </w:r>
      <w:r>
        <w:rPr>
          <w:lang/>
        </w:rPr>
        <w:t>19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"_Toc59203106"</w:instrText>
      </w:r>
      <w:r>
        <w:rPr>
          <w:rStyle w:val="97"/>
          <w:lang/>
        </w:rPr>
        <w:instrText xml:space="preserve"> </w:instrText>
      </w:r>
      <w:r>
        <w:rPr>
          <w:rStyle w:val="97"/>
          <w:lang/>
        </w:rPr>
        <w:fldChar w:fldCharType="separate"/>
      </w:r>
      <w:r>
        <w:rPr>
          <w:rStyle w:val="97"/>
          <w:rFonts w:ascii="宋体" w:hAnsi="宋体" w:cs="宋体"/>
          <w:bCs/>
          <w:lang/>
        </w:rPr>
        <w:t xml:space="preserve">3.4 </w:t>
      </w:r>
      <w:r>
        <w:rPr>
          <w:rStyle w:val="97"/>
          <w:rFonts w:hint="eastAsia" w:ascii="宋体" w:hAnsi="宋体" w:cs="宋体"/>
          <w:bCs/>
          <w:lang/>
        </w:rPr>
        <w:t>任命和授权</w:t>
      </w:r>
      <w:r>
        <w:rPr>
          <w:lang/>
        </w:rPr>
        <w:tab/>
      </w:r>
      <w:r>
        <w:rPr>
          <w:lang/>
        </w:rPr>
        <w:fldChar w:fldCharType="begin"/>
      </w:r>
      <w:r>
        <w:rPr>
          <w:lang/>
        </w:rPr>
        <w:instrText xml:space="preserve"> PAGEREF _Toc59203106 \h </w:instrText>
      </w:r>
      <w:r>
        <w:rPr>
          <w:lang/>
        </w:rPr>
        <w:fldChar w:fldCharType="separate"/>
      </w:r>
      <w:r>
        <w:rPr>
          <w:lang/>
        </w:rPr>
        <w:t>20</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"_Toc59203107"</w:instrText>
      </w:r>
      <w:r>
        <w:rPr>
          <w:rStyle w:val="97"/>
          <w:lang/>
        </w:rPr>
        <w:instrText xml:space="preserve"> </w:instrText>
      </w:r>
      <w:r>
        <w:rPr>
          <w:rStyle w:val="97"/>
          <w:lang/>
        </w:rPr>
        <w:fldChar w:fldCharType="separate"/>
      </w:r>
      <w:r>
        <w:rPr>
          <w:rStyle w:val="97"/>
          <w:rFonts w:ascii="宋体" w:hAnsi="宋体" w:cs="宋体"/>
          <w:bCs/>
          <w:lang/>
        </w:rPr>
        <w:t xml:space="preserve">3.5 </w:t>
      </w:r>
      <w:r>
        <w:rPr>
          <w:rStyle w:val="97"/>
          <w:rFonts w:hint="eastAsia" w:ascii="宋体" w:hAnsi="宋体" w:cs="宋体"/>
          <w:bCs/>
          <w:lang/>
        </w:rPr>
        <w:t>指示</w:t>
      </w:r>
      <w:r>
        <w:rPr>
          <w:lang/>
        </w:rPr>
        <w:tab/>
      </w:r>
      <w:r>
        <w:rPr>
          <w:lang/>
        </w:rPr>
        <w:fldChar w:fldCharType="begin"/>
      </w:r>
      <w:r>
        <w:rPr>
          <w:lang/>
        </w:rPr>
        <w:instrText xml:space="preserve"> PAGEREF _Toc59203107 \h </w:instrText>
      </w:r>
      <w:r>
        <w:rPr>
          <w:lang/>
        </w:rPr>
        <w:fldChar w:fldCharType="separate"/>
      </w:r>
      <w:r>
        <w:rPr>
          <w:lang/>
        </w:rPr>
        <w:t>20</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"_Toc59203108"</w:instrText>
      </w:r>
      <w:r>
        <w:rPr>
          <w:rStyle w:val="97"/>
          <w:lang/>
        </w:rPr>
        <w:instrText xml:space="preserve"> </w:instrText>
      </w:r>
      <w:r>
        <w:rPr>
          <w:rStyle w:val="97"/>
          <w:lang/>
        </w:rPr>
        <w:fldChar w:fldCharType="separate"/>
      </w:r>
      <w:r>
        <w:rPr>
          <w:rStyle w:val="97"/>
          <w:rFonts w:ascii="宋体" w:hAnsi="宋体" w:cs="宋体"/>
          <w:bCs/>
          <w:lang/>
        </w:rPr>
        <w:t xml:space="preserve">3.6 </w:t>
      </w:r>
      <w:r>
        <w:rPr>
          <w:rStyle w:val="97"/>
          <w:rFonts w:hint="eastAsia" w:ascii="宋体" w:hAnsi="宋体" w:cs="宋体"/>
          <w:bCs/>
          <w:lang/>
        </w:rPr>
        <w:t>商定或确定</w:t>
      </w:r>
      <w:r>
        <w:rPr>
          <w:lang/>
        </w:rPr>
        <w:tab/>
      </w:r>
      <w:r>
        <w:rPr>
          <w:lang/>
        </w:rPr>
        <w:fldChar w:fldCharType="begin"/>
      </w:r>
      <w:r>
        <w:rPr>
          <w:lang/>
        </w:rPr>
        <w:instrText xml:space="preserve"> PAGEREF _Toc59203108 \h </w:instrText>
      </w:r>
      <w:r>
        <w:rPr>
          <w:lang/>
        </w:rPr>
        <w:fldChar w:fldCharType="separate"/>
      </w:r>
      <w:r>
        <w:rPr>
          <w:lang/>
        </w:rPr>
        <w:t>20</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"_Toc59203109"</w:instrText>
      </w:r>
      <w:r>
        <w:rPr>
          <w:rStyle w:val="97"/>
          <w:lang/>
        </w:rPr>
        <w:instrText xml:space="preserve"> </w:instrText>
      </w:r>
      <w:r>
        <w:rPr>
          <w:rStyle w:val="97"/>
          <w:lang/>
        </w:rPr>
        <w:fldChar w:fldCharType="separate"/>
      </w:r>
      <w:r>
        <w:rPr>
          <w:rStyle w:val="97"/>
          <w:rFonts w:ascii="宋体" w:hAnsi="宋体" w:cs="宋体"/>
          <w:bCs/>
          <w:lang/>
        </w:rPr>
        <w:t xml:space="preserve">3.7 </w:t>
      </w:r>
      <w:r>
        <w:rPr>
          <w:rStyle w:val="97"/>
          <w:rFonts w:hint="eastAsia" w:ascii="宋体" w:hAnsi="宋体" w:cs="宋体"/>
          <w:bCs/>
          <w:lang/>
        </w:rPr>
        <w:t>会议</w:t>
      </w:r>
      <w:r>
        <w:rPr>
          <w:lang/>
        </w:rPr>
        <w:tab/>
      </w:r>
      <w:r>
        <w:rPr>
          <w:lang/>
        </w:rPr>
        <w:fldChar w:fldCharType="begin"/>
      </w:r>
      <w:r>
        <w:rPr>
          <w:lang/>
        </w:rPr>
        <w:instrText xml:space="preserve"> PAGEREF _Toc59203109 \h </w:instrText>
      </w:r>
      <w:r>
        <w:rPr>
          <w:lang/>
        </w:rPr>
        <w:fldChar w:fldCharType="separate"/>
      </w:r>
      <w:r>
        <w:rPr>
          <w:lang/>
        </w:rPr>
        <w:t>21</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"_Toc59203110"</w:instrText>
      </w:r>
      <w:r>
        <w:rPr>
          <w:rStyle w:val="97"/>
          <w:lang/>
        </w:rPr>
        <w:instrText xml:space="preserve"> </w:instrText>
      </w:r>
      <w:r>
        <w:rPr>
          <w:rStyle w:val="97"/>
          <w:lang/>
        </w:rPr>
        <w:fldChar w:fldCharType="separate"/>
      </w:r>
      <w:r>
        <w:rPr>
          <w:rStyle w:val="97"/>
          <w:rFonts w:hint="eastAsia" w:ascii="宋体" w:hAnsi="宋体" w:cs="宋体"/>
          <w:lang/>
        </w:rPr>
        <w:t>第</w:t>
      </w:r>
      <w:r>
        <w:rPr>
          <w:rStyle w:val="97"/>
          <w:rFonts w:ascii="宋体" w:hAnsi="宋体" w:cs="宋体"/>
          <w:lang/>
        </w:rPr>
        <w:t>4</w:t>
      </w:r>
      <w:r>
        <w:rPr>
          <w:rStyle w:val="97"/>
          <w:rFonts w:hint="eastAsia" w:ascii="宋体" w:hAnsi="宋体" w:cs="宋体"/>
          <w:lang/>
        </w:rPr>
        <w:t>条</w:t>
      </w:r>
      <w:r>
        <w:rPr>
          <w:rStyle w:val="97"/>
          <w:rFonts w:ascii="宋体" w:hAnsi="宋体" w:cs="宋体"/>
          <w:lang/>
        </w:rPr>
        <w:t xml:space="preserve"> </w:t>
      </w:r>
      <w:r>
        <w:rPr>
          <w:rStyle w:val="97"/>
          <w:rFonts w:hint="eastAsia" w:ascii="宋体" w:hAnsi="宋体" w:cs="宋体"/>
          <w:lang/>
        </w:rPr>
        <w:t>承包人</w:t>
      </w:r>
      <w:r>
        <w:rPr>
          <w:lang/>
        </w:rPr>
        <w:tab/>
      </w:r>
      <w:r>
        <w:rPr>
          <w:lang/>
        </w:rPr>
        <w:fldChar w:fldCharType="begin"/>
      </w:r>
      <w:r>
        <w:rPr>
          <w:lang/>
        </w:rPr>
        <w:instrText xml:space="preserve"> PAGEREF _Toc59203110 \h </w:instrText>
      </w:r>
      <w:r>
        <w:rPr>
          <w:lang/>
        </w:rPr>
        <w:fldChar w:fldCharType="separate"/>
      </w:r>
      <w:r>
        <w:rPr>
          <w:lang/>
        </w:rPr>
        <w:t>21</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"_Toc59203111"</w:instrText>
      </w:r>
      <w:r>
        <w:rPr>
          <w:rStyle w:val="97"/>
          <w:lang/>
        </w:rPr>
        <w:instrText xml:space="preserve"> </w:instrText>
      </w:r>
      <w:r>
        <w:rPr>
          <w:rStyle w:val="97"/>
          <w:lang/>
        </w:rPr>
        <w:fldChar w:fldCharType="separate"/>
      </w:r>
      <w:r>
        <w:rPr>
          <w:rStyle w:val="97"/>
          <w:rFonts w:ascii="宋体" w:hAnsi="宋体" w:cs="宋体"/>
          <w:bCs/>
          <w:lang/>
        </w:rPr>
        <w:t xml:space="preserve">4.1 </w:t>
      </w:r>
      <w:r>
        <w:rPr>
          <w:rStyle w:val="97"/>
          <w:rFonts w:hint="eastAsia" w:ascii="宋体" w:hAnsi="宋体" w:cs="宋体"/>
          <w:bCs/>
          <w:lang/>
        </w:rPr>
        <w:t>承包人的一般义务</w:t>
      </w:r>
      <w:r>
        <w:rPr>
          <w:lang/>
        </w:rPr>
        <w:tab/>
      </w:r>
      <w:r>
        <w:rPr>
          <w:lang/>
        </w:rPr>
        <w:fldChar w:fldCharType="begin"/>
      </w:r>
      <w:r>
        <w:rPr>
          <w:lang/>
        </w:rPr>
        <w:instrText xml:space="preserve"> PAGEREF _Toc59203111 \h </w:instrText>
      </w:r>
      <w:r>
        <w:rPr>
          <w:lang/>
        </w:rPr>
        <w:fldChar w:fldCharType="separate"/>
      </w:r>
      <w:r>
        <w:rPr>
          <w:lang/>
        </w:rPr>
        <w:t>21</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"_Toc59203112"</w:instrText>
      </w:r>
      <w:r>
        <w:rPr>
          <w:rStyle w:val="97"/>
          <w:lang/>
        </w:rPr>
        <w:instrText xml:space="preserve"> </w:instrText>
      </w:r>
      <w:r>
        <w:rPr>
          <w:rStyle w:val="97"/>
          <w:lang/>
        </w:rPr>
        <w:fldChar w:fldCharType="separate"/>
      </w:r>
      <w:r>
        <w:rPr>
          <w:rStyle w:val="97"/>
          <w:rFonts w:ascii="宋体" w:hAnsi="宋体" w:cs="宋体"/>
          <w:bCs/>
          <w:lang/>
        </w:rPr>
        <w:t xml:space="preserve">4.2 </w:t>
      </w:r>
      <w:r>
        <w:rPr>
          <w:rStyle w:val="97"/>
          <w:rFonts w:hint="eastAsia" w:ascii="宋体" w:hAnsi="宋体" w:cs="宋体"/>
          <w:bCs/>
          <w:lang/>
        </w:rPr>
        <w:t>履约担保</w:t>
      </w:r>
      <w:r>
        <w:rPr>
          <w:lang/>
        </w:rPr>
        <w:tab/>
      </w:r>
      <w:r>
        <w:rPr>
          <w:lang/>
        </w:rPr>
        <w:fldChar w:fldCharType="begin"/>
      </w:r>
      <w:r>
        <w:rPr>
          <w:lang/>
        </w:rPr>
        <w:instrText xml:space="preserve"> PAGEREF _Toc59203112 \h </w:instrText>
      </w:r>
      <w:r>
        <w:rPr>
          <w:lang/>
        </w:rPr>
        <w:fldChar w:fldCharType="separate"/>
      </w:r>
      <w:r>
        <w:rPr>
          <w:lang/>
        </w:rPr>
        <w:t>22</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"_Toc59203113"</w:instrText>
      </w:r>
      <w:r>
        <w:rPr>
          <w:rStyle w:val="97"/>
          <w:lang/>
        </w:rPr>
        <w:instrText xml:space="preserve"> </w:instrText>
      </w:r>
      <w:r>
        <w:rPr>
          <w:rStyle w:val="97"/>
          <w:lang/>
        </w:rPr>
        <w:fldChar w:fldCharType="separate"/>
      </w:r>
      <w:r>
        <w:rPr>
          <w:rStyle w:val="97"/>
          <w:rFonts w:ascii="宋体" w:hAnsi="宋体" w:cs="宋体"/>
          <w:bCs/>
          <w:lang/>
        </w:rPr>
        <w:t xml:space="preserve">4.3 </w:t>
      </w:r>
      <w:r>
        <w:rPr>
          <w:rStyle w:val="97"/>
          <w:rFonts w:hint="eastAsia" w:ascii="宋体" w:hAnsi="宋体" w:cs="宋体"/>
          <w:bCs/>
          <w:lang/>
        </w:rPr>
        <w:t>工程总承包项目经理</w:t>
      </w:r>
      <w:r>
        <w:rPr>
          <w:lang/>
        </w:rPr>
        <w:tab/>
      </w:r>
      <w:r>
        <w:rPr>
          <w:lang/>
        </w:rPr>
        <w:fldChar w:fldCharType="begin"/>
      </w:r>
      <w:r>
        <w:rPr>
          <w:lang/>
        </w:rPr>
        <w:instrText xml:space="preserve"> PAGEREF _Toc59203113 \h </w:instrText>
      </w:r>
      <w:r>
        <w:rPr>
          <w:lang/>
        </w:rPr>
        <w:fldChar w:fldCharType="separate"/>
      </w:r>
      <w:r>
        <w:rPr>
          <w:lang/>
        </w:rPr>
        <w:t>22</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"_Toc59203114"</w:instrText>
      </w:r>
      <w:r>
        <w:rPr>
          <w:rStyle w:val="97"/>
          <w:lang/>
        </w:rPr>
        <w:instrText xml:space="preserve"> </w:instrText>
      </w:r>
      <w:r>
        <w:rPr>
          <w:rStyle w:val="97"/>
          <w:lang/>
        </w:rPr>
        <w:fldChar w:fldCharType="separate"/>
      </w:r>
      <w:r>
        <w:rPr>
          <w:rStyle w:val="97"/>
          <w:rFonts w:ascii="宋体" w:hAnsi="宋体" w:cs="宋体"/>
          <w:bCs/>
          <w:lang/>
        </w:rPr>
        <w:t xml:space="preserve">4.4 </w:t>
      </w:r>
      <w:r>
        <w:rPr>
          <w:rStyle w:val="97"/>
          <w:rFonts w:hint="eastAsia" w:ascii="宋体" w:hAnsi="宋体" w:cs="宋体"/>
          <w:bCs/>
          <w:lang/>
        </w:rPr>
        <w:t>承包人人员</w:t>
      </w:r>
      <w:r>
        <w:rPr>
          <w:lang/>
        </w:rPr>
        <w:tab/>
      </w:r>
      <w:r>
        <w:rPr>
          <w:lang/>
        </w:rPr>
        <w:fldChar w:fldCharType="begin"/>
      </w:r>
      <w:r>
        <w:rPr>
          <w:lang/>
        </w:rPr>
        <w:instrText xml:space="preserve"> PAGEREF _Toc59203114 \h </w:instrText>
      </w:r>
      <w:r>
        <w:rPr>
          <w:lang/>
        </w:rPr>
        <w:fldChar w:fldCharType="separate"/>
      </w:r>
      <w:r>
        <w:rPr>
          <w:lang/>
        </w:rPr>
        <w:t>23</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"_Toc59203115"</w:instrText>
      </w:r>
      <w:r>
        <w:rPr>
          <w:rStyle w:val="97"/>
          <w:lang/>
        </w:rPr>
        <w:instrText xml:space="preserve"> </w:instrText>
      </w:r>
      <w:r>
        <w:rPr>
          <w:rStyle w:val="97"/>
          <w:lang/>
        </w:rPr>
        <w:fldChar w:fldCharType="separate"/>
      </w:r>
      <w:r>
        <w:rPr>
          <w:rStyle w:val="97"/>
          <w:rFonts w:ascii="宋体" w:hAnsi="宋体" w:cs="宋体"/>
          <w:bCs/>
          <w:lang/>
        </w:rPr>
        <w:t xml:space="preserve">4.5 </w:t>
      </w:r>
      <w:r>
        <w:rPr>
          <w:rStyle w:val="97"/>
          <w:rFonts w:hint="eastAsia" w:ascii="宋体" w:hAnsi="宋体" w:cs="宋体"/>
          <w:bCs/>
          <w:lang/>
        </w:rPr>
        <w:t>分包</w:t>
      </w:r>
      <w:r>
        <w:rPr>
          <w:lang/>
        </w:rPr>
        <w:tab/>
      </w:r>
      <w:r>
        <w:rPr>
          <w:lang/>
        </w:rPr>
        <w:fldChar w:fldCharType="begin"/>
      </w:r>
      <w:r>
        <w:rPr>
          <w:lang/>
        </w:rPr>
        <w:instrText xml:space="preserve"> PAGEREF _Toc59203115 \h </w:instrText>
      </w:r>
      <w:r>
        <w:rPr>
          <w:lang/>
        </w:rPr>
        <w:fldChar w:fldCharType="separate"/>
      </w:r>
      <w:r>
        <w:rPr>
          <w:lang/>
        </w:rPr>
        <w:t>24</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"_Toc59203116"</w:instrText>
      </w:r>
      <w:r>
        <w:rPr>
          <w:rStyle w:val="97"/>
          <w:lang/>
        </w:rPr>
        <w:instrText xml:space="preserve"> </w:instrText>
      </w:r>
      <w:r>
        <w:rPr>
          <w:rStyle w:val="97"/>
          <w:lang/>
        </w:rPr>
        <w:fldChar w:fldCharType="separate"/>
      </w:r>
      <w:r>
        <w:rPr>
          <w:rStyle w:val="97"/>
          <w:rFonts w:ascii="宋体" w:hAnsi="宋体" w:cs="宋体"/>
          <w:bCs/>
          <w:lang/>
        </w:rPr>
        <w:t xml:space="preserve">4.6 </w:t>
      </w:r>
      <w:r>
        <w:rPr>
          <w:rStyle w:val="97"/>
          <w:rFonts w:hint="eastAsia" w:ascii="宋体" w:hAnsi="宋体" w:cs="宋体"/>
          <w:bCs/>
          <w:lang/>
        </w:rPr>
        <w:t>联合体</w:t>
      </w:r>
      <w:r>
        <w:rPr>
          <w:lang/>
        </w:rPr>
        <w:tab/>
      </w:r>
      <w:r>
        <w:rPr>
          <w:lang/>
        </w:rPr>
        <w:fldChar w:fldCharType="begin"/>
      </w:r>
      <w:r>
        <w:rPr>
          <w:lang/>
        </w:rPr>
        <w:instrText xml:space="preserve"> PAGEREF _Toc59203116 \h </w:instrText>
      </w:r>
      <w:r>
        <w:rPr>
          <w:lang/>
        </w:rPr>
        <w:fldChar w:fldCharType="separate"/>
      </w:r>
      <w:r>
        <w:rPr>
          <w:lang/>
        </w:rPr>
        <w:t>25</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"_Toc59203117"</w:instrText>
      </w:r>
      <w:r>
        <w:rPr>
          <w:rStyle w:val="97"/>
          <w:lang/>
        </w:rPr>
        <w:instrText xml:space="preserve"> </w:instrText>
      </w:r>
      <w:r>
        <w:rPr>
          <w:rStyle w:val="97"/>
          <w:lang/>
        </w:rPr>
        <w:fldChar w:fldCharType="separate"/>
      </w:r>
      <w:r>
        <w:rPr>
          <w:rStyle w:val="97"/>
          <w:rFonts w:ascii="宋体" w:hAnsi="宋体" w:cs="宋体"/>
          <w:bCs/>
          <w:lang/>
        </w:rPr>
        <w:t xml:space="preserve">4.7 </w:t>
      </w:r>
      <w:r>
        <w:rPr>
          <w:rStyle w:val="97"/>
          <w:rFonts w:hint="eastAsia" w:ascii="宋体" w:hAnsi="宋体" w:cs="宋体"/>
          <w:bCs/>
          <w:lang/>
        </w:rPr>
        <w:t>承包人现场查勘</w:t>
      </w:r>
      <w:r>
        <w:rPr>
          <w:lang/>
        </w:rPr>
        <w:tab/>
      </w:r>
      <w:r>
        <w:rPr>
          <w:lang/>
        </w:rPr>
        <w:fldChar w:fldCharType="begin"/>
      </w:r>
      <w:r>
        <w:rPr>
          <w:lang/>
        </w:rPr>
        <w:instrText xml:space="preserve"> PAGEREF _Toc59203117 \h </w:instrText>
      </w:r>
      <w:r>
        <w:rPr>
          <w:lang/>
        </w:rPr>
        <w:fldChar w:fldCharType="separate"/>
      </w:r>
      <w:r>
        <w:rPr>
          <w:lang/>
        </w:rPr>
        <w:t>25</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"_Toc59203118"</w:instrText>
      </w:r>
      <w:r>
        <w:rPr>
          <w:rStyle w:val="97"/>
          <w:lang/>
        </w:rPr>
        <w:instrText xml:space="preserve"> </w:instrText>
      </w:r>
      <w:r>
        <w:rPr>
          <w:rStyle w:val="97"/>
          <w:lang/>
        </w:rPr>
        <w:fldChar w:fldCharType="separate"/>
      </w:r>
      <w:r>
        <w:rPr>
          <w:rStyle w:val="97"/>
          <w:rFonts w:ascii="宋体" w:hAnsi="宋体" w:cs="宋体"/>
          <w:bCs/>
          <w:lang/>
        </w:rPr>
        <w:t xml:space="preserve">4.8 </w:t>
      </w:r>
      <w:r>
        <w:rPr>
          <w:rStyle w:val="97"/>
          <w:rFonts w:hint="eastAsia" w:ascii="宋体" w:hAnsi="宋体" w:cs="宋体"/>
          <w:bCs/>
          <w:lang/>
        </w:rPr>
        <w:t>不可预见的困难</w:t>
      </w:r>
      <w:r>
        <w:rPr>
          <w:lang/>
        </w:rPr>
        <w:tab/>
      </w:r>
      <w:r>
        <w:rPr>
          <w:lang/>
        </w:rPr>
        <w:fldChar w:fldCharType="begin"/>
      </w:r>
      <w:r>
        <w:rPr>
          <w:lang/>
        </w:rPr>
        <w:instrText xml:space="preserve"> PAGEREF _Toc59203118 \h </w:instrText>
      </w:r>
      <w:r>
        <w:rPr>
          <w:lang/>
        </w:rPr>
        <w:fldChar w:fldCharType="separate"/>
      </w:r>
      <w:r>
        <w:rPr>
          <w:lang/>
        </w:rPr>
        <w:t>26</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"_Toc59203119"</w:instrText>
      </w:r>
      <w:r>
        <w:rPr>
          <w:rStyle w:val="97"/>
          <w:lang/>
        </w:rPr>
        <w:instrText xml:space="preserve"> </w:instrText>
      </w:r>
      <w:r>
        <w:rPr>
          <w:rStyle w:val="97"/>
          <w:lang/>
        </w:rPr>
        <w:fldChar w:fldCharType="separate"/>
      </w:r>
      <w:r>
        <w:rPr>
          <w:rStyle w:val="97"/>
          <w:rFonts w:ascii="宋体" w:hAnsi="宋体" w:cs="宋体"/>
          <w:bCs/>
          <w:lang/>
        </w:rPr>
        <w:t xml:space="preserve">4.9 </w:t>
      </w:r>
      <w:r>
        <w:rPr>
          <w:rStyle w:val="97"/>
          <w:rFonts w:hint="eastAsia" w:ascii="宋体" w:hAnsi="宋体" w:cs="宋体"/>
          <w:bCs/>
          <w:lang/>
        </w:rPr>
        <w:t>工程质量管理</w:t>
      </w:r>
      <w:r>
        <w:rPr>
          <w:lang/>
        </w:rPr>
        <w:tab/>
      </w:r>
      <w:r>
        <w:rPr>
          <w:lang/>
        </w:rPr>
        <w:fldChar w:fldCharType="begin"/>
      </w:r>
      <w:r>
        <w:rPr>
          <w:lang/>
        </w:rPr>
        <w:instrText xml:space="preserve"> PAGEREF _Toc59203119 \h </w:instrText>
      </w:r>
      <w:r>
        <w:rPr>
          <w:lang/>
        </w:rPr>
        <w:fldChar w:fldCharType="separate"/>
      </w:r>
      <w:r>
        <w:rPr>
          <w:lang/>
        </w:rPr>
        <w:t>26</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"_Toc59203120"</w:instrText>
      </w:r>
      <w:r>
        <w:rPr>
          <w:rStyle w:val="97"/>
          <w:lang/>
        </w:rPr>
        <w:instrText xml:space="preserve"> </w:instrText>
      </w:r>
      <w:r>
        <w:rPr>
          <w:rStyle w:val="97"/>
          <w:lang/>
        </w:rPr>
        <w:fldChar w:fldCharType="separate"/>
      </w:r>
      <w:r>
        <w:rPr>
          <w:rStyle w:val="97"/>
          <w:rFonts w:hint="eastAsia" w:ascii="宋体" w:hAnsi="宋体" w:cs="宋体"/>
          <w:lang/>
        </w:rPr>
        <w:t>第</w:t>
      </w:r>
      <w:r>
        <w:rPr>
          <w:rStyle w:val="97"/>
          <w:rFonts w:ascii="宋体" w:hAnsi="宋体" w:cs="宋体"/>
          <w:lang/>
        </w:rPr>
        <w:t>5</w:t>
      </w:r>
      <w:r>
        <w:rPr>
          <w:rStyle w:val="97"/>
          <w:rFonts w:hint="eastAsia" w:ascii="宋体" w:hAnsi="宋体" w:cs="宋体"/>
          <w:lang/>
        </w:rPr>
        <w:t>条</w:t>
      </w:r>
      <w:r>
        <w:rPr>
          <w:rStyle w:val="97"/>
          <w:rFonts w:ascii="宋体" w:hAnsi="宋体" w:cs="宋体"/>
          <w:lang/>
        </w:rPr>
        <w:t xml:space="preserve"> </w:t>
      </w:r>
      <w:r>
        <w:rPr>
          <w:rStyle w:val="97"/>
          <w:rFonts w:hint="eastAsia" w:ascii="宋体" w:hAnsi="宋体" w:cs="宋体"/>
          <w:lang/>
        </w:rPr>
        <w:t>设计</w:t>
      </w:r>
      <w:r>
        <w:rPr>
          <w:lang/>
        </w:rPr>
        <w:tab/>
      </w:r>
      <w:r>
        <w:rPr>
          <w:lang/>
        </w:rPr>
        <w:fldChar w:fldCharType="begin"/>
      </w:r>
      <w:r>
        <w:rPr>
          <w:lang/>
        </w:rPr>
        <w:instrText xml:space="preserve"> PAGEREF _Toc59203120 \h </w:instrText>
      </w:r>
      <w:r>
        <w:rPr>
          <w:lang/>
        </w:rPr>
        <w:fldChar w:fldCharType="separate"/>
      </w:r>
      <w:r>
        <w:rPr>
          <w:lang/>
        </w:rPr>
        <w:t>26</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"_Toc59203121"</w:instrText>
      </w:r>
      <w:r>
        <w:rPr>
          <w:rStyle w:val="97"/>
          <w:lang/>
        </w:rPr>
        <w:instrText xml:space="preserve"> </w:instrText>
      </w:r>
      <w:r>
        <w:rPr>
          <w:rStyle w:val="97"/>
          <w:lang/>
        </w:rPr>
        <w:fldChar w:fldCharType="separate"/>
      </w:r>
      <w:r>
        <w:rPr>
          <w:rStyle w:val="97"/>
          <w:rFonts w:ascii="宋体" w:hAnsi="宋体" w:cs="宋体"/>
          <w:bCs/>
          <w:lang/>
        </w:rPr>
        <w:t xml:space="preserve">5.1 </w:t>
      </w:r>
      <w:r>
        <w:rPr>
          <w:rStyle w:val="97"/>
          <w:rFonts w:hint="eastAsia" w:ascii="宋体" w:hAnsi="宋体" w:cs="宋体"/>
          <w:bCs/>
          <w:lang/>
        </w:rPr>
        <w:t>承包人的设计义务</w:t>
      </w:r>
      <w:r>
        <w:rPr>
          <w:lang/>
        </w:rPr>
        <w:tab/>
      </w:r>
      <w:r>
        <w:rPr>
          <w:lang/>
        </w:rPr>
        <w:fldChar w:fldCharType="begin"/>
      </w:r>
      <w:r>
        <w:rPr>
          <w:lang/>
        </w:rPr>
        <w:instrText xml:space="preserve"> PAGEREF _Toc59203121 \h </w:instrText>
      </w:r>
      <w:r>
        <w:rPr>
          <w:lang/>
        </w:rPr>
        <w:fldChar w:fldCharType="separate"/>
      </w:r>
      <w:r>
        <w:rPr>
          <w:lang/>
        </w:rPr>
        <w:t>26</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"_Toc59203122"</w:instrText>
      </w:r>
      <w:r>
        <w:rPr>
          <w:rStyle w:val="97"/>
          <w:lang/>
        </w:rPr>
        <w:instrText xml:space="preserve"> </w:instrText>
      </w:r>
      <w:r>
        <w:rPr>
          <w:rStyle w:val="97"/>
          <w:lang/>
        </w:rPr>
        <w:fldChar w:fldCharType="separate"/>
      </w:r>
      <w:r>
        <w:rPr>
          <w:rStyle w:val="97"/>
          <w:rFonts w:ascii="宋体" w:hAnsi="宋体" w:cs="宋体"/>
          <w:bCs/>
          <w:lang/>
        </w:rPr>
        <w:t xml:space="preserve">5.2 </w:t>
      </w:r>
      <w:r>
        <w:rPr>
          <w:rStyle w:val="97"/>
          <w:rFonts w:hint="eastAsia" w:ascii="宋体" w:hAnsi="宋体" w:cs="宋体"/>
          <w:bCs/>
          <w:lang/>
        </w:rPr>
        <w:t>承包人文件审查</w:t>
      </w:r>
      <w:r>
        <w:rPr>
          <w:lang/>
        </w:rPr>
        <w:tab/>
      </w:r>
      <w:r>
        <w:rPr>
          <w:lang/>
        </w:rPr>
        <w:fldChar w:fldCharType="begin"/>
      </w:r>
      <w:r>
        <w:rPr>
          <w:lang/>
        </w:rPr>
        <w:instrText xml:space="preserve"> PAGEREF _Toc59203122 \h </w:instrText>
      </w:r>
      <w:r>
        <w:rPr>
          <w:lang/>
        </w:rPr>
        <w:fldChar w:fldCharType="separate"/>
      </w:r>
      <w:r>
        <w:rPr>
          <w:lang/>
        </w:rPr>
        <w:t>27</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"_Toc59203123"</w:instrText>
      </w:r>
      <w:r>
        <w:rPr>
          <w:rStyle w:val="97"/>
          <w:lang/>
        </w:rPr>
        <w:instrText xml:space="preserve"> </w:instrText>
      </w:r>
      <w:r>
        <w:rPr>
          <w:rStyle w:val="97"/>
          <w:lang/>
        </w:rPr>
        <w:fldChar w:fldCharType="separate"/>
      </w:r>
      <w:r>
        <w:rPr>
          <w:rStyle w:val="97"/>
          <w:rFonts w:ascii="宋体" w:hAnsi="宋体" w:cs="宋体"/>
          <w:bCs/>
          <w:lang/>
        </w:rPr>
        <w:t xml:space="preserve">5.3 </w:t>
      </w:r>
      <w:r>
        <w:rPr>
          <w:rStyle w:val="97"/>
          <w:rFonts w:hint="eastAsia" w:ascii="宋体" w:hAnsi="宋体" w:cs="宋体"/>
          <w:bCs/>
          <w:lang/>
        </w:rPr>
        <w:t>培训</w:t>
      </w:r>
      <w:r>
        <w:rPr>
          <w:lang/>
        </w:rPr>
        <w:tab/>
      </w:r>
      <w:r>
        <w:rPr>
          <w:lang/>
        </w:rPr>
        <w:fldChar w:fldCharType="begin"/>
      </w:r>
      <w:r>
        <w:rPr>
          <w:lang/>
        </w:rPr>
        <w:instrText xml:space="preserve"> PAGEREF _Toc59203123 \h </w:instrText>
      </w:r>
      <w:r>
        <w:rPr>
          <w:lang/>
        </w:rPr>
        <w:fldChar w:fldCharType="separate"/>
      </w:r>
      <w:r>
        <w:rPr>
          <w:lang/>
        </w:rPr>
        <w:t>28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"_Toc59203124"</w:instrText>
      </w:r>
      <w:r>
        <w:rPr>
          <w:rStyle w:val="97"/>
          <w:lang/>
        </w:rPr>
        <w:instrText xml:space="preserve"> </w:instrText>
      </w:r>
      <w:r>
        <w:rPr>
          <w:rStyle w:val="97"/>
          <w:lang/>
        </w:rPr>
        <w:fldChar w:fldCharType="separate"/>
      </w:r>
      <w:r>
        <w:rPr>
          <w:rStyle w:val="97"/>
          <w:rFonts w:ascii="宋体" w:hAnsi="宋体" w:cs="宋体"/>
          <w:bCs/>
          <w:lang/>
        </w:rPr>
        <w:t xml:space="preserve">5.4 </w:t>
      </w:r>
      <w:r>
        <w:rPr>
          <w:rStyle w:val="97"/>
          <w:rFonts w:hint="eastAsia" w:ascii="宋体" w:hAnsi="宋体" w:cs="宋体"/>
          <w:bCs/>
          <w:lang/>
        </w:rPr>
        <w:t>竣工文件</w:t>
      </w:r>
      <w:r>
        <w:rPr>
          <w:lang/>
        </w:rPr>
        <w:tab/>
      </w:r>
      <w:r>
        <w:rPr>
          <w:lang/>
        </w:rPr>
        <w:fldChar w:fldCharType="begin"/>
      </w:r>
      <w:r>
        <w:rPr>
          <w:lang/>
        </w:rPr>
        <w:instrText xml:space="preserve"> PAGEREF _Toc59203124 \h </w:instrText>
      </w:r>
      <w:r>
        <w:rPr>
          <w:lang/>
        </w:rPr>
        <w:fldChar w:fldCharType="separate"/>
      </w:r>
      <w:r>
        <w:rPr>
          <w:lang/>
        </w:rPr>
        <w:t>28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"_Toc59203125"</w:instrText>
      </w:r>
      <w:r>
        <w:rPr>
          <w:rStyle w:val="97"/>
          <w:lang/>
        </w:rPr>
        <w:instrText xml:space="preserve"> </w:instrText>
      </w:r>
      <w:r>
        <w:rPr>
          <w:rStyle w:val="97"/>
          <w:lang/>
        </w:rPr>
        <w:fldChar w:fldCharType="separate"/>
      </w:r>
      <w:r>
        <w:rPr>
          <w:rStyle w:val="97"/>
          <w:rFonts w:ascii="宋体" w:hAnsi="宋体" w:cs="宋体"/>
          <w:bCs/>
          <w:lang/>
        </w:rPr>
        <w:t xml:space="preserve">5.5 </w:t>
      </w:r>
      <w:r>
        <w:rPr>
          <w:rStyle w:val="97"/>
          <w:rFonts w:hint="eastAsia" w:ascii="宋体" w:hAnsi="宋体" w:cs="宋体"/>
          <w:bCs/>
          <w:lang/>
        </w:rPr>
        <w:t>操作和维修手册</w:t>
      </w:r>
      <w:r>
        <w:rPr>
          <w:lang/>
        </w:rPr>
        <w:tab/>
      </w:r>
      <w:r>
        <w:rPr>
          <w:lang/>
        </w:rPr>
        <w:fldChar w:fldCharType="begin"/>
      </w:r>
      <w:r>
        <w:rPr>
          <w:lang/>
        </w:rPr>
        <w:instrText xml:space="preserve"> PAGEREF _Toc59203125 \h </w:instrText>
      </w:r>
      <w:r>
        <w:rPr>
          <w:lang/>
        </w:rPr>
        <w:fldChar w:fldCharType="separate"/>
      </w:r>
      <w:r>
        <w:rPr>
          <w:lang/>
        </w:rPr>
        <w:t>29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"_Toc59203126"</w:instrText>
      </w:r>
      <w:r>
        <w:rPr>
          <w:rStyle w:val="97"/>
          <w:lang/>
        </w:rPr>
        <w:instrText xml:space="preserve"> </w:instrText>
      </w:r>
      <w:r>
        <w:rPr>
          <w:rStyle w:val="97"/>
          <w:lang/>
        </w:rPr>
        <w:fldChar w:fldCharType="separate"/>
      </w:r>
      <w:r>
        <w:rPr>
          <w:rStyle w:val="97"/>
          <w:rFonts w:ascii="宋体" w:hAnsi="宋体" w:cs="宋体"/>
          <w:bCs/>
          <w:lang/>
        </w:rPr>
        <w:t xml:space="preserve">5.6 </w:t>
      </w:r>
      <w:r>
        <w:rPr>
          <w:rStyle w:val="97"/>
          <w:rFonts w:hint="eastAsia" w:ascii="宋体" w:hAnsi="宋体" w:cs="宋体"/>
          <w:bCs/>
          <w:lang/>
        </w:rPr>
        <w:t>承包人文件错误</w:t>
      </w:r>
      <w:r>
        <w:rPr>
          <w:lang/>
        </w:rPr>
        <w:tab/>
      </w:r>
      <w:r>
        <w:rPr>
          <w:lang/>
        </w:rPr>
        <w:fldChar w:fldCharType="begin"/>
      </w:r>
      <w:r>
        <w:rPr>
          <w:lang/>
        </w:rPr>
        <w:instrText xml:space="preserve"> PAGEREF _Toc59203126 \h </w:instrText>
      </w:r>
      <w:r>
        <w:rPr>
          <w:lang/>
        </w:rPr>
        <w:fldChar w:fldCharType="separate"/>
      </w:r>
      <w:r>
        <w:rPr>
          <w:lang/>
        </w:rPr>
        <w:t>29</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"_Toc59203127"</w:instrText>
      </w:r>
      <w:r>
        <w:rPr>
          <w:rStyle w:val="97"/>
          <w:lang/>
        </w:rPr>
        <w:instrText xml:space="preserve"> </w:instrText>
      </w:r>
      <w:r>
        <w:rPr>
          <w:rStyle w:val="97"/>
          <w:lang/>
        </w:rPr>
        <w:fldChar w:fldCharType="separate"/>
      </w:r>
      <w:r>
        <w:rPr>
          <w:rStyle w:val="97"/>
          <w:rFonts w:hint="eastAsia" w:ascii="宋体" w:hAnsi="宋体" w:cs="宋体"/>
          <w:lang/>
        </w:rPr>
        <w:t>第</w:t>
      </w:r>
      <w:r>
        <w:rPr>
          <w:rStyle w:val="97"/>
          <w:rFonts w:ascii="宋体" w:hAnsi="宋体" w:cs="宋体"/>
          <w:lang/>
        </w:rPr>
        <w:t>6</w:t>
      </w:r>
      <w:r>
        <w:rPr>
          <w:rStyle w:val="97"/>
          <w:rFonts w:hint="eastAsia" w:ascii="宋体" w:hAnsi="宋体" w:cs="宋体"/>
          <w:lang/>
        </w:rPr>
        <w:t>条</w:t>
      </w:r>
      <w:r>
        <w:rPr>
          <w:rStyle w:val="97"/>
          <w:rFonts w:ascii="宋体" w:hAnsi="宋体" w:cs="宋体"/>
          <w:lang/>
        </w:rPr>
        <w:t xml:space="preserve"> </w:t>
      </w:r>
      <w:r>
        <w:rPr>
          <w:rStyle w:val="97"/>
          <w:rFonts w:hint="eastAsia" w:ascii="宋体" w:hAnsi="宋体" w:cs="宋体"/>
          <w:lang/>
        </w:rPr>
        <w:t>材料、工程设备</w:t>
      </w:r>
      <w:r>
        <w:rPr>
          <w:lang/>
        </w:rPr>
        <w:tab/>
      </w:r>
      <w:r>
        <w:rPr>
          <w:lang/>
        </w:rPr>
        <w:fldChar w:fldCharType="begin"/>
      </w:r>
      <w:r>
        <w:rPr>
          <w:lang/>
        </w:rPr>
        <w:instrText xml:space="preserve"> PAGEREF _Toc59203127 \h </w:instrText>
      </w:r>
      <w:r>
        <w:rPr>
          <w:lang/>
        </w:rPr>
        <w:fldChar w:fldCharType="separate"/>
      </w:r>
      <w:r>
        <w:rPr>
          <w:lang/>
        </w:rPr>
        <w:t>29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"_Toc59203128"</w:instrText>
      </w:r>
      <w:r>
        <w:rPr>
          <w:rStyle w:val="97"/>
          <w:lang/>
        </w:rPr>
        <w:instrText xml:space="preserve"> </w:instrText>
      </w:r>
      <w:r>
        <w:rPr>
          <w:rStyle w:val="97"/>
          <w:lang/>
        </w:rPr>
        <w:fldChar w:fldCharType="separate"/>
      </w:r>
      <w:r>
        <w:rPr>
          <w:rStyle w:val="97"/>
          <w:rFonts w:ascii="宋体" w:hAnsi="宋体" w:cs="宋体"/>
          <w:bCs/>
          <w:lang/>
        </w:rPr>
        <w:t xml:space="preserve">6.1 </w:t>
      </w:r>
      <w:r>
        <w:rPr>
          <w:rStyle w:val="97"/>
          <w:rFonts w:hint="eastAsia" w:ascii="宋体" w:hAnsi="宋体" w:cs="宋体"/>
          <w:bCs/>
          <w:lang/>
        </w:rPr>
        <w:t>实施方法</w:t>
      </w:r>
      <w:r>
        <w:rPr>
          <w:lang/>
        </w:rPr>
        <w:tab/>
      </w:r>
      <w:r>
        <w:rPr>
          <w:lang/>
        </w:rPr>
        <w:fldChar w:fldCharType="begin"/>
      </w:r>
      <w:r>
        <w:rPr>
          <w:lang/>
        </w:rPr>
        <w:instrText xml:space="preserve"> PAGEREF _Toc59203128 \h </w:instrText>
      </w:r>
      <w:r>
        <w:rPr>
          <w:lang/>
        </w:rPr>
        <w:fldChar w:fldCharType="separate"/>
      </w:r>
      <w:r>
        <w:rPr>
          <w:lang/>
        </w:rPr>
        <w:t>29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"_Toc59203129"</w:instrText>
      </w:r>
      <w:r>
        <w:rPr>
          <w:rStyle w:val="97"/>
          <w:lang/>
        </w:rPr>
        <w:instrText xml:space="preserve"> </w:instrText>
      </w:r>
      <w:r>
        <w:rPr>
          <w:rStyle w:val="97"/>
          <w:lang/>
        </w:rPr>
        <w:fldChar w:fldCharType="separate"/>
      </w:r>
      <w:r>
        <w:rPr>
          <w:rStyle w:val="97"/>
          <w:rFonts w:ascii="宋体" w:hAnsi="宋体" w:cs="宋体"/>
          <w:bCs/>
          <w:lang/>
        </w:rPr>
        <w:t xml:space="preserve">6.2 </w:t>
      </w:r>
      <w:r>
        <w:rPr>
          <w:rStyle w:val="97"/>
          <w:rFonts w:hint="eastAsia" w:ascii="宋体" w:hAnsi="宋体" w:cs="宋体"/>
          <w:bCs/>
          <w:lang/>
        </w:rPr>
        <w:t>材料和工程设备</w:t>
      </w:r>
      <w:r>
        <w:rPr>
          <w:lang/>
        </w:rPr>
        <w:tab/>
      </w:r>
      <w:r>
        <w:rPr>
          <w:lang/>
        </w:rPr>
        <w:fldChar w:fldCharType="begin"/>
      </w:r>
      <w:r>
        <w:rPr>
          <w:lang/>
        </w:rPr>
        <w:instrText xml:space="preserve"> PAGEREF _Toc59203129 \h </w:instrText>
      </w:r>
      <w:r>
        <w:rPr>
          <w:lang/>
        </w:rPr>
        <w:fldChar w:fldCharType="separate"/>
      </w:r>
      <w:r>
        <w:rPr>
          <w:lang/>
        </w:rPr>
        <w:t>29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"_Toc59203130"</w:instrText>
      </w:r>
      <w:r>
        <w:rPr>
          <w:rStyle w:val="97"/>
          <w:lang/>
        </w:rPr>
        <w:instrText xml:space="preserve"> </w:instrText>
      </w:r>
      <w:r>
        <w:rPr>
          <w:rStyle w:val="97"/>
          <w:lang/>
        </w:rPr>
        <w:fldChar w:fldCharType="separate"/>
      </w:r>
      <w:r>
        <w:rPr>
          <w:rStyle w:val="97"/>
          <w:rFonts w:ascii="宋体" w:hAnsi="宋体" w:cs="宋体"/>
          <w:bCs/>
          <w:lang/>
        </w:rPr>
        <w:t xml:space="preserve">6.3 </w:t>
      </w:r>
      <w:r>
        <w:rPr>
          <w:rStyle w:val="97"/>
          <w:rFonts w:hint="eastAsia" w:ascii="宋体" w:hAnsi="宋体" w:cs="宋体"/>
          <w:bCs/>
          <w:lang/>
        </w:rPr>
        <w:t>样品</w:t>
      </w:r>
      <w:r>
        <w:rPr>
          <w:lang/>
        </w:rPr>
        <w:tab/>
      </w:r>
      <w:r>
        <w:rPr>
          <w:lang/>
        </w:rPr>
        <w:fldChar w:fldCharType="begin"/>
      </w:r>
      <w:r>
        <w:rPr>
          <w:lang/>
        </w:rPr>
        <w:instrText xml:space="preserve"> PAGEREF _Toc59203130 \h </w:instrText>
      </w:r>
      <w:r>
        <w:rPr>
          <w:lang/>
        </w:rPr>
        <w:fldChar w:fldCharType="separate"/>
      </w:r>
      <w:r>
        <w:rPr>
          <w:lang/>
        </w:rPr>
        <w:t>31</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"_Toc59203131"</w:instrText>
      </w:r>
      <w:r>
        <w:rPr>
          <w:rStyle w:val="97"/>
          <w:lang/>
        </w:rPr>
        <w:instrText xml:space="preserve"> </w:instrText>
      </w:r>
      <w:r>
        <w:rPr>
          <w:rStyle w:val="97"/>
          <w:lang/>
        </w:rPr>
        <w:fldChar w:fldCharType="separate"/>
      </w:r>
      <w:r>
        <w:rPr>
          <w:rStyle w:val="97"/>
          <w:rFonts w:ascii="宋体" w:hAnsi="宋体" w:cs="宋体"/>
          <w:bCs/>
          <w:lang/>
        </w:rPr>
        <w:t xml:space="preserve">6.4 </w:t>
      </w:r>
      <w:r>
        <w:rPr>
          <w:rStyle w:val="97"/>
          <w:rFonts w:hint="eastAsia" w:ascii="宋体" w:hAnsi="宋体" w:cs="宋体"/>
          <w:bCs/>
          <w:lang/>
        </w:rPr>
        <w:t>质量检查</w:t>
      </w:r>
      <w:r>
        <w:rPr>
          <w:lang/>
        </w:rPr>
        <w:tab/>
      </w:r>
      <w:r>
        <w:rPr>
          <w:lang/>
        </w:rPr>
        <w:fldChar w:fldCharType="begin"/>
      </w:r>
      <w:r>
        <w:rPr>
          <w:lang/>
        </w:rPr>
        <w:instrText xml:space="preserve"> PAGEREF _Toc59203131 \h </w:instrText>
      </w:r>
      <w:r>
        <w:rPr>
          <w:lang/>
        </w:rPr>
        <w:fldChar w:fldCharType="separate"/>
      </w:r>
      <w:r>
        <w:rPr>
          <w:lang/>
        </w:rPr>
        <w:t>32</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"_Toc59203132"</w:instrText>
      </w:r>
      <w:r>
        <w:rPr>
          <w:rStyle w:val="97"/>
          <w:lang/>
        </w:rPr>
        <w:instrText xml:space="preserve"> </w:instrText>
      </w:r>
      <w:r>
        <w:rPr>
          <w:rStyle w:val="97"/>
          <w:lang/>
        </w:rPr>
        <w:fldChar w:fldCharType="separate"/>
      </w:r>
      <w:r>
        <w:rPr>
          <w:rStyle w:val="97"/>
          <w:rFonts w:ascii="宋体" w:hAnsi="宋体" w:cs="宋体"/>
          <w:bCs/>
          <w:lang/>
        </w:rPr>
        <w:t xml:space="preserve">6.5 </w:t>
      </w:r>
      <w:r>
        <w:rPr>
          <w:rStyle w:val="97"/>
          <w:rFonts w:hint="eastAsia" w:ascii="宋体" w:hAnsi="宋体" w:cs="宋体"/>
          <w:bCs/>
          <w:lang/>
        </w:rPr>
        <w:t>由承包人试验和检验</w:t>
      </w:r>
      <w:r>
        <w:rPr>
          <w:lang/>
        </w:rPr>
        <w:tab/>
      </w:r>
      <w:r>
        <w:rPr>
          <w:lang/>
        </w:rPr>
        <w:fldChar w:fldCharType="begin"/>
      </w:r>
      <w:r>
        <w:rPr>
          <w:lang/>
        </w:rPr>
        <w:instrText xml:space="preserve"> PAGEREF _Toc59203132 \h </w:instrText>
      </w:r>
      <w:r>
        <w:rPr>
          <w:lang/>
        </w:rPr>
        <w:fldChar w:fldCharType="separate"/>
      </w:r>
      <w:r>
        <w:rPr>
          <w:lang/>
        </w:rPr>
        <w:t>33</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"_Toc59203133"</w:instrText>
      </w:r>
      <w:r>
        <w:rPr>
          <w:rStyle w:val="97"/>
          <w:lang/>
        </w:rPr>
        <w:instrText xml:space="preserve"> </w:instrText>
      </w:r>
      <w:r>
        <w:rPr>
          <w:rStyle w:val="97"/>
          <w:lang/>
        </w:rPr>
        <w:fldChar w:fldCharType="separate"/>
      </w:r>
      <w:r>
        <w:rPr>
          <w:rStyle w:val="97"/>
          <w:rFonts w:ascii="宋体" w:hAnsi="宋体" w:cs="宋体"/>
          <w:bCs/>
          <w:lang/>
        </w:rPr>
        <w:t xml:space="preserve">6.6 </w:t>
      </w:r>
      <w:r>
        <w:rPr>
          <w:rStyle w:val="97"/>
          <w:rFonts w:hint="eastAsia" w:ascii="宋体" w:hAnsi="宋体" w:cs="宋体"/>
          <w:bCs/>
          <w:lang/>
        </w:rPr>
        <w:t>缺陷和修补</w:t>
      </w:r>
      <w:r>
        <w:rPr>
          <w:lang/>
        </w:rPr>
        <w:tab/>
      </w:r>
      <w:r>
        <w:rPr>
          <w:lang/>
        </w:rPr>
        <w:fldChar w:fldCharType="begin"/>
      </w:r>
      <w:r>
        <w:rPr>
          <w:lang/>
        </w:rPr>
        <w:instrText xml:space="preserve"> PAGEREF _Toc59203133 \h </w:instrText>
      </w:r>
      <w:r>
        <w:rPr>
          <w:lang/>
        </w:rPr>
        <w:fldChar w:fldCharType="separate"/>
      </w:r>
      <w:r>
        <w:rPr>
          <w:lang/>
        </w:rPr>
        <w:t>34</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"_Toc59203134"</w:instrText>
      </w:r>
      <w:r>
        <w:rPr>
          <w:rStyle w:val="97"/>
          <w:lang/>
        </w:rPr>
        <w:instrText xml:space="preserve"> </w:instrText>
      </w:r>
      <w:r>
        <w:rPr>
          <w:rStyle w:val="97"/>
          <w:lang/>
        </w:rPr>
        <w:fldChar w:fldCharType="separate"/>
      </w:r>
      <w:r>
        <w:rPr>
          <w:rStyle w:val="97"/>
          <w:rFonts w:hint="eastAsia" w:ascii="宋体" w:hAnsi="宋体" w:cs="宋体"/>
          <w:lang/>
        </w:rPr>
        <w:t>第</w:t>
      </w:r>
      <w:r>
        <w:rPr>
          <w:rStyle w:val="97"/>
          <w:rFonts w:ascii="宋体" w:hAnsi="宋体" w:cs="宋体"/>
          <w:lang/>
        </w:rPr>
        <w:t>7</w:t>
      </w:r>
      <w:r>
        <w:rPr>
          <w:rStyle w:val="97"/>
          <w:rFonts w:hint="eastAsia" w:ascii="宋体" w:hAnsi="宋体" w:cs="宋体"/>
          <w:lang/>
        </w:rPr>
        <w:t>条</w:t>
      </w:r>
      <w:r>
        <w:rPr>
          <w:rStyle w:val="97"/>
          <w:rFonts w:ascii="宋体" w:hAnsi="宋体" w:cs="宋体"/>
          <w:lang/>
        </w:rPr>
        <w:t xml:space="preserve"> </w:t>
      </w:r>
      <w:r>
        <w:rPr>
          <w:rStyle w:val="97"/>
          <w:rFonts w:hint="eastAsia" w:ascii="宋体" w:hAnsi="宋体" w:cs="宋体"/>
          <w:lang/>
        </w:rPr>
        <w:t>施工</w:t>
      </w:r>
      <w:r>
        <w:rPr>
          <w:lang/>
        </w:rPr>
        <w:tab/>
      </w:r>
      <w:r>
        <w:rPr>
          <w:lang/>
        </w:rPr>
        <w:fldChar w:fldCharType="begin"/>
      </w:r>
      <w:r>
        <w:rPr>
          <w:lang/>
        </w:rPr>
        <w:instrText xml:space="preserve"> PAGEREF _Toc59203134 \h </w:instrText>
      </w:r>
      <w:r>
        <w:rPr>
          <w:lang/>
        </w:rPr>
        <w:fldChar w:fldCharType="separate"/>
      </w:r>
      <w:r>
        <w:rPr>
          <w:lang/>
        </w:rPr>
        <w:t>34</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"_Toc59203135"</w:instrText>
      </w:r>
      <w:r>
        <w:rPr>
          <w:rStyle w:val="97"/>
          <w:lang/>
        </w:rPr>
        <w:instrText xml:space="preserve"> </w:instrText>
      </w:r>
      <w:r>
        <w:rPr>
          <w:rStyle w:val="97"/>
          <w:lang/>
        </w:rPr>
        <w:fldChar w:fldCharType="separate"/>
      </w:r>
      <w:r>
        <w:rPr>
          <w:rStyle w:val="97"/>
          <w:rFonts w:ascii="宋体" w:hAnsi="宋体" w:cs="宋体"/>
          <w:bCs/>
          <w:lang/>
        </w:rPr>
        <w:t xml:space="preserve">7.1 </w:t>
      </w:r>
      <w:r>
        <w:rPr>
          <w:rStyle w:val="97"/>
          <w:rFonts w:hint="eastAsia" w:ascii="宋体" w:hAnsi="宋体" w:cs="宋体"/>
          <w:bCs/>
          <w:lang/>
        </w:rPr>
        <w:t>交通运输</w:t>
      </w:r>
      <w:r>
        <w:rPr>
          <w:lang/>
        </w:rPr>
        <w:tab/>
      </w:r>
      <w:r>
        <w:rPr>
          <w:lang/>
        </w:rPr>
        <w:fldChar w:fldCharType="begin"/>
      </w:r>
      <w:r>
        <w:rPr>
          <w:lang/>
        </w:rPr>
        <w:instrText xml:space="preserve"> PAGEREF _Toc59203135 \h </w:instrText>
      </w:r>
      <w:r>
        <w:rPr>
          <w:lang/>
        </w:rPr>
        <w:fldChar w:fldCharType="separate"/>
      </w:r>
      <w:r>
        <w:rPr>
          <w:lang/>
        </w:rPr>
        <w:t>34</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"_Toc59203136"</w:instrText>
      </w:r>
      <w:r>
        <w:rPr>
          <w:rStyle w:val="97"/>
          <w:lang/>
        </w:rPr>
        <w:instrText xml:space="preserve"> </w:instrText>
      </w:r>
      <w:r>
        <w:rPr>
          <w:rStyle w:val="97"/>
          <w:lang/>
        </w:rPr>
        <w:fldChar w:fldCharType="separate"/>
      </w:r>
      <w:r>
        <w:rPr>
          <w:rStyle w:val="97"/>
          <w:rFonts w:ascii="宋体" w:hAnsi="宋体" w:cs="宋体"/>
          <w:bCs/>
          <w:lang/>
        </w:rPr>
        <w:t xml:space="preserve">7.2 </w:t>
      </w:r>
      <w:r>
        <w:rPr>
          <w:rStyle w:val="97"/>
          <w:rFonts w:hint="eastAsia" w:ascii="宋体" w:hAnsi="宋体" w:cs="宋体"/>
          <w:bCs/>
          <w:lang/>
        </w:rPr>
        <w:t>施工设备和临时设施</w:t>
      </w:r>
      <w:r>
        <w:rPr>
          <w:lang/>
        </w:rPr>
        <w:tab/>
      </w:r>
      <w:r>
        <w:rPr>
          <w:lang/>
        </w:rPr>
        <w:fldChar w:fldCharType="begin"/>
      </w:r>
      <w:r>
        <w:rPr>
          <w:lang/>
        </w:rPr>
        <w:instrText xml:space="preserve"> PAGEREF _Toc59203136 \h </w:instrText>
      </w:r>
      <w:r>
        <w:rPr>
          <w:lang/>
        </w:rPr>
        <w:fldChar w:fldCharType="separate"/>
      </w:r>
      <w:r>
        <w:rPr>
          <w:lang/>
        </w:rPr>
        <w:t>35</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"_Toc59203137"</w:instrText>
      </w:r>
      <w:r>
        <w:rPr>
          <w:rStyle w:val="97"/>
          <w:lang/>
        </w:rPr>
        <w:instrText xml:space="preserve"> </w:instrText>
      </w:r>
      <w:r>
        <w:rPr>
          <w:rStyle w:val="97"/>
          <w:lang/>
        </w:rPr>
        <w:fldChar w:fldCharType="separate"/>
      </w:r>
      <w:r>
        <w:rPr>
          <w:rStyle w:val="97"/>
          <w:rFonts w:ascii="宋体" w:hAnsi="宋体" w:cs="宋体"/>
          <w:bCs/>
          <w:lang/>
        </w:rPr>
        <w:t xml:space="preserve">7.3 </w:t>
      </w:r>
      <w:r>
        <w:rPr>
          <w:rStyle w:val="97"/>
          <w:rFonts w:hint="eastAsia" w:ascii="宋体" w:hAnsi="宋体" w:cs="宋体"/>
          <w:bCs/>
          <w:lang/>
        </w:rPr>
        <w:t>现场合作</w:t>
      </w:r>
      <w:r>
        <w:rPr>
          <w:lang/>
        </w:rPr>
        <w:tab/>
      </w:r>
      <w:r>
        <w:rPr>
          <w:lang/>
        </w:rPr>
        <w:fldChar w:fldCharType="begin"/>
      </w:r>
      <w:r>
        <w:rPr>
          <w:lang/>
        </w:rPr>
        <w:instrText xml:space="preserve"> PAGEREF _Toc59203137 \h </w:instrText>
      </w:r>
      <w:r>
        <w:rPr>
          <w:lang/>
        </w:rPr>
        <w:fldChar w:fldCharType="separate"/>
      </w:r>
      <w:r>
        <w:rPr>
          <w:lang/>
        </w:rPr>
        <w:t>36</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"_Toc59203138"</w:instrText>
      </w:r>
      <w:r>
        <w:rPr>
          <w:rStyle w:val="97"/>
          <w:lang/>
        </w:rPr>
        <w:instrText xml:space="preserve"> </w:instrText>
      </w:r>
      <w:r>
        <w:rPr>
          <w:rStyle w:val="97"/>
          <w:lang/>
        </w:rPr>
        <w:fldChar w:fldCharType="separate"/>
      </w:r>
      <w:r>
        <w:rPr>
          <w:rStyle w:val="97"/>
          <w:rFonts w:ascii="宋体" w:hAnsi="宋体" w:cs="宋体"/>
          <w:bCs/>
          <w:lang/>
        </w:rPr>
        <w:t xml:space="preserve">7.4 </w:t>
      </w:r>
      <w:r>
        <w:rPr>
          <w:rStyle w:val="97"/>
          <w:rFonts w:hint="eastAsia" w:ascii="宋体" w:hAnsi="宋体" w:cs="宋体"/>
          <w:bCs/>
          <w:lang/>
        </w:rPr>
        <w:t>测量放线</w:t>
      </w:r>
      <w:r>
        <w:rPr>
          <w:lang/>
        </w:rPr>
        <w:tab/>
      </w:r>
      <w:r>
        <w:rPr>
          <w:lang/>
        </w:rPr>
        <w:fldChar w:fldCharType="begin"/>
      </w:r>
      <w:r>
        <w:rPr>
          <w:lang/>
        </w:rPr>
        <w:instrText xml:space="preserve"> PAGEREF _Toc59203138 \h </w:instrText>
      </w:r>
      <w:r>
        <w:rPr>
          <w:lang/>
        </w:rPr>
        <w:fldChar w:fldCharType="separate"/>
      </w:r>
      <w:r>
        <w:rPr>
          <w:lang/>
        </w:rPr>
        <w:t>36</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"_Toc59203139"</w:instrText>
      </w:r>
      <w:r>
        <w:rPr>
          <w:rStyle w:val="97"/>
          <w:lang/>
        </w:rPr>
        <w:instrText xml:space="preserve"> </w:instrText>
      </w:r>
      <w:r>
        <w:rPr>
          <w:rStyle w:val="97"/>
          <w:lang/>
        </w:rPr>
        <w:fldChar w:fldCharType="separate"/>
      </w:r>
      <w:r>
        <w:rPr>
          <w:rStyle w:val="97"/>
          <w:rFonts w:ascii="宋体" w:hAnsi="宋体" w:cs="宋体"/>
          <w:bCs/>
          <w:lang/>
        </w:rPr>
        <w:t xml:space="preserve">7.5 </w:t>
      </w:r>
      <w:r>
        <w:rPr>
          <w:rStyle w:val="97"/>
          <w:rFonts w:hint="eastAsia" w:ascii="宋体" w:hAnsi="宋体" w:cs="宋体"/>
          <w:bCs/>
          <w:lang/>
        </w:rPr>
        <w:t>现场劳动用工</w:t>
      </w:r>
      <w:r>
        <w:rPr>
          <w:lang/>
        </w:rPr>
        <w:tab/>
      </w:r>
      <w:r>
        <w:rPr>
          <w:lang/>
        </w:rPr>
        <w:fldChar w:fldCharType="begin"/>
      </w:r>
      <w:r>
        <w:rPr>
          <w:lang/>
        </w:rPr>
        <w:instrText xml:space="preserve"> PAGEREF _Toc59203139 \h </w:instrText>
      </w:r>
      <w:r>
        <w:rPr>
          <w:lang/>
        </w:rPr>
        <w:fldChar w:fldCharType="separate"/>
      </w:r>
      <w:r>
        <w:rPr>
          <w:lang/>
        </w:rPr>
        <w:t>36</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"_Toc59203140"</w:instrText>
      </w:r>
      <w:r>
        <w:rPr>
          <w:rStyle w:val="97"/>
          <w:lang/>
        </w:rPr>
        <w:instrText xml:space="preserve"> </w:instrText>
      </w:r>
      <w:r>
        <w:rPr>
          <w:rStyle w:val="97"/>
          <w:lang/>
        </w:rPr>
        <w:fldChar w:fldCharType="separate"/>
      </w:r>
      <w:r>
        <w:rPr>
          <w:rStyle w:val="97"/>
          <w:rFonts w:ascii="宋体" w:hAnsi="宋体" w:cs="宋体"/>
          <w:bCs/>
          <w:lang/>
        </w:rPr>
        <w:t xml:space="preserve">7.6 </w:t>
      </w:r>
      <w:r>
        <w:rPr>
          <w:rStyle w:val="97"/>
          <w:rFonts w:hint="eastAsia" w:ascii="宋体" w:hAnsi="宋体" w:cs="宋体"/>
          <w:bCs/>
          <w:lang/>
        </w:rPr>
        <w:t>安全文明施工</w:t>
      </w:r>
      <w:r>
        <w:rPr>
          <w:lang/>
        </w:rPr>
        <w:tab/>
      </w:r>
      <w:r>
        <w:rPr>
          <w:lang/>
        </w:rPr>
        <w:fldChar w:fldCharType="begin"/>
      </w:r>
      <w:r>
        <w:rPr>
          <w:lang/>
        </w:rPr>
        <w:instrText xml:space="preserve"> PAGEREF _Toc59203140 \h </w:instrText>
      </w:r>
      <w:r>
        <w:rPr>
          <w:lang/>
        </w:rPr>
        <w:fldChar w:fldCharType="separate"/>
      </w:r>
      <w:r>
        <w:rPr>
          <w:lang/>
        </w:rPr>
        <w:t>37</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"_Toc59203141"</w:instrText>
      </w:r>
      <w:r>
        <w:rPr>
          <w:rStyle w:val="97"/>
          <w:lang/>
        </w:rPr>
        <w:instrText xml:space="preserve"> </w:instrText>
      </w:r>
      <w:r>
        <w:rPr>
          <w:rStyle w:val="97"/>
          <w:lang/>
        </w:rPr>
        <w:fldChar w:fldCharType="separate"/>
      </w:r>
      <w:r>
        <w:rPr>
          <w:rStyle w:val="97"/>
          <w:rFonts w:ascii="宋体" w:hAnsi="宋体" w:cs="宋体"/>
          <w:bCs/>
          <w:lang/>
        </w:rPr>
        <w:t xml:space="preserve">7.7 </w:t>
      </w:r>
      <w:r>
        <w:rPr>
          <w:rStyle w:val="97"/>
          <w:rFonts w:hint="eastAsia" w:ascii="宋体" w:hAnsi="宋体" w:cs="宋体"/>
          <w:bCs/>
          <w:lang/>
        </w:rPr>
        <w:t>职业健康</w:t>
      </w:r>
      <w:r>
        <w:rPr>
          <w:lang/>
        </w:rPr>
        <w:tab/>
      </w:r>
      <w:r>
        <w:rPr>
          <w:lang/>
        </w:rPr>
        <w:fldChar w:fldCharType="begin"/>
      </w:r>
      <w:r>
        <w:rPr>
          <w:lang/>
        </w:rPr>
        <w:instrText xml:space="preserve"> PAGEREF _Toc59203141 \h </w:instrText>
      </w:r>
      <w:r>
        <w:rPr>
          <w:lang/>
        </w:rPr>
        <w:fldChar w:fldCharType="separate"/>
      </w:r>
      <w:r>
        <w:rPr>
          <w:lang/>
        </w:rPr>
        <w:t>38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"_Toc59203142"</w:instrText>
      </w:r>
      <w:r>
        <w:rPr>
          <w:rStyle w:val="97"/>
          <w:lang/>
        </w:rPr>
        <w:instrText xml:space="preserve"> </w:instrText>
      </w:r>
      <w:r>
        <w:rPr>
          <w:rStyle w:val="97"/>
          <w:lang/>
        </w:rPr>
        <w:fldChar w:fldCharType="separate"/>
      </w:r>
      <w:r>
        <w:rPr>
          <w:rStyle w:val="97"/>
          <w:rFonts w:ascii="宋体" w:hAnsi="宋体" w:cs="宋体"/>
          <w:bCs/>
          <w:lang/>
        </w:rPr>
        <w:t xml:space="preserve">7.8 </w:t>
      </w:r>
      <w:r>
        <w:rPr>
          <w:rStyle w:val="97"/>
          <w:rFonts w:hint="eastAsia" w:ascii="宋体" w:hAnsi="宋体" w:cs="宋体"/>
          <w:bCs/>
          <w:lang/>
        </w:rPr>
        <w:t>环境保护</w:t>
      </w:r>
      <w:r>
        <w:rPr>
          <w:lang/>
        </w:rPr>
        <w:tab/>
      </w:r>
      <w:r>
        <w:rPr>
          <w:lang/>
        </w:rPr>
        <w:fldChar w:fldCharType="begin"/>
      </w:r>
      <w:r>
        <w:rPr>
          <w:lang/>
        </w:rPr>
        <w:instrText xml:space="preserve"> PAGEREF _Toc59203142 \h </w:instrText>
      </w:r>
      <w:r>
        <w:rPr>
          <w:lang/>
        </w:rPr>
        <w:fldChar w:fldCharType="separate"/>
      </w:r>
      <w:r>
        <w:rPr>
          <w:lang/>
        </w:rPr>
        <w:t>39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"_Toc59203143"</w:instrText>
      </w:r>
      <w:r>
        <w:rPr>
          <w:rStyle w:val="97"/>
          <w:lang/>
        </w:rPr>
        <w:instrText xml:space="preserve"> </w:instrText>
      </w:r>
      <w:r>
        <w:rPr>
          <w:rStyle w:val="97"/>
          <w:lang/>
        </w:rPr>
        <w:fldChar w:fldCharType="separate"/>
      </w:r>
      <w:r>
        <w:rPr>
          <w:rStyle w:val="97"/>
          <w:rFonts w:ascii="宋体" w:hAnsi="宋体" w:cs="宋体"/>
          <w:bCs/>
          <w:lang/>
        </w:rPr>
        <w:t xml:space="preserve">7.9 </w:t>
      </w:r>
      <w:r>
        <w:rPr>
          <w:rStyle w:val="97"/>
          <w:rFonts w:hint="eastAsia" w:ascii="宋体" w:hAnsi="宋体" w:cs="宋体"/>
          <w:bCs/>
          <w:lang/>
        </w:rPr>
        <w:t>临时性公用设施</w:t>
      </w:r>
      <w:r>
        <w:rPr>
          <w:lang/>
        </w:rPr>
        <w:tab/>
      </w:r>
      <w:r>
        <w:rPr>
          <w:lang/>
        </w:rPr>
        <w:fldChar w:fldCharType="begin"/>
      </w:r>
      <w:r>
        <w:rPr>
          <w:lang/>
        </w:rPr>
        <w:instrText xml:space="preserve"> PAGEREF _Toc59203143 \h </w:instrText>
      </w:r>
      <w:r>
        <w:rPr>
          <w:lang/>
        </w:rPr>
        <w:fldChar w:fldCharType="separate"/>
      </w:r>
      <w:r>
        <w:rPr>
          <w:lang/>
        </w:rPr>
        <w:t>39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"_Toc59203144"</w:instrText>
      </w:r>
      <w:r>
        <w:rPr>
          <w:rStyle w:val="97"/>
          <w:lang/>
        </w:rPr>
        <w:instrText xml:space="preserve"> </w:instrText>
      </w:r>
      <w:r>
        <w:rPr>
          <w:rStyle w:val="97"/>
          <w:lang/>
        </w:rPr>
        <w:fldChar w:fldCharType="separate"/>
      </w:r>
      <w:r>
        <w:rPr>
          <w:rStyle w:val="97"/>
          <w:rFonts w:ascii="宋体" w:hAnsi="宋体" w:cs="宋体"/>
          <w:bCs/>
          <w:lang/>
        </w:rPr>
        <w:t xml:space="preserve">7.10 </w:t>
      </w:r>
      <w:r>
        <w:rPr>
          <w:rStyle w:val="97"/>
          <w:rFonts w:hint="eastAsia" w:ascii="宋体" w:hAnsi="宋体" w:cs="宋体"/>
          <w:bCs/>
          <w:lang/>
        </w:rPr>
        <w:t>现场安保</w:t>
      </w:r>
      <w:r>
        <w:rPr>
          <w:lang/>
        </w:rPr>
        <w:tab/>
      </w:r>
      <w:r>
        <w:rPr>
          <w:lang/>
        </w:rPr>
        <w:fldChar w:fldCharType="begin"/>
      </w:r>
      <w:r>
        <w:rPr>
          <w:lang/>
        </w:rPr>
        <w:instrText xml:space="preserve"> PAGEREF _Toc59203144 \h </w:instrText>
      </w:r>
      <w:r>
        <w:rPr>
          <w:lang/>
        </w:rPr>
        <w:fldChar w:fldCharType="separate"/>
      </w:r>
      <w:r>
        <w:rPr>
          <w:lang/>
        </w:rPr>
        <w:t>40</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"_Toc59203145"</w:instrText>
      </w:r>
      <w:r>
        <w:rPr>
          <w:rStyle w:val="97"/>
          <w:lang/>
        </w:rPr>
        <w:instrText xml:space="preserve"> </w:instrText>
      </w:r>
      <w:r>
        <w:rPr>
          <w:rStyle w:val="97"/>
          <w:lang/>
        </w:rPr>
        <w:fldChar w:fldCharType="separate"/>
      </w:r>
      <w:r>
        <w:rPr>
          <w:rStyle w:val="97"/>
          <w:rFonts w:ascii="宋体" w:hAnsi="宋体" w:cs="宋体"/>
          <w:bCs/>
          <w:lang/>
        </w:rPr>
        <w:t xml:space="preserve">7.11 </w:t>
      </w:r>
      <w:r>
        <w:rPr>
          <w:rStyle w:val="97"/>
          <w:rFonts w:hint="eastAsia" w:ascii="宋体" w:hAnsi="宋体" w:cs="宋体"/>
          <w:bCs/>
          <w:lang/>
        </w:rPr>
        <w:t>工程照管</w:t>
      </w:r>
      <w:r>
        <w:rPr>
          <w:lang/>
        </w:rPr>
        <w:tab/>
      </w:r>
      <w:r>
        <w:rPr>
          <w:lang/>
        </w:rPr>
        <w:fldChar w:fldCharType="begin"/>
      </w:r>
      <w:r>
        <w:rPr>
          <w:lang/>
        </w:rPr>
        <w:instrText xml:space="preserve"> PAGEREF _Toc59203145 \h </w:instrText>
      </w:r>
      <w:r>
        <w:rPr>
          <w:lang/>
        </w:rPr>
        <w:fldChar w:fldCharType="separate"/>
      </w:r>
      <w:r>
        <w:rPr>
          <w:lang/>
        </w:rPr>
        <w:t>40</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"_Toc59203146"</w:instrText>
      </w:r>
      <w:r>
        <w:rPr>
          <w:rStyle w:val="97"/>
          <w:lang/>
        </w:rPr>
        <w:instrText xml:space="preserve"> </w:instrText>
      </w:r>
      <w:r>
        <w:rPr>
          <w:rStyle w:val="97"/>
          <w:lang/>
        </w:rPr>
        <w:fldChar w:fldCharType="separate"/>
      </w:r>
      <w:r>
        <w:rPr>
          <w:rStyle w:val="97"/>
          <w:rFonts w:hint="eastAsia" w:ascii="宋体" w:hAnsi="宋体" w:cs="宋体"/>
          <w:lang/>
        </w:rPr>
        <w:t>第</w:t>
      </w:r>
      <w:r>
        <w:rPr>
          <w:rStyle w:val="97"/>
          <w:rFonts w:ascii="宋体" w:hAnsi="宋体" w:cs="宋体"/>
          <w:lang/>
        </w:rPr>
        <w:t>8</w:t>
      </w:r>
      <w:r>
        <w:rPr>
          <w:rStyle w:val="97"/>
          <w:rFonts w:hint="eastAsia" w:ascii="宋体" w:hAnsi="宋体" w:cs="宋体"/>
          <w:lang/>
        </w:rPr>
        <w:t>条</w:t>
      </w:r>
      <w:r>
        <w:rPr>
          <w:rStyle w:val="97"/>
          <w:rFonts w:ascii="宋体" w:hAnsi="宋体" w:cs="宋体"/>
          <w:lang/>
        </w:rPr>
        <w:t xml:space="preserve"> </w:t>
      </w:r>
      <w:r>
        <w:rPr>
          <w:rStyle w:val="97"/>
          <w:rFonts w:hint="eastAsia" w:ascii="宋体" w:hAnsi="宋体" w:cs="宋体"/>
          <w:lang/>
        </w:rPr>
        <w:t>工期和进度</w:t>
      </w:r>
      <w:r>
        <w:rPr>
          <w:lang/>
        </w:rPr>
        <w:tab/>
      </w:r>
      <w:r>
        <w:rPr>
          <w:lang/>
        </w:rPr>
        <w:fldChar w:fldCharType="begin"/>
      </w:r>
      <w:r>
        <w:rPr>
          <w:lang/>
        </w:rPr>
        <w:instrText xml:space="preserve"> PAGEREF _Toc59203146 \h </w:instrText>
      </w:r>
      <w:r>
        <w:rPr>
          <w:lang/>
        </w:rPr>
        <w:fldChar w:fldCharType="separate"/>
      </w:r>
      <w:r>
        <w:rPr>
          <w:lang/>
        </w:rPr>
        <w:t>40</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"_Toc59203147"</w:instrText>
      </w:r>
      <w:r>
        <w:rPr>
          <w:rStyle w:val="97"/>
          <w:lang/>
        </w:rPr>
        <w:instrText xml:space="preserve"> </w:instrText>
      </w:r>
      <w:r>
        <w:rPr>
          <w:rStyle w:val="97"/>
          <w:lang/>
        </w:rPr>
        <w:fldChar w:fldCharType="separate"/>
      </w:r>
      <w:r>
        <w:rPr>
          <w:rStyle w:val="97"/>
          <w:rFonts w:ascii="宋体" w:hAnsi="宋体" w:cs="宋体"/>
          <w:bCs/>
          <w:lang/>
        </w:rPr>
        <w:t xml:space="preserve">8.1 </w:t>
      </w:r>
      <w:r>
        <w:rPr>
          <w:rStyle w:val="97"/>
          <w:rFonts w:hint="eastAsia" w:ascii="宋体" w:hAnsi="宋体" w:cs="宋体"/>
          <w:bCs/>
          <w:lang/>
        </w:rPr>
        <w:t>开始工作</w:t>
      </w:r>
      <w:r>
        <w:rPr>
          <w:lang/>
        </w:rPr>
        <w:tab/>
      </w:r>
      <w:r>
        <w:rPr>
          <w:lang/>
        </w:rPr>
        <w:fldChar w:fldCharType="begin"/>
      </w:r>
      <w:r>
        <w:rPr>
          <w:lang/>
        </w:rPr>
        <w:instrText xml:space="preserve"> PAGEREF _Toc59203147 \h </w:instrText>
      </w:r>
      <w:r>
        <w:rPr>
          <w:lang/>
        </w:rPr>
        <w:fldChar w:fldCharType="separate"/>
      </w:r>
      <w:r>
        <w:rPr>
          <w:lang/>
        </w:rPr>
        <w:t>40</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"_Toc59203148"</w:instrText>
      </w:r>
      <w:r>
        <w:rPr>
          <w:rStyle w:val="97"/>
          <w:lang/>
        </w:rPr>
        <w:instrText xml:space="preserve"> </w:instrText>
      </w:r>
      <w:r>
        <w:rPr>
          <w:rStyle w:val="97"/>
          <w:lang/>
        </w:rPr>
        <w:fldChar w:fldCharType="separate"/>
      </w:r>
      <w:r>
        <w:rPr>
          <w:rStyle w:val="97"/>
          <w:rFonts w:ascii="宋体" w:hAnsi="宋体" w:cs="宋体"/>
          <w:bCs/>
          <w:lang/>
        </w:rPr>
        <w:t xml:space="preserve">8.2 </w:t>
      </w:r>
      <w:r>
        <w:rPr>
          <w:rStyle w:val="97"/>
          <w:rFonts w:hint="eastAsia" w:ascii="宋体" w:hAnsi="宋体" w:cs="宋体"/>
          <w:bCs/>
          <w:lang/>
        </w:rPr>
        <w:t>竣工日期</w:t>
      </w:r>
      <w:r>
        <w:rPr>
          <w:lang/>
        </w:rPr>
        <w:tab/>
      </w:r>
      <w:r>
        <w:rPr>
          <w:lang/>
        </w:rPr>
        <w:fldChar w:fldCharType="begin"/>
      </w:r>
      <w:r>
        <w:rPr>
          <w:lang/>
        </w:rPr>
        <w:instrText xml:space="preserve"> PAGEREF _Toc59203148 \h </w:instrText>
      </w:r>
      <w:r>
        <w:rPr>
          <w:lang/>
        </w:rPr>
        <w:fldChar w:fldCharType="separate"/>
      </w:r>
      <w:r>
        <w:rPr>
          <w:lang/>
        </w:rPr>
        <w:t>41</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"_Toc59203149"</w:instrText>
      </w:r>
      <w:r>
        <w:rPr>
          <w:rStyle w:val="97"/>
          <w:lang/>
        </w:rPr>
        <w:instrText xml:space="preserve"> </w:instrText>
      </w:r>
      <w:r>
        <w:rPr>
          <w:rStyle w:val="97"/>
          <w:lang/>
        </w:rPr>
        <w:fldChar w:fldCharType="separate"/>
      </w:r>
      <w:r>
        <w:rPr>
          <w:rStyle w:val="97"/>
          <w:rFonts w:ascii="宋体" w:hAnsi="宋体" w:cs="宋体"/>
          <w:bCs/>
          <w:lang/>
        </w:rPr>
        <w:t xml:space="preserve">8.3 </w:t>
      </w:r>
      <w:r>
        <w:rPr>
          <w:rStyle w:val="97"/>
          <w:rFonts w:hint="eastAsia" w:ascii="宋体" w:hAnsi="宋体" w:cs="宋体"/>
          <w:bCs/>
          <w:lang/>
        </w:rPr>
        <w:t>项目实施计划</w:t>
      </w:r>
      <w:r>
        <w:rPr>
          <w:lang/>
        </w:rPr>
        <w:tab/>
      </w:r>
      <w:r>
        <w:rPr>
          <w:lang/>
        </w:rPr>
        <w:fldChar w:fldCharType="begin"/>
      </w:r>
      <w:r>
        <w:rPr>
          <w:lang/>
        </w:rPr>
        <w:instrText xml:space="preserve"> PAGEREF _Toc59203149 \h </w:instrText>
      </w:r>
      <w:r>
        <w:rPr>
          <w:lang/>
        </w:rPr>
        <w:fldChar w:fldCharType="separate"/>
      </w:r>
      <w:r>
        <w:rPr>
          <w:lang/>
        </w:rPr>
        <w:t>41</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"_Toc59203150"</w:instrText>
      </w:r>
      <w:r>
        <w:rPr>
          <w:rStyle w:val="97"/>
          <w:lang/>
        </w:rPr>
        <w:instrText xml:space="preserve"> </w:instrText>
      </w:r>
      <w:r>
        <w:rPr>
          <w:rStyle w:val="97"/>
          <w:lang/>
        </w:rPr>
        <w:fldChar w:fldCharType="separate"/>
      </w:r>
      <w:r>
        <w:rPr>
          <w:rStyle w:val="97"/>
          <w:rFonts w:ascii="宋体" w:hAnsi="宋体" w:cs="宋体"/>
          <w:bCs/>
          <w:lang/>
        </w:rPr>
        <w:t xml:space="preserve">8.4 </w:t>
      </w:r>
      <w:r>
        <w:rPr>
          <w:rStyle w:val="97"/>
          <w:rFonts w:hint="eastAsia" w:ascii="宋体" w:hAnsi="宋体" w:cs="宋体"/>
          <w:bCs/>
          <w:lang/>
        </w:rPr>
        <w:t>项目进度计划</w:t>
      </w:r>
      <w:r>
        <w:rPr>
          <w:lang/>
        </w:rPr>
        <w:tab/>
      </w:r>
      <w:r>
        <w:rPr>
          <w:lang/>
        </w:rPr>
        <w:fldChar w:fldCharType="begin"/>
      </w:r>
      <w:r>
        <w:rPr>
          <w:lang/>
        </w:rPr>
        <w:instrText xml:space="preserve"> PAGEREF _Toc59203150 \h </w:instrText>
      </w:r>
      <w:r>
        <w:rPr>
          <w:lang/>
        </w:rPr>
        <w:fldChar w:fldCharType="separate"/>
      </w:r>
      <w:r>
        <w:rPr>
          <w:lang/>
        </w:rPr>
        <w:t>41</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"_Toc59203151"</w:instrText>
      </w:r>
      <w:r>
        <w:rPr>
          <w:rStyle w:val="97"/>
          <w:lang/>
        </w:rPr>
        <w:instrText xml:space="preserve"> </w:instrText>
      </w:r>
      <w:r>
        <w:rPr>
          <w:rStyle w:val="97"/>
          <w:lang/>
        </w:rPr>
        <w:fldChar w:fldCharType="separate"/>
      </w:r>
      <w:r>
        <w:rPr>
          <w:rStyle w:val="97"/>
          <w:rFonts w:ascii="宋体" w:hAnsi="宋体" w:cs="宋体"/>
          <w:bCs/>
          <w:lang/>
        </w:rPr>
        <w:t xml:space="preserve">8.5 </w:t>
      </w:r>
      <w:r>
        <w:rPr>
          <w:rStyle w:val="97"/>
          <w:rFonts w:hint="eastAsia" w:ascii="宋体" w:hAnsi="宋体" w:cs="宋体"/>
          <w:bCs/>
          <w:lang/>
        </w:rPr>
        <w:t>进度报告</w:t>
      </w:r>
      <w:r>
        <w:rPr>
          <w:lang/>
        </w:rPr>
        <w:tab/>
      </w:r>
      <w:r>
        <w:rPr>
          <w:lang/>
        </w:rPr>
        <w:fldChar w:fldCharType="begin"/>
      </w:r>
      <w:r>
        <w:rPr>
          <w:lang/>
        </w:rPr>
        <w:instrText xml:space="preserve"> PAGEREF _Toc59203151 \h </w:instrText>
      </w:r>
      <w:r>
        <w:rPr>
          <w:lang/>
        </w:rPr>
        <w:fldChar w:fldCharType="separate"/>
      </w:r>
      <w:r>
        <w:rPr>
          <w:lang/>
        </w:rPr>
        <w:t>42</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"_Toc59203152"</w:instrText>
      </w:r>
      <w:r>
        <w:rPr>
          <w:rStyle w:val="97"/>
          <w:lang/>
        </w:rPr>
        <w:instrText xml:space="preserve"> </w:instrText>
      </w:r>
      <w:r>
        <w:rPr>
          <w:rStyle w:val="97"/>
          <w:lang/>
        </w:rPr>
        <w:fldChar w:fldCharType="separate"/>
      </w:r>
      <w:r>
        <w:rPr>
          <w:rStyle w:val="97"/>
          <w:rFonts w:ascii="宋体" w:hAnsi="宋体" w:cs="宋体"/>
          <w:bCs/>
          <w:lang/>
        </w:rPr>
        <w:t xml:space="preserve">8.6 </w:t>
      </w:r>
      <w:r>
        <w:rPr>
          <w:rStyle w:val="97"/>
          <w:rFonts w:hint="eastAsia" w:ascii="宋体" w:hAnsi="宋体" w:cs="宋体"/>
          <w:bCs/>
          <w:lang/>
        </w:rPr>
        <w:t>提前预警</w:t>
      </w:r>
      <w:r>
        <w:rPr>
          <w:lang/>
        </w:rPr>
        <w:tab/>
      </w:r>
      <w:r>
        <w:rPr>
          <w:lang/>
        </w:rPr>
        <w:fldChar w:fldCharType="begin"/>
      </w:r>
      <w:r>
        <w:rPr>
          <w:lang/>
        </w:rPr>
        <w:instrText xml:space="preserve"> PAGEREF _Toc59203152 \h </w:instrText>
      </w:r>
      <w:r>
        <w:rPr>
          <w:lang/>
        </w:rPr>
        <w:fldChar w:fldCharType="separate"/>
      </w:r>
      <w:r>
        <w:rPr>
          <w:lang/>
        </w:rPr>
        <w:t>42</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"_Toc59203153"</w:instrText>
      </w:r>
      <w:r>
        <w:rPr>
          <w:rStyle w:val="97"/>
          <w:lang/>
        </w:rPr>
        <w:instrText xml:space="preserve"> </w:instrText>
      </w:r>
      <w:r>
        <w:rPr>
          <w:rStyle w:val="97"/>
          <w:lang/>
        </w:rPr>
        <w:fldChar w:fldCharType="separate"/>
      </w:r>
      <w:r>
        <w:rPr>
          <w:rStyle w:val="97"/>
          <w:rFonts w:ascii="宋体" w:hAnsi="宋体" w:cs="宋体"/>
          <w:bCs/>
          <w:lang/>
        </w:rPr>
        <w:t xml:space="preserve">8.7 </w:t>
      </w:r>
      <w:r>
        <w:rPr>
          <w:rStyle w:val="97"/>
          <w:rFonts w:hint="eastAsia" w:ascii="宋体" w:hAnsi="宋体" w:cs="宋体"/>
          <w:bCs/>
          <w:lang/>
        </w:rPr>
        <w:t>工期延误</w:t>
      </w:r>
      <w:r>
        <w:rPr>
          <w:lang/>
        </w:rPr>
        <w:tab/>
      </w:r>
      <w:r>
        <w:rPr>
          <w:lang/>
        </w:rPr>
        <w:fldChar w:fldCharType="begin"/>
      </w:r>
      <w:r>
        <w:rPr>
          <w:lang/>
        </w:rPr>
        <w:instrText xml:space="preserve"> PAGEREF _Toc59203153 \h </w:instrText>
      </w:r>
      <w:r>
        <w:rPr>
          <w:lang/>
        </w:rPr>
        <w:fldChar w:fldCharType="separate"/>
      </w:r>
      <w:r>
        <w:rPr>
          <w:lang/>
        </w:rPr>
        <w:t>42</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"_Toc59203154"</w:instrText>
      </w:r>
      <w:r>
        <w:rPr>
          <w:rStyle w:val="97"/>
          <w:lang/>
        </w:rPr>
        <w:instrText xml:space="preserve"> </w:instrText>
      </w:r>
      <w:r>
        <w:rPr>
          <w:rStyle w:val="97"/>
          <w:lang/>
        </w:rPr>
        <w:fldChar w:fldCharType="separate"/>
      </w:r>
      <w:r>
        <w:rPr>
          <w:rStyle w:val="97"/>
          <w:rFonts w:ascii="宋体" w:hAnsi="宋体" w:cs="宋体"/>
          <w:bCs/>
          <w:lang/>
        </w:rPr>
        <w:t xml:space="preserve">8.8 </w:t>
      </w:r>
      <w:r>
        <w:rPr>
          <w:rStyle w:val="97"/>
          <w:rFonts w:hint="eastAsia" w:ascii="宋体" w:hAnsi="宋体" w:cs="宋体"/>
          <w:bCs/>
          <w:lang/>
        </w:rPr>
        <w:t>工期提前</w:t>
      </w:r>
      <w:r>
        <w:rPr>
          <w:lang/>
        </w:rPr>
        <w:tab/>
      </w:r>
      <w:r>
        <w:rPr>
          <w:lang/>
        </w:rPr>
        <w:fldChar w:fldCharType="begin"/>
      </w:r>
      <w:r>
        <w:rPr>
          <w:lang/>
        </w:rPr>
        <w:instrText xml:space="preserve"> PAGEREF _Toc59203154 \h </w:instrText>
      </w:r>
      <w:r>
        <w:rPr>
          <w:lang/>
        </w:rPr>
        <w:fldChar w:fldCharType="separate"/>
      </w:r>
      <w:r>
        <w:rPr>
          <w:lang/>
        </w:rPr>
        <w:t>43</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"_Toc59203155"</w:instrText>
      </w:r>
      <w:r>
        <w:rPr>
          <w:rStyle w:val="97"/>
          <w:lang/>
        </w:rPr>
        <w:instrText xml:space="preserve"> </w:instrText>
      </w:r>
      <w:r>
        <w:rPr>
          <w:rStyle w:val="97"/>
          <w:lang/>
        </w:rPr>
        <w:fldChar w:fldCharType="separate"/>
      </w:r>
      <w:r>
        <w:rPr>
          <w:rStyle w:val="97"/>
          <w:rFonts w:ascii="宋体" w:hAnsi="宋体" w:cs="宋体"/>
          <w:bCs/>
          <w:lang/>
        </w:rPr>
        <w:t xml:space="preserve">8.9 </w:t>
      </w:r>
      <w:r>
        <w:rPr>
          <w:rStyle w:val="97"/>
          <w:rFonts w:hint="eastAsia" w:ascii="宋体" w:hAnsi="宋体" w:cs="宋体"/>
          <w:bCs/>
          <w:lang/>
        </w:rPr>
        <w:t>暂停工作</w:t>
      </w:r>
      <w:r>
        <w:rPr>
          <w:lang/>
        </w:rPr>
        <w:tab/>
      </w:r>
      <w:r>
        <w:rPr>
          <w:lang/>
        </w:rPr>
        <w:fldChar w:fldCharType="begin"/>
      </w:r>
      <w:r>
        <w:rPr>
          <w:lang/>
        </w:rPr>
        <w:instrText xml:space="preserve"> PAGEREF _Toc59203155 \h </w:instrText>
      </w:r>
      <w:r>
        <w:rPr>
          <w:lang/>
        </w:rPr>
        <w:fldChar w:fldCharType="separate"/>
      </w:r>
      <w:r>
        <w:rPr>
          <w:lang/>
        </w:rPr>
        <w:t>44</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"_Toc59203156"</w:instrText>
      </w:r>
      <w:r>
        <w:rPr>
          <w:rStyle w:val="97"/>
          <w:lang/>
        </w:rPr>
        <w:instrText xml:space="preserve"> </w:instrText>
      </w:r>
      <w:r>
        <w:rPr>
          <w:rStyle w:val="97"/>
          <w:lang/>
        </w:rPr>
        <w:fldChar w:fldCharType="separate"/>
      </w:r>
      <w:r>
        <w:rPr>
          <w:rStyle w:val="97"/>
          <w:rFonts w:ascii="宋体" w:hAnsi="宋体" w:cs="宋体"/>
          <w:bCs/>
          <w:lang/>
        </w:rPr>
        <w:t xml:space="preserve">8.10 </w:t>
      </w:r>
      <w:r>
        <w:rPr>
          <w:rStyle w:val="97"/>
          <w:rFonts w:hint="eastAsia" w:ascii="宋体" w:hAnsi="宋体" w:cs="宋体"/>
          <w:bCs/>
          <w:lang/>
        </w:rPr>
        <w:t>复工</w:t>
      </w:r>
      <w:r>
        <w:rPr>
          <w:lang/>
        </w:rPr>
        <w:tab/>
      </w:r>
      <w:r>
        <w:rPr>
          <w:lang/>
        </w:rPr>
        <w:fldChar w:fldCharType="begin"/>
      </w:r>
      <w:r>
        <w:rPr>
          <w:lang/>
        </w:rPr>
        <w:instrText xml:space="preserve"> PAGEREF _Toc59203156 \h </w:instrText>
      </w:r>
      <w:r>
        <w:rPr>
          <w:lang/>
        </w:rPr>
        <w:fldChar w:fldCharType="separate"/>
      </w:r>
      <w:r>
        <w:rPr>
          <w:lang/>
        </w:rPr>
        <w:t>45</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"_Toc59203157"</w:instrText>
      </w:r>
      <w:r>
        <w:rPr>
          <w:rStyle w:val="97"/>
          <w:lang/>
        </w:rPr>
        <w:instrText xml:space="preserve"> </w:instrText>
      </w:r>
      <w:r>
        <w:rPr>
          <w:rStyle w:val="97"/>
          <w:lang/>
        </w:rPr>
        <w:fldChar w:fldCharType="separate"/>
      </w:r>
      <w:r>
        <w:rPr>
          <w:rStyle w:val="97"/>
          <w:rFonts w:hint="eastAsia" w:ascii="宋体" w:hAnsi="宋体" w:cs="宋体"/>
          <w:lang/>
        </w:rPr>
        <w:t>第</w:t>
      </w:r>
      <w:r>
        <w:rPr>
          <w:rStyle w:val="97"/>
          <w:rFonts w:ascii="宋体" w:hAnsi="宋体" w:cs="宋体"/>
          <w:lang/>
        </w:rPr>
        <w:t>9</w:t>
      </w:r>
      <w:r>
        <w:rPr>
          <w:rStyle w:val="97"/>
          <w:rFonts w:hint="eastAsia" w:ascii="宋体" w:hAnsi="宋体" w:cs="宋体"/>
          <w:lang/>
        </w:rPr>
        <w:t>条</w:t>
      </w:r>
      <w:r>
        <w:rPr>
          <w:rStyle w:val="97"/>
          <w:rFonts w:ascii="宋体" w:hAnsi="宋体" w:cs="宋体"/>
          <w:lang/>
        </w:rPr>
        <w:t xml:space="preserve"> </w:t>
      </w:r>
      <w:r>
        <w:rPr>
          <w:rStyle w:val="97"/>
          <w:rFonts w:hint="eastAsia" w:ascii="宋体" w:hAnsi="宋体" w:cs="宋体"/>
          <w:lang/>
        </w:rPr>
        <w:t>竣工试验</w:t>
      </w:r>
      <w:r>
        <w:rPr>
          <w:lang/>
        </w:rPr>
        <w:tab/>
      </w:r>
      <w:r>
        <w:rPr>
          <w:lang/>
        </w:rPr>
        <w:fldChar w:fldCharType="begin"/>
      </w:r>
      <w:r>
        <w:rPr>
          <w:lang/>
        </w:rPr>
        <w:instrText xml:space="preserve"> PAGEREF _Toc59203157 \h </w:instrText>
      </w:r>
      <w:r>
        <w:rPr>
          <w:lang/>
        </w:rPr>
        <w:fldChar w:fldCharType="separate"/>
      </w:r>
      <w:r>
        <w:rPr>
          <w:lang/>
        </w:rPr>
        <w:t>45</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"_Toc59203158"</w:instrText>
      </w:r>
      <w:r>
        <w:rPr>
          <w:rStyle w:val="97"/>
          <w:lang/>
        </w:rPr>
        <w:instrText xml:space="preserve"> </w:instrText>
      </w:r>
      <w:r>
        <w:rPr>
          <w:rStyle w:val="97"/>
          <w:lang/>
        </w:rPr>
        <w:fldChar w:fldCharType="separate"/>
      </w:r>
      <w:r>
        <w:rPr>
          <w:rStyle w:val="97"/>
          <w:rFonts w:ascii="宋体" w:hAnsi="宋体" w:cs="宋体"/>
          <w:bCs/>
          <w:lang/>
        </w:rPr>
        <w:t xml:space="preserve">9.1 </w:t>
      </w:r>
      <w:r>
        <w:rPr>
          <w:rStyle w:val="97"/>
          <w:rFonts w:hint="eastAsia" w:ascii="宋体" w:hAnsi="宋体" w:cs="宋体"/>
          <w:bCs/>
          <w:lang/>
        </w:rPr>
        <w:t>竣工试验的义务</w:t>
      </w:r>
      <w:r>
        <w:rPr>
          <w:lang/>
        </w:rPr>
        <w:tab/>
      </w:r>
      <w:r>
        <w:rPr>
          <w:lang/>
        </w:rPr>
        <w:fldChar w:fldCharType="begin"/>
      </w:r>
      <w:r>
        <w:rPr>
          <w:lang/>
        </w:rPr>
        <w:instrText xml:space="preserve"> PAGEREF _Toc59203158 \h </w:instrText>
      </w:r>
      <w:r>
        <w:rPr>
          <w:lang/>
        </w:rPr>
        <w:fldChar w:fldCharType="separate"/>
      </w:r>
      <w:r>
        <w:rPr>
          <w:lang/>
        </w:rPr>
        <w:t>45</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"_Toc59203159"</w:instrText>
      </w:r>
      <w:r>
        <w:rPr>
          <w:rStyle w:val="97"/>
          <w:lang/>
        </w:rPr>
        <w:instrText xml:space="preserve"> </w:instrText>
      </w:r>
      <w:r>
        <w:rPr>
          <w:rStyle w:val="97"/>
          <w:lang/>
        </w:rPr>
        <w:fldChar w:fldCharType="separate"/>
      </w:r>
      <w:r>
        <w:rPr>
          <w:rStyle w:val="97"/>
          <w:rFonts w:ascii="宋体" w:hAnsi="宋体" w:cs="宋体"/>
          <w:bCs/>
          <w:lang/>
        </w:rPr>
        <w:t xml:space="preserve">9.2 </w:t>
      </w:r>
      <w:r>
        <w:rPr>
          <w:rStyle w:val="97"/>
          <w:rFonts w:hint="eastAsia" w:ascii="宋体" w:hAnsi="宋体" w:cs="宋体"/>
          <w:bCs/>
          <w:lang/>
        </w:rPr>
        <w:t>延误的试验</w:t>
      </w:r>
      <w:r>
        <w:rPr>
          <w:lang/>
        </w:rPr>
        <w:tab/>
      </w:r>
      <w:r>
        <w:rPr>
          <w:lang/>
        </w:rPr>
        <w:fldChar w:fldCharType="begin"/>
      </w:r>
      <w:r>
        <w:rPr>
          <w:lang/>
        </w:rPr>
        <w:instrText xml:space="preserve"> PAGEREF _Toc59203159 \h </w:instrText>
      </w:r>
      <w:r>
        <w:rPr>
          <w:lang/>
        </w:rPr>
        <w:fldChar w:fldCharType="separate"/>
      </w:r>
      <w:r>
        <w:rPr>
          <w:lang/>
        </w:rPr>
        <w:t>46</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"_Toc59203160"</w:instrText>
      </w:r>
      <w:r>
        <w:rPr>
          <w:rStyle w:val="97"/>
          <w:lang/>
        </w:rPr>
        <w:instrText xml:space="preserve"> </w:instrText>
      </w:r>
      <w:r>
        <w:rPr>
          <w:rStyle w:val="97"/>
          <w:lang/>
        </w:rPr>
        <w:fldChar w:fldCharType="separate"/>
      </w:r>
      <w:r>
        <w:rPr>
          <w:rStyle w:val="97"/>
          <w:rFonts w:ascii="宋体" w:hAnsi="宋体" w:cs="宋体"/>
          <w:bCs/>
          <w:lang/>
        </w:rPr>
        <w:t xml:space="preserve">9.3 </w:t>
      </w:r>
      <w:r>
        <w:rPr>
          <w:rStyle w:val="97"/>
          <w:rFonts w:hint="eastAsia" w:ascii="宋体" w:hAnsi="宋体" w:cs="宋体"/>
          <w:bCs/>
          <w:lang/>
        </w:rPr>
        <w:t>重新试验</w:t>
      </w:r>
      <w:r>
        <w:rPr>
          <w:lang/>
        </w:rPr>
        <w:tab/>
      </w:r>
      <w:r>
        <w:rPr>
          <w:lang/>
        </w:rPr>
        <w:fldChar w:fldCharType="begin"/>
      </w:r>
      <w:r>
        <w:rPr>
          <w:lang/>
        </w:rPr>
        <w:instrText xml:space="preserve"> PAGEREF _Toc59203160 \h </w:instrText>
      </w:r>
      <w:r>
        <w:rPr>
          <w:lang/>
        </w:rPr>
        <w:fldChar w:fldCharType="separate"/>
      </w:r>
      <w:r>
        <w:rPr>
          <w:lang/>
        </w:rPr>
        <w:t>46</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"_Toc59203161"</w:instrText>
      </w:r>
      <w:r>
        <w:rPr>
          <w:rStyle w:val="97"/>
          <w:lang/>
        </w:rPr>
        <w:instrText xml:space="preserve"> </w:instrText>
      </w:r>
      <w:r>
        <w:rPr>
          <w:rStyle w:val="97"/>
          <w:lang/>
        </w:rPr>
        <w:fldChar w:fldCharType="separate"/>
      </w:r>
      <w:r>
        <w:rPr>
          <w:rStyle w:val="97"/>
          <w:rFonts w:ascii="宋体" w:hAnsi="宋体" w:cs="宋体"/>
          <w:bCs/>
          <w:lang/>
        </w:rPr>
        <w:t xml:space="preserve">9.4 </w:t>
      </w:r>
      <w:r>
        <w:rPr>
          <w:rStyle w:val="97"/>
          <w:rFonts w:hint="eastAsia" w:ascii="宋体" w:hAnsi="宋体" w:cs="宋体"/>
          <w:bCs/>
          <w:lang/>
        </w:rPr>
        <w:t>未能通过竣工试验</w:t>
      </w:r>
      <w:r>
        <w:rPr>
          <w:lang/>
        </w:rPr>
        <w:tab/>
      </w:r>
      <w:r>
        <w:rPr>
          <w:lang/>
        </w:rPr>
        <w:fldChar w:fldCharType="begin"/>
      </w:r>
      <w:r>
        <w:rPr>
          <w:lang/>
        </w:rPr>
        <w:instrText xml:space="preserve"> PAGEREF _Toc59203161 \h </w:instrText>
      </w:r>
      <w:r>
        <w:rPr>
          <w:lang/>
        </w:rPr>
        <w:fldChar w:fldCharType="separate"/>
      </w:r>
      <w:r>
        <w:rPr>
          <w:lang/>
        </w:rPr>
        <w:t>46</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"_Toc59203162"</w:instrText>
      </w:r>
      <w:r>
        <w:rPr>
          <w:rStyle w:val="97"/>
          <w:lang/>
        </w:rPr>
        <w:instrText xml:space="preserve"> </w:instrText>
      </w:r>
      <w:r>
        <w:rPr>
          <w:rStyle w:val="97"/>
          <w:lang/>
        </w:rPr>
        <w:fldChar w:fldCharType="separate"/>
      </w:r>
      <w:r>
        <w:rPr>
          <w:rStyle w:val="97"/>
          <w:rFonts w:hint="eastAsia" w:ascii="宋体" w:hAnsi="宋体" w:cs="宋体"/>
          <w:lang/>
        </w:rPr>
        <w:t>第</w:t>
      </w:r>
      <w:r>
        <w:rPr>
          <w:rStyle w:val="97"/>
          <w:rFonts w:ascii="宋体" w:hAnsi="宋体" w:cs="宋体"/>
          <w:lang/>
        </w:rPr>
        <w:t>10</w:t>
      </w:r>
      <w:r>
        <w:rPr>
          <w:rStyle w:val="97"/>
          <w:rFonts w:hint="eastAsia" w:ascii="宋体" w:hAnsi="宋体" w:cs="宋体"/>
          <w:lang/>
        </w:rPr>
        <w:t>条</w:t>
      </w:r>
      <w:r>
        <w:rPr>
          <w:rStyle w:val="97"/>
          <w:rFonts w:ascii="宋体" w:hAnsi="宋体" w:cs="宋体"/>
          <w:lang/>
        </w:rPr>
        <w:t xml:space="preserve"> </w:t>
      </w:r>
      <w:r>
        <w:rPr>
          <w:rStyle w:val="97"/>
          <w:rFonts w:hint="eastAsia" w:ascii="宋体" w:hAnsi="宋体" w:cs="宋体"/>
          <w:lang/>
        </w:rPr>
        <w:t>验收和工程接收</w:t>
      </w:r>
      <w:r>
        <w:rPr>
          <w:lang/>
        </w:rPr>
        <w:tab/>
      </w:r>
      <w:r>
        <w:rPr>
          <w:lang/>
        </w:rPr>
        <w:fldChar w:fldCharType="begin"/>
      </w:r>
      <w:r>
        <w:rPr>
          <w:lang/>
        </w:rPr>
        <w:instrText xml:space="preserve"> PAGEREF _Toc59203162 \h </w:instrText>
      </w:r>
      <w:r>
        <w:rPr>
          <w:lang/>
        </w:rPr>
        <w:fldChar w:fldCharType="separate"/>
      </w:r>
      <w:r>
        <w:rPr>
          <w:lang/>
        </w:rPr>
        <w:t>47</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"_Toc59203163"</w:instrText>
      </w:r>
      <w:r>
        <w:rPr>
          <w:rStyle w:val="97"/>
          <w:lang/>
        </w:rPr>
        <w:instrText xml:space="preserve"> </w:instrText>
      </w:r>
      <w:r>
        <w:rPr>
          <w:rStyle w:val="97"/>
          <w:lang/>
        </w:rPr>
        <w:fldChar w:fldCharType="separate"/>
      </w:r>
      <w:r>
        <w:rPr>
          <w:rStyle w:val="97"/>
          <w:rFonts w:ascii="宋体" w:hAnsi="宋体" w:cs="宋体"/>
          <w:bCs/>
          <w:lang/>
        </w:rPr>
        <w:t xml:space="preserve">10.1 </w:t>
      </w:r>
      <w:r>
        <w:rPr>
          <w:rStyle w:val="97"/>
          <w:rFonts w:hint="eastAsia" w:ascii="宋体" w:hAnsi="宋体" w:cs="宋体"/>
          <w:bCs/>
          <w:lang/>
        </w:rPr>
        <w:t>竣工验收</w:t>
      </w:r>
      <w:r>
        <w:rPr>
          <w:lang/>
        </w:rPr>
        <w:tab/>
      </w:r>
      <w:r>
        <w:rPr>
          <w:lang/>
        </w:rPr>
        <w:fldChar w:fldCharType="begin"/>
      </w:r>
      <w:r>
        <w:rPr>
          <w:lang/>
        </w:rPr>
        <w:instrText xml:space="preserve"> PAGEREF _Toc59203163 \h </w:instrText>
      </w:r>
      <w:r>
        <w:rPr>
          <w:lang/>
        </w:rPr>
        <w:fldChar w:fldCharType="separate"/>
      </w:r>
      <w:r>
        <w:rPr>
          <w:lang/>
        </w:rPr>
        <w:t>47</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"_Toc59203164"</w:instrText>
      </w:r>
      <w:r>
        <w:rPr>
          <w:rStyle w:val="97"/>
          <w:lang/>
        </w:rPr>
        <w:instrText xml:space="preserve"> </w:instrText>
      </w:r>
      <w:r>
        <w:rPr>
          <w:rStyle w:val="97"/>
          <w:lang/>
        </w:rPr>
        <w:fldChar w:fldCharType="separate"/>
      </w:r>
      <w:r>
        <w:rPr>
          <w:rStyle w:val="97"/>
          <w:rFonts w:ascii="宋体" w:hAnsi="宋体" w:cs="宋体"/>
          <w:bCs/>
          <w:lang/>
        </w:rPr>
        <w:t xml:space="preserve">10.2 </w:t>
      </w:r>
      <w:r>
        <w:rPr>
          <w:rStyle w:val="97"/>
          <w:rFonts w:hint="eastAsia" w:ascii="宋体" w:hAnsi="宋体" w:cs="宋体"/>
          <w:bCs/>
          <w:lang/>
        </w:rPr>
        <w:t>单位</w:t>
      </w:r>
      <w:r>
        <w:rPr>
          <w:rStyle w:val="97"/>
          <w:rFonts w:ascii="宋体" w:hAnsi="宋体" w:cs="宋体"/>
          <w:bCs/>
          <w:lang/>
        </w:rPr>
        <w:t>/</w:t>
      </w:r>
      <w:r>
        <w:rPr>
          <w:rStyle w:val="97"/>
          <w:rFonts w:hint="eastAsia" w:ascii="宋体" w:hAnsi="宋体" w:cs="宋体"/>
          <w:bCs/>
          <w:lang/>
        </w:rPr>
        <w:t>区段工程的验收</w:t>
      </w:r>
      <w:r>
        <w:rPr>
          <w:lang/>
        </w:rPr>
        <w:tab/>
      </w:r>
      <w:r>
        <w:rPr>
          <w:lang/>
        </w:rPr>
        <w:fldChar w:fldCharType="begin"/>
      </w:r>
      <w:r>
        <w:rPr>
          <w:lang/>
        </w:rPr>
        <w:instrText xml:space="preserve"> PAGEREF _Toc59203164 \h </w:instrText>
      </w:r>
      <w:r>
        <w:rPr>
          <w:lang/>
        </w:rPr>
        <w:fldChar w:fldCharType="separate"/>
      </w:r>
      <w:r>
        <w:rPr>
          <w:lang/>
        </w:rPr>
        <w:t>48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"_Toc59203165"</w:instrText>
      </w:r>
      <w:r>
        <w:rPr>
          <w:rStyle w:val="97"/>
          <w:lang/>
        </w:rPr>
        <w:instrText xml:space="preserve"> </w:instrText>
      </w:r>
      <w:r>
        <w:rPr>
          <w:rStyle w:val="97"/>
          <w:lang/>
        </w:rPr>
        <w:fldChar w:fldCharType="separate"/>
      </w:r>
      <w:r>
        <w:rPr>
          <w:rStyle w:val="97"/>
          <w:rFonts w:ascii="宋体" w:hAnsi="宋体" w:cs="宋体"/>
          <w:bCs/>
          <w:lang/>
        </w:rPr>
        <w:t xml:space="preserve">10.3 </w:t>
      </w:r>
      <w:r>
        <w:rPr>
          <w:rStyle w:val="97"/>
          <w:rFonts w:hint="eastAsia" w:ascii="宋体" w:hAnsi="宋体" w:cs="宋体"/>
          <w:bCs/>
          <w:lang/>
        </w:rPr>
        <w:t>工程的接收</w:t>
      </w:r>
      <w:r>
        <w:rPr>
          <w:lang/>
        </w:rPr>
        <w:tab/>
      </w:r>
      <w:r>
        <w:rPr>
          <w:lang/>
        </w:rPr>
        <w:fldChar w:fldCharType="begin"/>
      </w:r>
      <w:r>
        <w:rPr>
          <w:lang/>
        </w:rPr>
        <w:instrText xml:space="preserve"> PAGEREF _Toc59203165 \h </w:instrText>
      </w:r>
      <w:r>
        <w:rPr>
          <w:lang/>
        </w:rPr>
        <w:fldChar w:fldCharType="separate"/>
      </w:r>
      <w:r>
        <w:rPr>
          <w:lang/>
        </w:rPr>
        <w:t>48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"_Toc59203166"</w:instrText>
      </w:r>
      <w:r>
        <w:rPr>
          <w:rStyle w:val="97"/>
          <w:lang/>
        </w:rPr>
        <w:instrText xml:space="preserve"> </w:instrText>
      </w:r>
      <w:r>
        <w:rPr>
          <w:rStyle w:val="97"/>
          <w:lang/>
        </w:rPr>
        <w:fldChar w:fldCharType="separate"/>
      </w:r>
      <w:r>
        <w:rPr>
          <w:rStyle w:val="97"/>
          <w:rFonts w:ascii="宋体" w:hAnsi="宋体" w:cs="宋体"/>
          <w:bCs/>
          <w:lang/>
        </w:rPr>
        <w:t xml:space="preserve">10.4 </w:t>
      </w:r>
      <w:r>
        <w:rPr>
          <w:rStyle w:val="97"/>
          <w:rFonts w:hint="eastAsia" w:ascii="宋体" w:hAnsi="宋体" w:cs="宋体"/>
          <w:bCs/>
          <w:lang/>
        </w:rPr>
        <w:t>接收证书</w:t>
      </w:r>
      <w:r>
        <w:rPr>
          <w:lang/>
        </w:rPr>
        <w:tab/>
      </w:r>
      <w:r>
        <w:rPr>
          <w:lang/>
        </w:rPr>
        <w:fldChar w:fldCharType="begin"/>
      </w:r>
      <w:r>
        <w:rPr>
          <w:lang/>
        </w:rPr>
        <w:instrText xml:space="preserve"> PAGEREF _Toc59203166 \h </w:instrText>
      </w:r>
      <w:r>
        <w:rPr>
          <w:lang/>
        </w:rPr>
        <w:fldChar w:fldCharType="separate"/>
      </w:r>
      <w:r>
        <w:rPr>
          <w:lang/>
        </w:rPr>
        <w:t>48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"_Toc59203167"</w:instrText>
      </w:r>
      <w:r>
        <w:rPr>
          <w:rStyle w:val="97"/>
          <w:lang/>
        </w:rPr>
        <w:instrText xml:space="preserve"> </w:instrText>
      </w:r>
      <w:r>
        <w:rPr>
          <w:rStyle w:val="97"/>
          <w:lang/>
        </w:rPr>
        <w:fldChar w:fldCharType="separate"/>
      </w:r>
      <w:r>
        <w:rPr>
          <w:rStyle w:val="97"/>
          <w:rFonts w:ascii="宋体" w:hAnsi="宋体" w:cs="宋体"/>
          <w:bCs/>
          <w:lang/>
        </w:rPr>
        <w:t xml:space="preserve">10.5 </w:t>
      </w:r>
      <w:r>
        <w:rPr>
          <w:rStyle w:val="97"/>
          <w:rFonts w:hint="eastAsia" w:ascii="宋体" w:hAnsi="宋体" w:cs="宋体"/>
          <w:bCs/>
          <w:lang/>
        </w:rPr>
        <w:t>竣工退场</w:t>
      </w:r>
      <w:r>
        <w:rPr>
          <w:lang/>
        </w:rPr>
        <w:tab/>
      </w:r>
      <w:r>
        <w:rPr>
          <w:lang/>
        </w:rPr>
        <w:fldChar w:fldCharType="begin"/>
      </w:r>
      <w:r>
        <w:rPr>
          <w:lang/>
        </w:rPr>
        <w:instrText xml:space="preserve"> PAGEREF _Toc59203167 \h </w:instrText>
      </w:r>
      <w:r>
        <w:rPr>
          <w:lang/>
        </w:rPr>
        <w:fldChar w:fldCharType="separate"/>
      </w:r>
      <w:r>
        <w:rPr>
          <w:lang/>
        </w:rPr>
        <w:t>49</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"_Toc59203168"</w:instrText>
      </w:r>
      <w:r>
        <w:rPr>
          <w:rStyle w:val="97"/>
          <w:lang/>
        </w:rPr>
        <w:instrText xml:space="preserve"> </w:instrText>
      </w:r>
      <w:r>
        <w:rPr>
          <w:rStyle w:val="97"/>
          <w:lang/>
        </w:rPr>
        <w:fldChar w:fldCharType="separate"/>
      </w:r>
      <w:r>
        <w:rPr>
          <w:rStyle w:val="97"/>
          <w:rFonts w:hint="eastAsia" w:ascii="宋体" w:hAnsi="宋体" w:cs="宋体"/>
          <w:lang/>
        </w:rPr>
        <w:t>第</w:t>
      </w:r>
      <w:r>
        <w:rPr>
          <w:rStyle w:val="97"/>
          <w:rFonts w:ascii="宋体" w:hAnsi="宋体" w:cs="宋体"/>
          <w:lang/>
        </w:rPr>
        <w:t>11</w:t>
      </w:r>
      <w:r>
        <w:rPr>
          <w:rStyle w:val="97"/>
          <w:rFonts w:hint="eastAsia" w:ascii="宋体" w:hAnsi="宋体" w:cs="宋体"/>
          <w:lang/>
        </w:rPr>
        <w:t>条</w:t>
      </w:r>
      <w:r>
        <w:rPr>
          <w:rStyle w:val="97"/>
          <w:rFonts w:ascii="宋体" w:hAnsi="宋体" w:cs="宋体"/>
          <w:lang/>
        </w:rPr>
        <w:t xml:space="preserve"> </w:t>
      </w:r>
      <w:r>
        <w:rPr>
          <w:rStyle w:val="97"/>
          <w:rFonts w:hint="eastAsia" w:ascii="宋体" w:hAnsi="宋体" w:cs="宋体"/>
          <w:lang/>
        </w:rPr>
        <w:t>缺陷责任与保修</w:t>
      </w:r>
      <w:r>
        <w:rPr>
          <w:lang/>
        </w:rPr>
        <w:tab/>
      </w:r>
      <w:r>
        <w:rPr>
          <w:lang/>
        </w:rPr>
        <w:fldChar w:fldCharType="begin"/>
      </w:r>
      <w:r>
        <w:rPr>
          <w:lang/>
        </w:rPr>
        <w:instrText xml:space="preserve"> PAGEREF _Toc59203168 \h </w:instrText>
      </w:r>
      <w:r>
        <w:rPr>
          <w:lang/>
        </w:rPr>
        <w:fldChar w:fldCharType="separate"/>
      </w:r>
      <w:r>
        <w:rPr>
          <w:lang/>
        </w:rPr>
        <w:t>49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"_Toc59203169"</w:instrText>
      </w:r>
      <w:r>
        <w:rPr>
          <w:rStyle w:val="97"/>
          <w:lang/>
        </w:rPr>
        <w:instrText xml:space="preserve"> </w:instrText>
      </w:r>
      <w:r>
        <w:rPr>
          <w:rStyle w:val="97"/>
          <w:lang/>
        </w:rPr>
        <w:fldChar w:fldCharType="separate"/>
      </w:r>
      <w:r>
        <w:rPr>
          <w:rStyle w:val="97"/>
          <w:rFonts w:ascii="宋体" w:hAnsi="宋体" w:cs="宋体"/>
          <w:bCs/>
          <w:lang/>
        </w:rPr>
        <w:t xml:space="preserve">11.1 </w:t>
      </w:r>
      <w:r>
        <w:rPr>
          <w:rStyle w:val="97"/>
          <w:rFonts w:hint="eastAsia" w:ascii="宋体" w:hAnsi="宋体" w:cs="宋体"/>
          <w:bCs/>
          <w:lang/>
        </w:rPr>
        <w:t>工程保修的原则</w:t>
      </w:r>
      <w:r>
        <w:rPr>
          <w:lang/>
        </w:rPr>
        <w:tab/>
      </w:r>
      <w:r>
        <w:rPr>
          <w:lang/>
        </w:rPr>
        <w:fldChar w:fldCharType="begin"/>
      </w:r>
      <w:r>
        <w:rPr>
          <w:lang/>
        </w:rPr>
        <w:instrText xml:space="preserve"> PAGEREF _Toc59203169 \h </w:instrText>
      </w:r>
      <w:r>
        <w:rPr>
          <w:lang/>
        </w:rPr>
        <w:fldChar w:fldCharType="separate"/>
      </w:r>
      <w:r>
        <w:rPr>
          <w:lang/>
        </w:rPr>
        <w:t>49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"_Toc59203170"</w:instrText>
      </w:r>
      <w:r>
        <w:rPr>
          <w:rStyle w:val="97"/>
          <w:lang/>
        </w:rPr>
        <w:instrText xml:space="preserve"> </w:instrText>
      </w:r>
      <w:r>
        <w:rPr>
          <w:rStyle w:val="97"/>
          <w:lang/>
        </w:rPr>
        <w:fldChar w:fldCharType="separate"/>
      </w:r>
      <w:r>
        <w:rPr>
          <w:rStyle w:val="97"/>
          <w:rFonts w:ascii="宋体" w:hAnsi="宋体" w:cs="宋体"/>
          <w:bCs/>
          <w:lang/>
        </w:rPr>
        <w:t xml:space="preserve">11.2 </w:t>
      </w:r>
      <w:r>
        <w:rPr>
          <w:rStyle w:val="97"/>
          <w:rFonts w:hint="eastAsia" w:ascii="宋体" w:hAnsi="宋体" w:cs="宋体"/>
          <w:bCs/>
          <w:lang/>
        </w:rPr>
        <w:t>缺陷责任期</w:t>
      </w:r>
      <w:r>
        <w:rPr>
          <w:lang/>
        </w:rPr>
        <w:tab/>
      </w:r>
      <w:r>
        <w:rPr>
          <w:lang/>
        </w:rPr>
        <w:fldChar w:fldCharType="begin"/>
      </w:r>
      <w:r>
        <w:rPr>
          <w:lang/>
        </w:rPr>
        <w:instrText xml:space="preserve"> PAGEREF _Toc59203170 \h </w:instrText>
      </w:r>
      <w:r>
        <w:rPr>
          <w:lang/>
        </w:rPr>
        <w:fldChar w:fldCharType="separate"/>
      </w:r>
      <w:r>
        <w:rPr>
          <w:lang/>
        </w:rPr>
        <w:t>49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"_Toc59203171"</w:instrText>
      </w:r>
      <w:r>
        <w:rPr>
          <w:rStyle w:val="97"/>
          <w:lang/>
        </w:rPr>
        <w:instrText xml:space="preserve"> </w:instrText>
      </w:r>
      <w:r>
        <w:rPr>
          <w:rStyle w:val="97"/>
          <w:lang/>
        </w:rPr>
        <w:fldChar w:fldCharType="separate"/>
      </w:r>
      <w:r>
        <w:rPr>
          <w:rStyle w:val="97"/>
          <w:rFonts w:ascii="宋体" w:hAnsi="宋体" w:cs="宋体"/>
          <w:bCs/>
          <w:lang/>
        </w:rPr>
        <w:t xml:space="preserve">11.3 </w:t>
      </w:r>
      <w:r>
        <w:rPr>
          <w:rStyle w:val="97"/>
          <w:rFonts w:hint="eastAsia" w:ascii="宋体" w:hAnsi="宋体" w:cs="宋体"/>
          <w:bCs/>
          <w:lang/>
        </w:rPr>
        <w:t>缺陷调查</w:t>
      </w:r>
      <w:r>
        <w:rPr>
          <w:lang/>
        </w:rPr>
        <w:tab/>
      </w:r>
      <w:r>
        <w:rPr>
          <w:lang/>
        </w:rPr>
        <w:fldChar w:fldCharType="begin"/>
      </w:r>
      <w:r>
        <w:rPr>
          <w:lang/>
        </w:rPr>
        <w:instrText xml:space="preserve"> PAGEREF _Toc59203171 \h </w:instrText>
      </w:r>
      <w:r>
        <w:rPr>
          <w:lang/>
        </w:rPr>
        <w:fldChar w:fldCharType="separate"/>
      </w:r>
      <w:r>
        <w:rPr>
          <w:lang/>
        </w:rPr>
        <w:t>50</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"_Toc59203172"</w:instrText>
      </w:r>
      <w:r>
        <w:rPr>
          <w:rStyle w:val="97"/>
          <w:lang/>
        </w:rPr>
        <w:instrText xml:space="preserve"> </w:instrText>
      </w:r>
      <w:r>
        <w:rPr>
          <w:rStyle w:val="97"/>
          <w:lang/>
        </w:rPr>
        <w:fldChar w:fldCharType="separate"/>
      </w:r>
      <w:r>
        <w:rPr>
          <w:rStyle w:val="97"/>
          <w:rFonts w:ascii="宋体" w:hAnsi="宋体" w:cs="宋体"/>
          <w:bCs/>
          <w:lang/>
        </w:rPr>
        <w:t xml:space="preserve">11.4 </w:t>
      </w:r>
      <w:r>
        <w:rPr>
          <w:rStyle w:val="97"/>
          <w:rFonts w:hint="eastAsia" w:ascii="宋体" w:hAnsi="宋体" w:cs="宋体"/>
          <w:bCs/>
          <w:lang/>
        </w:rPr>
        <w:t>缺陷修复后的进一步试验</w:t>
      </w:r>
      <w:r>
        <w:rPr>
          <w:lang/>
        </w:rPr>
        <w:tab/>
      </w:r>
      <w:r>
        <w:rPr>
          <w:lang/>
        </w:rPr>
        <w:fldChar w:fldCharType="begin"/>
      </w:r>
      <w:r>
        <w:rPr>
          <w:lang/>
        </w:rPr>
        <w:instrText xml:space="preserve"> PAGEREF _Toc59203172 \h </w:instrText>
      </w:r>
      <w:r>
        <w:rPr>
          <w:lang/>
        </w:rPr>
        <w:fldChar w:fldCharType="separate"/>
      </w:r>
      <w:r>
        <w:rPr>
          <w:lang/>
        </w:rPr>
        <w:t>51</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"_Toc59203173"</w:instrText>
      </w:r>
      <w:r>
        <w:rPr>
          <w:rStyle w:val="97"/>
          <w:lang/>
        </w:rPr>
        <w:instrText xml:space="preserve"> </w:instrText>
      </w:r>
      <w:r>
        <w:rPr>
          <w:rStyle w:val="97"/>
          <w:lang/>
        </w:rPr>
        <w:fldChar w:fldCharType="separate"/>
      </w:r>
      <w:r>
        <w:rPr>
          <w:rStyle w:val="97"/>
          <w:rFonts w:ascii="宋体" w:hAnsi="宋体" w:cs="宋体"/>
          <w:bCs/>
          <w:lang/>
        </w:rPr>
        <w:t xml:space="preserve">11.5 </w:t>
      </w:r>
      <w:r>
        <w:rPr>
          <w:rStyle w:val="97"/>
          <w:rFonts w:hint="eastAsia" w:ascii="宋体" w:hAnsi="宋体" w:cs="宋体"/>
          <w:bCs/>
          <w:lang/>
        </w:rPr>
        <w:t>承包人出入权</w:t>
      </w:r>
      <w:r>
        <w:rPr>
          <w:lang/>
        </w:rPr>
        <w:tab/>
      </w:r>
      <w:r>
        <w:rPr>
          <w:lang/>
        </w:rPr>
        <w:fldChar w:fldCharType="begin"/>
      </w:r>
      <w:r>
        <w:rPr>
          <w:lang/>
        </w:rPr>
        <w:instrText xml:space="preserve"> PAGEREF _Toc59203173 \h </w:instrText>
      </w:r>
      <w:r>
        <w:rPr>
          <w:lang/>
        </w:rPr>
        <w:fldChar w:fldCharType="separate"/>
      </w:r>
      <w:r>
        <w:rPr>
          <w:lang/>
        </w:rPr>
        <w:t>51</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"_Toc59203174"</w:instrText>
      </w:r>
      <w:r>
        <w:rPr>
          <w:rStyle w:val="97"/>
          <w:lang/>
        </w:rPr>
        <w:instrText xml:space="preserve"> </w:instrText>
      </w:r>
      <w:r>
        <w:rPr>
          <w:rStyle w:val="97"/>
          <w:lang/>
        </w:rPr>
        <w:fldChar w:fldCharType="separate"/>
      </w:r>
      <w:r>
        <w:rPr>
          <w:rStyle w:val="97"/>
          <w:rFonts w:ascii="宋体" w:hAnsi="宋体" w:cs="宋体"/>
          <w:bCs/>
          <w:lang/>
        </w:rPr>
        <w:t xml:space="preserve">11.6 </w:t>
      </w:r>
      <w:r>
        <w:rPr>
          <w:rStyle w:val="97"/>
          <w:rFonts w:hint="eastAsia" w:ascii="宋体" w:hAnsi="宋体" w:cs="宋体"/>
          <w:bCs/>
          <w:lang/>
        </w:rPr>
        <w:t>缺陷责任期终止证书</w:t>
      </w:r>
      <w:r>
        <w:rPr>
          <w:lang/>
        </w:rPr>
        <w:tab/>
      </w:r>
      <w:r>
        <w:rPr>
          <w:lang/>
        </w:rPr>
        <w:fldChar w:fldCharType="begin"/>
      </w:r>
      <w:r>
        <w:rPr>
          <w:lang/>
        </w:rPr>
        <w:instrText xml:space="preserve"> PAGEREF _Toc59203174 \h </w:instrText>
      </w:r>
      <w:r>
        <w:rPr>
          <w:lang/>
        </w:rPr>
        <w:fldChar w:fldCharType="separate"/>
      </w:r>
      <w:r>
        <w:rPr>
          <w:lang/>
        </w:rPr>
        <w:t>51</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"_Toc59203175"</w:instrText>
      </w:r>
      <w:r>
        <w:rPr>
          <w:rStyle w:val="97"/>
          <w:lang/>
        </w:rPr>
        <w:instrText xml:space="preserve"> </w:instrText>
      </w:r>
      <w:r>
        <w:rPr>
          <w:rStyle w:val="97"/>
          <w:lang/>
        </w:rPr>
        <w:fldChar w:fldCharType="separate"/>
      </w:r>
      <w:r>
        <w:rPr>
          <w:rStyle w:val="97"/>
          <w:rFonts w:ascii="宋体" w:hAnsi="宋体" w:cs="宋体"/>
          <w:bCs/>
          <w:lang/>
        </w:rPr>
        <w:t xml:space="preserve">11.7 </w:t>
      </w:r>
      <w:r>
        <w:rPr>
          <w:rStyle w:val="97"/>
          <w:rFonts w:hint="eastAsia" w:ascii="宋体" w:hAnsi="宋体" w:cs="宋体"/>
          <w:bCs/>
          <w:lang/>
        </w:rPr>
        <w:t>保修责任</w:t>
      </w:r>
      <w:r>
        <w:rPr>
          <w:lang/>
        </w:rPr>
        <w:tab/>
      </w:r>
      <w:r>
        <w:rPr>
          <w:lang/>
        </w:rPr>
        <w:fldChar w:fldCharType="begin"/>
      </w:r>
      <w:r>
        <w:rPr>
          <w:lang/>
        </w:rPr>
        <w:instrText xml:space="preserve"> PAGEREF _Toc59203175 \h </w:instrText>
      </w:r>
      <w:r>
        <w:rPr>
          <w:lang/>
        </w:rPr>
        <w:fldChar w:fldCharType="separate"/>
      </w:r>
      <w:r>
        <w:rPr>
          <w:lang/>
        </w:rPr>
        <w:t>52</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"_Toc59203176"</w:instrText>
      </w:r>
      <w:r>
        <w:rPr>
          <w:rStyle w:val="97"/>
          <w:lang/>
        </w:rPr>
        <w:instrText xml:space="preserve"> </w:instrText>
      </w:r>
      <w:r>
        <w:rPr>
          <w:rStyle w:val="97"/>
          <w:lang/>
        </w:rPr>
        <w:fldChar w:fldCharType="separate"/>
      </w:r>
      <w:r>
        <w:rPr>
          <w:rStyle w:val="97"/>
          <w:rFonts w:hint="eastAsia" w:ascii="宋体" w:hAnsi="宋体" w:cs="宋体"/>
          <w:lang/>
        </w:rPr>
        <w:t>第</w:t>
      </w:r>
      <w:r>
        <w:rPr>
          <w:rStyle w:val="97"/>
          <w:rFonts w:ascii="宋体" w:hAnsi="宋体" w:cs="宋体"/>
          <w:lang/>
        </w:rPr>
        <w:t>12</w:t>
      </w:r>
      <w:r>
        <w:rPr>
          <w:rStyle w:val="97"/>
          <w:rFonts w:hint="eastAsia" w:ascii="宋体" w:hAnsi="宋体" w:cs="宋体"/>
          <w:lang/>
        </w:rPr>
        <w:t>条</w:t>
      </w:r>
      <w:r>
        <w:rPr>
          <w:rStyle w:val="97"/>
          <w:rFonts w:ascii="宋体" w:hAnsi="宋体" w:cs="宋体"/>
          <w:lang/>
        </w:rPr>
        <w:t xml:space="preserve"> </w:t>
      </w:r>
      <w:r>
        <w:rPr>
          <w:rStyle w:val="97"/>
          <w:rFonts w:hint="eastAsia" w:ascii="宋体" w:hAnsi="宋体" w:cs="宋体"/>
          <w:lang/>
        </w:rPr>
        <w:t>竣工后试验</w:t>
      </w:r>
      <w:r>
        <w:rPr>
          <w:lang/>
        </w:rPr>
        <w:tab/>
      </w:r>
      <w:r>
        <w:rPr>
          <w:lang/>
        </w:rPr>
        <w:fldChar w:fldCharType="begin"/>
      </w:r>
      <w:r>
        <w:rPr>
          <w:lang/>
        </w:rPr>
        <w:instrText xml:space="preserve"> PAGEREF _Toc59203176 \h </w:instrText>
      </w:r>
      <w:r>
        <w:rPr>
          <w:lang/>
        </w:rPr>
        <w:fldChar w:fldCharType="separate"/>
      </w:r>
      <w:r>
        <w:rPr>
          <w:lang/>
        </w:rPr>
        <w:t>52</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"_Toc59203177"</w:instrText>
      </w:r>
      <w:r>
        <w:rPr>
          <w:rStyle w:val="97"/>
          <w:lang/>
        </w:rPr>
        <w:instrText xml:space="preserve"> </w:instrText>
      </w:r>
      <w:r>
        <w:rPr>
          <w:rStyle w:val="97"/>
          <w:lang/>
        </w:rPr>
        <w:fldChar w:fldCharType="separate"/>
      </w:r>
      <w:r>
        <w:rPr>
          <w:rStyle w:val="97"/>
          <w:rFonts w:ascii="宋体" w:hAnsi="宋体" w:cs="宋体"/>
          <w:bCs/>
          <w:lang/>
        </w:rPr>
        <w:t xml:space="preserve">12.1 </w:t>
      </w:r>
      <w:r>
        <w:rPr>
          <w:rStyle w:val="97"/>
          <w:rFonts w:hint="eastAsia" w:ascii="宋体" w:hAnsi="宋体" w:cs="宋体"/>
          <w:bCs/>
          <w:lang/>
        </w:rPr>
        <w:t>竣工后试验的程序</w:t>
      </w:r>
      <w:r>
        <w:rPr>
          <w:lang/>
        </w:rPr>
        <w:tab/>
      </w:r>
      <w:r>
        <w:rPr>
          <w:lang/>
        </w:rPr>
        <w:fldChar w:fldCharType="begin"/>
      </w:r>
      <w:r>
        <w:rPr>
          <w:lang/>
        </w:rPr>
        <w:instrText xml:space="preserve"> PAGEREF _Toc59203177 \h </w:instrText>
      </w:r>
      <w:r>
        <w:rPr>
          <w:lang/>
        </w:rPr>
        <w:fldChar w:fldCharType="separate"/>
      </w:r>
      <w:r>
        <w:rPr>
          <w:lang/>
        </w:rPr>
        <w:t>52</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"_Toc59203178"</w:instrText>
      </w:r>
      <w:r>
        <w:rPr>
          <w:rStyle w:val="97"/>
          <w:lang/>
        </w:rPr>
        <w:instrText xml:space="preserve"> </w:instrText>
      </w:r>
      <w:r>
        <w:rPr>
          <w:rStyle w:val="97"/>
          <w:lang/>
        </w:rPr>
        <w:fldChar w:fldCharType="separate"/>
      </w:r>
      <w:r>
        <w:rPr>
          <w:rStyle w:val="97"/>
          <w:rFonts w:ascii="宋体" w:hAnsi="宋体" w:cs="宋体"/>
          <w:bCs/>
          <w:lang/>
        </w:rPr>
        <w:t xml:space="preserve">12.2 </w:t>
      </w:r>
      <w:r>
        <w:rPr>
          <w:rStyle w:val="97"/>
          <w:rFonts w:hint="eastAsia" w:ascii="宋体" w:hAnsi="宋体" w:cs="宋体"/>
          <w:bCs/>
          <w:lang/>
        </w:rPr>
        <w:t>延误的试验</w:t>
      </w:r>
      <w:r>
        <w:rPr>
          <w:lang/>
        </w:rPr>
        <w:tab/>
      </w:r>
      <w:r>
        <w:rPr>
          <w:lang/>
        </w:rPr>
        <w:fldChar w:fldCharType="begin"/>
      </w:r>
      <w:r>
        <w:rPr>
          <w:lang/>
        </w:rPr>
        <w:instrText xml:space="preserve"> PAGEREF _Toc59203178 \h </w:instrText>
      </w:r>
      <w:r>
        <w:rPr>
          <w:lang/>
        </w:rPr>
        <w:fldChar w:fldCharType="separate"/>
      </w:r>
      <w:r>
        <w:rPr>
          <w:lang/>
        </w:rPr>
        <w:t>52</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"_Toc59203179"</w:instrText>
      </w:r>
      <w:r>
        <w:rPr>
          <w:rStyle w:val="97"/>
          <w:lang/>
        </w:rPr>
        <w:instrText xml:space="preserve"> </w:instrText>
      </w:r>
      <w:r>
        <w:rPr>
          <w:rStyle w:val="97"/>
          <w:lang/>
        </w:rPr>
        <w:fldChar w:fldCharType="separate"/>
      </w:r>
      <w:r>
        <w:rPr>
          <w:rStyle w:val="97"/>
          <w:rFonts w:ascii="宋体" w:hAnsi="宋体" w:cs="宋体"/>
          <w:bCs/>
          <w:lang/>
        </w:rPr>
        <w:t xml:space="preserve">12.3 </w:t>
      </w:r>
      <w:r>
        <w:rPr>
          <w:rStyle w:val="97"/>
          <w:rFonts w:hint="eastAsia" w:ascii="宋体" w:hAnsi="宋体" w:cs="宋体"/>
          <w:bCs/>
          <w:lang/>
        </w:rPr>
        <w:t>重新试验</w:t>
      </w:r>
      <w:r>
        <w:rPr>
          <w:lang/>
        </w:rPr>
        <w:tab/>
      </w:r>
      <w:r>
        <w:rPr>
          <w:lang/>
        </w:rPr>
        <w:fldChar w:fldCharType="begin"/>
      </w:r>
      <w:r>
        <w:rPr>
          <w:lang/>
        </w:rPr>
        <w:instrText xml:space="preserve"> PAGEREF _Toc59203179 \h </w:instrText>
      </w:r>
      <w:r>
        <w:rPr>
          <w:lang/>
        </w:rPr>
        <w:fldChar w:fldCharType="separate"/>
      </w:r>
      <w:r>
        <w:rPr>
          <w:lang/>
        </w:rPr>
        <w:t>52</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"_Toc59203180"</w:instrText>
      </w:r>
      <w:r>
        <w:rPr>
          <w:rStyle w:val="97"/>
          <w:lang/>
        </w:rPr>
        <w:instrText xml:space="preserve"> </w:instrText>
      </w:r>
      <w:r>
        <w:rPr>
          <w:rStyle w:val="97"/>
          <w:lang/>
        </w:rPr>
        <w:fldChar w:fldCharType="separate"/>
      </w:r>
      <w:r>
        <w:rPr>
          <w:rStyle w:val="97"/>
          <w:rFonts w:ascii="宋体" w:hAnsi="宋体" w:cs="宋体"/>
          <w:bCs/>
          <w:lang/>
        </w:rPr>
        <w:t xml:space="preserve">12.4 </w:t>
      </w:r>
      <w:r>
        <w:rPr>
          <w:rStyle w:val="97"/>
          <w:rFonts w:hint="eastAsia" w:ascii="宋体" w:hAnsi="宋体" w:cs="宋体"/>
          <w:bCs/>
          <w:lang/>
        </w:rPr>
        <w:t>未能通过竣工后试验</w:t>
      </w:r>
      <w:r>
        <w:rPr>
          <w:lang/>
        </w:rPr>
        <w:tab/>
      </w:r>
      <w:r>
        <w:rPr>
          <w:lang/>
        </w:rPr>
        <w:fldChar w:fldCharType="begin"/>
      </w:r>
      <w:r>
        <w:rPr>
          <w:lang/>
        </w:rPr>
        <w:instrText xml:space="preserve"> PAGEREF _Toc59203180 \h </w:instrText>
      </w:r>
      <w:r>
        <w:rPr>
          <w:lang/>
        </w:rPr>
        <w:fldChar w:fldCharType="separate"/>
      </w:r>
      <w:r>
        <w:rPr>
          <w:lang/>
        </w:rPr>
        <w:t>52</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"_Toc59203181"</w:instrText>
      </w:r>
      <w:r>
        <w:rPr>
          <w:rStyle w:val="97"/>
          <w:lang/>
        </w:rPr>
        <w:instrText xml:space="preserve"> </w:instrText>
      </w:r>
      <w:r>
        <w:rPr>
          <w:rStyle w:val="97"/>
          <w:lang/>
        </w:rPr>
        <w:fldChar w:fldCharType="separate"/>
      </w:r>
      <w:r>
        <w:rPr>
          <w:rStyle w:val="97"/>
          <w:rFonts w:hint="eastAsia" w:ascii="宋体" w:hAnsi="宋体" w:cs="宋体"/>
          <w:lang/>
        </w:rPr>
        <w:t>第</w:t>
      </w:r>
      <w:r>
        <w:rPr>
          <w:rStyle w:val="97"/>
          <w:rFonts w:ascii="宋体" w:hAnsi="宋体" w:cs="宋体"/>
          <w:lang/>
        </w:rPr>
        <w:t>13</w:t>
      </w:r>
      <w:r>
        <w:rPr>
          <w:rStyle w:val="97"/>
          <w:rFonts w:hint="eastAsia" w:ascii="宋体" w:hAnsi="宋体" w:cs="宋体"/>
          <w:lang/>
        </w:rPr>
        <w:t>条</w:t>
      </w:r>
      <w:r>
        <w:rPr>
          <w:rStyle w:val="97"/>
          <w:rFonts w:ascii="宋体" w:hAnsi="宋体" w:cs="宋体"/>
          <w:lang/>
        </w:rPr>
        <w:t xml:space="preserve"> </w:t>
      </w:r>
      <w:r>
        <w:rPr>
          <w:rStyle w:val="97"/>
          <w:rFonts w:hint="eastAsia" w:ascii="宋体" w:hAnsi="宋体" w:cs="宋体"/>
          <w:lang/>
        </w:rPr>
        <w:t>变更与调整</w:t>
      </w:r>
      <w:r>
        <w:rPr>
          <w:lang/>
        </w:rPr>
        <w:tab/>
      </w:r>
      <w:r>
        <w:rPr>
          <w:lang/>
        </w:rPr>
        <w:fldChar w:fldCharType="begin"/>
      </w:r>
      <w:r>
        <w:rPr>
          <w:lang/>
        </w:rPr>
        <w:instrText xml:space="preserve"> PAGEREF _Toc59203181 \h </w:instrText>
      </w:r>
      <w:r>
        <w:rPr>
          <w:lang/>
        </w:rPr>
        <w:fldChar w:fldCharType="separate"/>
      </w:r>
      <w:r>
        <w:rPr>
          <w:lang/>
        </w:rPr>
        <w:t>53</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"_Toc59203182"</w:instrText>
      </w:r>
      <w:r>
        <w:rPr>
          <w:rStyle w:val="97"/>
          <w:lang/>
        </w:rPr>
        <w:instrText xml:space="preserve"> </w:instrText>
      </w:r>
      <w:r>
        <w:rPr>
          <w:rStyle w:val="97"/>
          <w:lang/>
        </w:rPr>
        <w:fldChar w:fldCharType="separate"/>
      </w:r>
      <w:r>
        <w:rPr>
          <w:rStyle w:val="97"/>
          <w:rFonts w:ascii="宋体" w:hAnsi="宋体" w:cs="宋体"/>
          <w:bCs/>
          <w:lang/>
        </w:rPr>
        <w:t xml:space="preserve">13.1 </w:t>
      </w:r>
      <w:r>
        <w:rPr>
          <w:rStyle w:val="97"/>
          <w:rFonts w:hint="eastAsia" w:ascii="宋体" w:hAnsi="宋体" w:cs="宋体"/>
          <w:bCs/>
          <w:lang/>
        </w:rPr>
        <w:t>发包人变更权</w:t>
      </w:r>
      <w:r>
        <w:rPr>
          <w:lang/>
        </w:rPr>
        <w:tab/>
      </w:r>
      <w:r>
        <w:rPr>
          <w:lang/>
        </w:rPr>
        <w:fldChar w:fldCharType="begin"/>
      </w:r>
      <w:r>
        <w:rPr>
          <w:lang/>
        </w:rPr>
        <w:instrText xml:space="preserve"> PAGEREF _Toc59203182 \h </w:instrText>
      </w:r>
      <w:r>
        <w:rPr>
          <w:lang/>
        </w:rPr>
        <w:fldChar w:fldCharType="separate"/>
      </w:r>
      <w:r>
        <w:rPr>
          <w:lang/>
        </w:rPr>
        <w:t>53</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"_Toc59203183"</w:instrText>
      </w:r>
      <w:r>
        <w:rPr>
          <w:rStyle w:val="97"/>
          <w:lang/>
        </w:rPr>
        <w:instrText xml:space="preserve"> </w:instrText>
      </w:r>
      <w:r>
        <w:rPr>
          <w:rStyle w:val="97"/>
          <w:lang/>
        </w:rPr>
        <w:fldChar w:fldCharType="separate"/>
      </w:r>
      <w:r>
        <w:rPr>
          <w:rStyle w:val="97"/>
          <w:rFonts w:ascii="宋体" w:hAnsi="宋体" w:cs="宋体"/>
          <w:bCs/>
          <w:lang/>
        </w:rPr>
        <w:t xml:space="preserve">13.2 </w:t>
      </w:r>
      <w:r>
        <w:rPr>
          <w:rStyle w:val="97"/>
          <w:rFonts w:hint="eastAsia" w:ascii="宋体" w:hAnsi="宋体" w:cs="宋体"/>
          <w:bCs/>
          <w:lang/>
        </w:rPr>
        <w:t>承包人的合理化建议</w:t>
      </w:r>
      <w:r>
        <w:rPr>
          <w:lang/>
        </w:rPr>
        <w:tab/>
      </w:r>
      <w:r>
        <w:rPr>
          <w:lang/>
        </w:rPr>
        <w:fldChar w:fldCharType="begin"/>
      </w:r>
      <w:r>
        <w:rPr>
          <w:lang/>
        </w:rPr>
        <w:instrText xml:space="preserve"> PAGEREF _Toc59203183 \h </w:instrText>
      </w:r>
      <w:r>
        <w:rPr>
          <w:lang/>
        </w:rPr>
        <w:fldChar w:fldCharType="separate"/>
      </w:r>
      <w:r>
        <w:rPr>
          <w:lang/>
        </w:rPr>
        <w:t>53</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"_Toc59203184"</w:instrText>
      </w:r>
      <w:r>
        <w:rPr>
          <w:rStyle w:val="97"/>
          <w:lang/>
        </w:rPr>
        <w:instrText xml:space="preserve"> </w:instrText>
      </w:r>
      <w:r>
        <w:rPr>
          <w:rStyle w:val="97"/>
          <w:lang/>
        </w:rPr>
        <w:fldChar w:fldCharType="separate"/>
      </w:r>
      <w:r>
        <w:rPr>
          <w:rStyle w:val="97"/>
          <w:rFonts w:ascii="宋体" w:hAnsi="宋体" w:cs="宋体"/>
          <w:bCs/>
          <w:lang/>
        </w:rPr>
        <w:t xml:space="preserve">13.3 </w:t>
      </w:r>
      <w:r>
        <w:rPr>
          <w:rStyle w:val="97"/>
          <w:rFonts w:hint="eastAsia" w:ascii="宋体" w:hAnsi="宋体" w:cs="宋体"/>
          <w:bCs/>
          <w:lang/>
        </w:rPr>
        <w:t>变更程序</w:t>
      </w:r>
      <w:r>
        <w:rPr>
          <w:lang/>
        </w:rPr>
        <w:tab/>
      </w:r>
      <w:r>
        <w:rPr>
          <w:lang/>
        </w:rPr>
        <w:fldChar w:fldCharType="begin"/>
      </w:r>
      <w:r>
        <w:rPr>
          <w:lang/>
        </w:rPr>
        <w:instrText xml:space="preserve"> PAGEREF _Toc59203184 \h </w:instrText>
      </w:r>
      <w:r>
        <w:rPr>
          <w:lang/>
        </w:rPr>
        <w:fldChar w:fldCharType="separate"/>
      </w:r>
      <w:r>
        <w:rPr>
          <w:lang/>
        </w:rPr>
        <w:t>54</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"_Toc59203185"</w:instrText>
      </w:r>
      <w:r>
        <w:rPr>
          <w:rStyle w:val="97"/>
          <w:lang/>
        </w:rPr>
        <w:instrText xml:space="preserve"> </w:instrText>
      </w:r>
      <w:r>
        <w:rPr>
          <w:rStyle w:val="97"/>
          <w:lang/>
        </w:rPr>
        <w:fldChar w:fldCharType="separate"/>
      </w:r>
      <w:r>
        <w:rPr>
          <w:rStyle w:val="97"/>
          <w:rFonts w:ascii="宋体" w:hAnsi="宋体" w:cs="宋体"/>
          <w:bCs/>
          <w:lang/>
        </w:rPr>
        <w:t xml:space="preserve">13.4 </w:t>
      </w:r>
      <w:r>
        <w:rPr>
          <w:rStyle w:val="97"/>
          <w:rFonts w:hint="eastAsia" w:ascii="宋体" w:hAnsi="宋体" w:cs="宋体"/>
          <w:bCs/>
          <w:lang/>
        </w:rPr>
        <w:t>暂估价</w:t>
      </w:r>
      <w:r>
        <w:rPr>
          <w:lang/>
        </w:rPr>
        <w:tab/>
      </w:r>
      <w:r>
        <w:rPr>
          <w:lang/>
        </w:rPr>
        <w:fldChar w:fldCharType="begin"/>
      </w:r>
      <w:r>
        <w:rPr>
          <w:lang/>
        </w:rPr>
        <w:instrText xml:space="preserve"> PAGEREF _Toc59203185 \h </w:instrText>
      </w:r>
      <w:r>
        <w:rPr>
          <w:lang/>
        </w:rPr>
        <w:fldChar w:fldCharType="separate"/>
      </w:r>
      <w:r>
        <w:rPr>
          <w:lang/>
        </w:rPr>
        <w:t>54</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"_Toc59203186"</w:instrText>
      </w:r>
      <w:r>
        <w:rPr>
          <w:rStyle w:val="97"/>
          <w:lang/>
        </w:rPr>
        <w:instrText xml:space="preserve"> </w:instrText>
      </w:r>
      <w:r>
        <w:rPr>
          <w:rStyle w:val="97"/>
          <w:lang/>
        </w:rPr>
        <w:fldChar w:fldCharType="separate"/>
      </w:r>
      <w:r>
        <w:rPr>
          <w:rStyle w:val="97"/>
          <w:rFonts w:ascii="宋体" w:hAnsi="宋体" w:cs="宋体"/>
          <w:bCs/>
          <w:lang/>
        </w:rPr>
        <w:t xml:space="preserve">13.5 </w:t>
      </w:r>
      <w:r>
        <w:rPr>
          <w:rStyle w:val="97"/>
          <w:rFonts w:hint="eastAsia" w:ascii="宋体" w:hAnsi="宋体" w:cs="宋体"/>
          <w:bCs/>
          <w:lang/>
        </w:rPr>
        <w:t>暂列金额</w:t>
      </w:r>
      <w:r>
        <w:rPr>
          <w:lang/>
        </w:rPr>
        <w:tab/>
      </w:r>
      <w:r>
        <w:rPr>
          <w:lang/>
        </w:rPr>
        <w:fldChar w:fldCharType="begin"/>
      </w:r>
      <w:r>
        <w:rPr>
          <w:lang/>
        </w:rPr>
        <w:instrText xml:space="preserve"> PAGEREF _Toc59203186 \h </w:instrText>
      </w:r>
      <w:r>
        <w:rPr>
          <w:lang/>
        </w:rPr>
        <w:fldChar w:fldCharType="separate"/>
      </w:r>
      <w:r>
        <w:rPr>
          <w:lang/>
        </w:rPr>
        <w:t>55</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"_Toc59203187"</w:instrText>
      </w:r>
      <w:r>
        <w:rPr>
          <w:rStyle w:val="97"/>
          <w:lang/>
        </w:rPr>
        <w:instrText xml:space="preserve"> </w:instrText>
      </w:r>
      <w:r>
        <w:rPr>
          <w:rStyle w:val="97"/>
          <w:lang/>
        </w:rPr>
        <w:fldChar w:fldCharType="separate"/>
      </w:r>
      <w:r>
        <w:rPr>
          <w:rStyle w:val="97"/>
          <w:rFonts w:ascii="宋体" w:hAnsi="宋体" w:cs="宋体"/>
          <w:bCs/>
          <w:lang/>
        </w:rPr>
        <w:t xml:space="preserve">13.6 </w:t>
      </w:r>
      <w:r>
        <w:rPr>
          <w:rStyle w:val="97"/>
          <w:rFonts w:hint="eastAsia" w:ascii="宋体" w:hAnsi="宋体" w:cs="宋体"/>
          <w:bCs/>
          <w:lang/>
        </w:rPr>
        <w:t>计日工</w:t>
      </w:r>
      <w:r>
        <w:rPr>
          <w:lang/>
        </w:rPr>
        <w:tab/>
      </w:r>
      <w:r>
        <w:rPr>
          <w:lang/>
        </w:rPr>
        <w:fldChar w:fldCharType="begin"/>
      </w:r>
      <w:r>
        <w:rPr>
          <w:lang/>
        </w:rPr>
        <w:instrText xml:space="preserve"> PAGEREF _Toc59203187 \h </w:instrText>
      </w:r>
      <w:r>
        <w:rPr>
          <w:lang/>
        </w:rPr>
        <w:fldChar w:fldCharType="separate"/>
      </w:r>
      <w:r>
        <w:rPr>
          <w:lang/>
        </w:rPr>
        <w:t>55</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"_Toc59203188"</w:instrText>
      </w:r>
      <w:r>
        <w:rPr>
          <w:rStyle w:val="97"/>
          <w:lang/>
        </w:rPr>
        <w:instrText xml:space="preserve"> </w:instrText>
      </w:r>
      <w:r>
        <w:rPr>
          <w:rStyle w:val="97"/>
          <w:lang/>
        </w:rPr>
        <w:fldChar w:fldCharType="separate"/>
      </w:r>
      <w:r>
        <w:rPr>
          <w:rStyle w:val="97"/>
          <w:rFonts w:ascii="宋体" w:hAnsi="宋体" w:cs="宋体"/>
          <w:bCs/>
          <w:lang/>
        </w:rPr>
        <w:t xml:space="preserve">13.7 </w:t>
      </w:r>
      <w:r>
        <w:rPr>
          <w:rStyle w:val="97"/>
          <w:rFonts w:hint="eastAsia" w:ascii="宋体" w:hAnsi="宋体" w:cs="宋体"/>
          <w:bCs/>
          <w:lang/>
        </w:rPr>
        <w:t>法律变化引起的调整</w:t>
      </w:r>
      <w:r>
        <w:rPr>
          <w:lang/>
        </w:rPr>
        <w:tab/>
      </w:r>
      <w:r>
        <w:rPr>
          <w:lang/>
        </w:rPr>
        <w:fldChar w:fldCharType="begin"/>
      </w:r>
      <w:r>
        <w:rPr>
          <w:lang/>
        </w:rPr>
        <w:instrText xml:space="preserve"> PAGEREF _Toc59203188 \h </w:instrText>
      </w:r>
      <w:r>
        <w:rPr>
          <w:lang/>
        </w:rPr>
        <w:fldChar w:fldCharType="separate"/>
      </w:r>
      <w:r>
        <w:rPr>
          <w:lang/>
        </w:rPr>
        <w:t>56</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"_Toc59203189"</w:instrText>
      </w:r>
      <w:r>
        <w:rPr>
          <w:rStyle w:val="97"/>
          <w:lang/>
        </w:rPr>
        <w:instrText xml:space="preserve"> </w:instrText>
      </w:r>
      <w:r>
        <w:rPr>
          <w:rStyle w:val="97"/>
          <w:lang/>
        </w:rPr>
        <w:fldChar w:fldCharType="separate"/>
      </w:r>
      <w:r>
        <w:rPr>
          <w:rStyle w:val="97"/>
          <w:rFonts w:ascii="宋体" w:hAnsi="宋体" w:cs="宋体"/>
          <w:bCs/>
          <w:lang/>
        </w:rPr>
        <w:t xml:space="preserve">13.8 </w:t>
      </w:r>
      <w:r>
        <w:rPr>
          <w:rStyle w:val="97"/>
          <w:rFonts w:hint="eastAsia" w:ascii="宋体" w:hAnsi="宋体" w:cs="宋体"/>
          <w:bCs/>
          <w:lang/>
        </w:rPr>
        <w:t>市场价格波动引起的调整</w:t>
      </w:r>
      <w:r>
        <w:rPr>
          <w:lang/>
        </w:rPr>
        <w:tab/>
      </w:r>
      <w:r>
        <w:rPr>
          <w:lang/>
        </w:rPr>
        <w:fldChar w:fldCharType="begin"/>
      </w:r>
      <w:r>
        <w:rPr>
          <w:lang/>
        </w:rPr>
        <w:instrText xml:space="preserve"> PAGEREF _Toc59203189 \h </w:instrText>
      </w:r>
      <w:r>
        <w:rPr>
          <w:lang/>
        </w:rPr>
        <w:fldChar w:fldCharType="separate"/>
      </w:r>
      <w:r>
        <w:rPr>
          <w:lang/>
        </w:rPr>
        <w:t>56</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"_Toc59203190"</w:instrText>
      </w:r>
      <w:r>
        <w:rPr>
          <w:rStyle w:val="97"/>
          <w:lang/>
        </w:rPr>
        <w:instrText xml:space="preserve"> </w:instrText>
      </w:r>
      <w:r>
        <w:rPr>
          <w:rStyle w:val="97"/>
          <w:lang/>
        </w:rPr>
        <w:fldChar w:fldCharType="separate"/>
      </w:r>
      <w:r>
        <w:rPr>
          <w:rStyle w:val="97"/>
          <w:rFonts w:hint="eastAsia" w:ascii="宋体" w:hAnsi="宋体" w:cs="宋体"/>
          <w:lang/>
        </w:rPr>
        <w:t>第</w:t>
      </w:r>
      <w:r>
        <w:rPr>
          <w:rStyle w:val="97"/>
          <w:rFonts w:ascii="宋体" w:hAnsi="宋体" w:cs="宋体"/>
          <w:lang/>
        </w:rPr>
        <w:t>14</w:t>
      </w:r>
      <w:r>
        <w:rPr>
          <w:rStyle w:val="97"/>
          <w:rFonts w:hint="eastAsia" w:ascii="宋体" w:hAnsi="宋体" w:cs="宋体"/>
          <w:lang/>
        </w:rPr>
        <w:t>条</w:t>
      </w:r>
      <w:r>
        <w:rPr>
          <w:rStyle w:val="97"/>
          <w:rFonts w:ascii="宋体" w:hAnsi="宋体" w:cs="宋体"/>
          <w:lang/>
        </w:rPr>
        <w:t xml:space="preserve"> </w:t>
      </w:r>
      <w:r>
        <w:rPr>
          <w:rStyle w:val="97"/>
          <w:rFonts w:hint="eastAsia" w:ascii="宋体" w:hAnsi="宋体" w:cs="宋体"/>
          <w:lang/>
        </w:rPr>
        <w:t>合同价格与支付</w:t>
      </w:r>
      <w:r>
        <w:rPr>
          <w:lang/>
        </w:rPr>
        <w:tab/>
      </w:r>
      <w:r>
        <w:rPr>
          <w:lang/>
        </w:rPr>
        <w:fldChar w:fldCharType="begin"/>
      </w:r>
      <w:r>
        <w:rPr>
          <w:lang/>
        </w:rPr>
        <w:instrText xml:space="preserve"> PAGEREF _Toc59203190 \h </w:instrText>
      </w:r>
      <w:r>
        <w:rPr>
          <w:lang/>
        </w:rPr>
        <w:fldChar w:fldCharType="separate"/>
      </w:r>
      <w:r>
        <w:rPr>
          <w:lang/>
        </w:rPr>
        <w:t>57</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"_Toc59203191"</w:instrText>
      </w:r>
      <w:r>
        <w:rPr>
          <w:rStyle w:val="97"/>
          <w:lang/>
        </w:rPr>
        <w:instrText xml:space="preserve"> </w:instrText>
      </w:r>
      <w:r>
        <w:rPr>
          <w:rStyle w:val="97"/>
          <w:lang/>
        </w:rPr>
        <w:fldChar w:fldCharType="separate"/>
      </w:r>
      <w:r>
        <w:rPr>
          <w:rStyle w:val="97"/>
          <w:rFonts w:ascii="宋体" w:hAnsi="宋体" w:cs="宋体"/>
          <w:bCs/>
          <w:lang/>
        </w:rPr>
        <w:t xml:space="preserve">14.1 </w:t>
      </w:r>
      <w:r>
        <w:rPr>
          <w:rStyle w:val="97"/>
          <w:rFonts w:hint="eastAsia" w:ascii="宋体" w:hAnsi="宋体" w:cs="宋体"/>
          <w:bCs/>
          <w:lang/>
        </w:rPr>
        <w:t>合同价格形式</w:t>
      </w:r>
      <w:r>
        <w:rPr>
          <w:lang/>
        </w:rPr>
        <w:tab/>
      </w:r>
      <w:r>
        <w:rPr>
          <w:lang/>
        </w:rPr>
        <w:fldChar w:fldCharType="begin"/>
      </w:r>
      <w:r>
        <w:rPr>
          <w:lang/>
        </w:rPr>
        <w:instrText xml:space="preserve"> PAGEREF _Toc59203191 \h </w:instrText>
      </w:r>
      <w:r>
        <w:rPr>
          <w:lang/>
        </w:rPr>
        <w:fldChar w:fldCharType="separate"/>
      </w:r>
      <w:r>
        <w:rPr>
          <w:lang/>
        </w:rPr>
        <w:t>57</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"_Toc59203192"</w:instrText>
      </w:r>
      <w:r>
        <w:rPr>
          <w:rStyle w:val="97"/>
          <w:lang/>
        </w:rPr>
        <w:instrText xml:space="preserve"> </w:instrText>
      </w:r>
      <w:r>
        <w:rPr>
          <w:rStyle w:val="97"/>
          <w:lang/>
        </w:rPr>
        <w:fldChar w:fldCharType="separate"/>
      </w:r>
      <w:r>
        <w:rPr>
          <w:rStyle w:val="97"/>
          <w:rFonts w:ascii="宋体" w:hAnsi="宋体" w:cs="宋体"/>
          <w:bCs/>
          <w:lang/>
        </w:rPr>
        <w:t xml:space="preserve">14.2 </w:t>
      </w:r>
      <w:r>
        <w:rPr>
          <w:rStyle w:val="97"/>
          <w:rFonts w:hint="eastAsia" w:ascii="宋体" w:hAnsi="宋体" w:cs="宋体"/>
          <w:bCs/>
          <w:lang/>
        </w:rPr>
        <w:t>预付款</w:t>
      </w:r>
      <w:r>
        <w:rPr>
          <w:lang/>
        </w:rPr>
        <w:tab/>
      </w:r>
      <w:r>
        <w:rPr>
          <w:lang/>
        </w:rPr>
        <w:fldChar w:fldCharType="begin"/>
      </w:r>
      <w:r>
        <w:rPr>
          <w:lang/>
        </w:rPr>
        <w:instrText xml:space="preserve"> PAGEREF _Toc59203192 \h </w:instrText>
      </w:r>
      <w:r>
        <w:rPr>
          <w:lang/>
        </w:rPr>
        <w:fldChar w:fldCharType="separate"/>
      </w:r>
      <w:r>
        <w:rPr>
          <w:lang/>
        </w:rPr>
        <w:t>58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"_Toc59203193"</w:instrText>
      </w:r>
      <w:r>
        <w:rPr>
          <w:rStyle w:val="97"/>
          <w:lang/>
        </w:rPr>
        <w:instrText xml:space="preserve"> </w:instrText>
      </w:r>
      <w:r>
        <w:rPr>
          <w:rStyle w:val="97"/>
          <w:lang/>
        </w:rPr>
        <w:fldChar w:fldCharType="separate"/>
      </w:r>
      <w:r>
        <w:rPr>
          <w:rStyle w:val="97"/>
          <w:rFonts w:ascii="宋体" w:hAnsi="宋体" w:cs="宋体"/>
          <w:bCs/>
          <w:lang/>
        </w:rPr>
        <w:t xml:space="preserve">14.3 </w:t>
      </w:r>
      <w:r>
        <w:rPr>
          <w:rStyle w:val="97"/>
          <w:rFonts w:hint="eastAsia" w:ascii="宋体" w:hAnsi="宋体" w:cs="宋体"/>
          <w:bCs/>
          <w:lang/>
        </w:rPr>
        <w:t>工程进度款</w:t>
      </w:r>
      <w:r>
        <w:rPr>
          <w:lang/>
        </w:rPr>
        <w:tab/>
      </w:r>
      <w:r>
        <w:rPr>
          <w:lang/>
        </w:rPr>
        <w:fldChar w:fldCharType="begin"/>
      </w:r>
      <w:r>
        <w:rPr>
          <w:lang/>
        </w:rPr>
        <w:instrText xml:space="preserve"> PAGEREF _Toc59203193 \h </w:instrText>
      </w:r>
      <w:r>
        <w:rPr>
          <w:lang/>
        </w:rPr>
        <w:fldChar w:fldCharType="separate"/>
      </w:r>
      <w:r>
        <w:rPr>
          <w:lang/>
        </w:rPr>
        <w:t>58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"_Toc59203194"</w:instrText>
      </w:r>
      <w:r>
        <w:rPr>
          <w:rStyle w:val="97"/>
          <w:lang/>
        </w:rPr>
        <w:instrText xml:space="preserve"> </w:instrText>
      </w:r>
      <w:r>
        <w:rPr>
          <w:rStyle w:val="97"/>
          <w:lang/>
        </w:rPr>
        <w:fldChar w:fldCharType="separate"/>
      </w:r>
      <w:r>
        <w:rPr>
          <w:rStyle w:val="97"/>
          <w:rFonts w:ascii="宋体" w:hAnsi="宋体" w:cs="宋体"/>
          <w:bCs/>
          <w:lang/>
        </w:rPr>
        <w:t xml:space="preserve">14.4 </w:t>
      </w:r>
      <w:r>
        <w:rPr>
          <w:rStyle w:val="97"/>
          <w:rFonts w:hint="eastAsia" w:ascii="宋体" w:hAnsi="宋体" w:cs="宋体"/>
          <w:bCs/>
          <w:lang/>
        </w:rPr>
        <w:t>付款计划表</w:t>
      </w:r>
      <w:r>
        <w:rPr>
          <w:lang/>
        </w:rPr>
        <w:tab/>
      </w:r>
      <w:r>
        <w:rPr>
          <w:lang/>
        </w:rPr>
        <w:fldChar w:fldCharType="begin"/>
      </w:r>
      <w:r>
        <w:rPr>
          <w:lang/>
        </w:rPr>
        <w:instrText xml:space="preserve"> PAGEREF _Toc59203194 \h </w:instrText>
      </w:r>
      <w:r>
        <w:rPr>
          <w:lang/>
        </w:rPr>
        <w:fldChar w:fldCharType="separate"/>
      </w:r>
      <w:r>
        <w:rPr>
          <w:lang/>
        </w:rPr>
        <w:t>60</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"_Toc59203195"</w:instrText>
      </w:r>
      <w:r>
        <w:rPr>
          <w:rStyle w:val="97"/>
          <w:lang/>
        </w:rPr>
        <w:instrText xml:space="preserve"> </w:instrText>
      </w:r>
      <w:r>
        <w:rPr>
          <w:rStyle w:val="97"/>
          <w:lang/>
        </w:rPr>
        <w:fldChar w:fldCharType="separate"/>
      </w:r>
      <w:r>
        <w:rPr>
          <w:rStyle w:val="97"/>
          <w:rFonts w:ascii="宋体" w:hAnsi="宋体" w:cs="宋体"/>
          <w:bCs/>
          <w:lang/>
        </w:rPr>
        <w:t xml:space="preserve">14.5 </w:t>
      </w:r>
      <w:r>
        <w:rPr>
          <w:rStyle w:val="97"/>
          <w:rFonts w:hint="eastAsia" w:ascii="宋体" w:hAnsi="宋体" w:cs="宋体"/>
          <w:bCs/>
          <w:lang/>
        </w:rPr>
        <w:t>竣工结算</w:t>
      </w:r>
      <w:r>
        <w:rPr>
          <w:lang/>
        </w:rPr>
        <w:tab/>
      </w:r>
      <w:r>
        <w:rPr>
          <w:lang/>
        </w:rPr>
        <w:fldChar w:fldCharType="begin"/>
      </w:r>
      <w:r>
        <w:rPr>
          <w:lang/>
        </w:rPr>
        <w:instrText xml:space="preserve"> PAGEREF _Toc59203195 \h </w:instrText>
      </w:r>
      <w:r>
        <w:rPr>
          <w:lang/>
        </w:rPr>
        <w:fldChar w:fldCharType="separate"/>
      </w:r>
      <w:r>
        <w:rPr>
          <w:lang/>
        </w:rPr>
        <w:t>60</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"_Toc59203196"</w:instrText>
      </w:r>
      <w:r>
        <w:rPr>
          <w:rStyle w:val="97"/>
          <w:lang/>
        </w:rPr>
        <w:instrText xml:space="preserve"> </w:instrText>
      </w:r>
      <w:r>
        <w:rPr>
          <w:rStyle w:val="97"/>
          <w:lang/>
        </w:rPr>
        <w:fldChar w:fldCharType="separate"/>
      </w:r>
      <w:r>
        <w:rPr>
          <w:rStyle w:val="97"/>
          <w:rFonts w:ascii="宋体" w:hAnsi="宋体" w:cs="宋体"/>
          <w:bCs/>
          <w:lang/>
        </w:rPr>
        <w:t xml:space="preserve">14.6 </w:t>
      </w:r>
      <w:r>
        <w:rPr>
          <w:rStyle w:val="97"/>
          <w:rFonts w:hint="eastAsia" w:ascii="宋体" w:hAnsi="宋体" w:cs="宋体"/>
          <w:bCs/>
          <w:lang/>
        </w:rPr>
        <w:t>质量保证金</w:t>
      </w:r>
      <w:r>
        <w:rPr>
          <w:lang/>
        </w:rPr>
        <w:tab/>
      </w:r>
      <w:r>
        <w:rPr>
          <w:lang/>
        </w:rPr>
        <w:fldChar w:fldCharType="begin"/>
      </w:r>
      <w:r>
        <w:rPr>
          <w:lang/>
        </w:rPr>
        <w:instrText xml:space="preserve"> PAGEREF _Toc59203196 \h </w:instrText>
      </w:r>
      <w:r>
        <w:rPr>
          <w:lang/>
        </w:rPr>
        <w:fldChar w:fldCharType="separate"/>
      </w:r>
      <w:r>
        <w:rPr>
          <w:lang/>
        </w:rPr>
        <w:t>61</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"_Toc59203197"</w:instrText>
      </w:r>
      <w:r>
        <w:rPr>
          <w:rStyle w:val="97"/>
          <w:lang/>
        </w:rPr>
        <w:instrText xml:space="preserve"> </w:instrText>
      </w:r>
      <w:r>
        <w:rPr>
          <w:rStyle w:val="97"/>
          <w:lang/>
        </w:rPr>
        <w:fldChar w:fldCharType="separate"/>
      </w:r>
      <w:r>
        <w:rPr>
          <w:rStyle w:val="97"/>
          <w:rFonts w:ascii="宋体" w:hAnsi="宋体" w:cs="宋体"/>
          <w:bCs/>
          <w:lang/>
        </w:rPr>
        <w:t xml:space="preserve">14.7 </w:t>
      </w:r>
      <w:r>
        <w:rPr>
          <w:rStyle w:val="97"/>
          <w:rFonts w:hint="eastAsia" w:ascii="宋体" w:hAnsi="宋体" w:cs="宋体"/>
          <w:bCs/>
          <w:lang/>
        </w:rPr>
        <w:t>最终结清</w:t>
      </w:r>
      <w:r>
        <w:rPr>
          <w:lang/>
        </w:rPr>
        <w:tab/>
      </w:r>
      <w:r>
        <w:rPr>
          <w:lang/>
        </w:rPr>
        <w:fldChar w:fldCharType="begin"/>
      </w:r>
      <w:r>
        <w:rPr>
          <w:lang/>
        </w:rPr>
        <w:instrText xml:space="preserve"> PAGEREF _Toc59203197 \h </w:instrText>
      </w:r>
      <w:r>
        <w:rPr>
          <w:lang/>
        </w:rPr>
        <w:fldChar w:fldCharType="separate"/>
      </w:r>
      <w:r>
        <w:rPr>
          <w:lang/>
        </w:rPr>
        <w:t>62</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"_Toc59203198"</w:instrText>
      </w:r>
      <w:r>
        <w:rPr>
          <w:rStyle w:val="97"/>
          <w:lang/>
        </w:rPr>
        <w:instrText xml:space="preserve"> </w:instrText>
      </w:r>
      <w:r>
        <w:rPr>
          <w:rStyle w:val="97"/>
          <w:lang/>
        </w:rPr>
        <w:fldChar w:fldCharType="separate"/>
      </w:r>
      <w:r>
        <w:rPr>
          <w:rStyle w:val="97"/>
          <w:rFonts w:hint="eastAsia" w:ascii="宋体" w:hAnsi="宋体" w:cs="宋体"/>
          <w:lang/>
        </w:rPr>
        <w:t>第</w:t>
      </w:r>
      <w:r>
        <w:rPr>
          <w:rStyle w:val="97"/>
          <w:rFonts w:ascii="宋体" w:hAnsi="宋体" w:cs="宋体"/>
          <w:lang/>
        </w:rPr>
        <w:t>15</w:t>
      </w:r>
      <w:r>
        <w:rPr>
          <w:rStyle w:val="97"/>
          <w:rFonts w:hint="eastAsia" w:ascii="宋体" w:hAnsi="宋体" w:cs="宋体"/>
          <w:lang/>
        </w:rPr>
        <w:t>条</w:t>
      </w:r>
      <w:r>
        <w:rPr>
          <w:rStyle w:val="97"/>
          <w:rFonts w:ascii="宋体" w:hAnsi="宋体" w:cs="宋体"/>
          <w:lang/>
        </w:rPr>
        <w:t xml:space="preserve"> </w:t>
      </w:r>
      <w:r>
        <w:rPr>
          <w:rStyle w:val="97"/>
          <w:rFonts w:hint="eastAsia" w:ascii="宋体" w:hAnsi="宋体" w:cs="宋体"/>
          <w:lang/>
        </w:rPr>
        <w:t>违约</w:t>
      </w:r>
      <w:r>
        <w:rPr>
          <w:lang/>
        </w:rPr>
        <w:tab/>
      </w:r>
      <w:r>
        <w:rPr>
          <w:lang/>
        </w:rPr>
        <w:fldChar w:fldCharType="begin"/>
      </w:r>
      <w:r>
        <w:rPr>
          <w:lang/>
        </w:rPr>
        <w:instrText xml:space="preserve"> PAGEREF _Toc59203198 \h </w:instrText>
      </w:r>
      <w:r>
        <w:rPr>
          <w:lang/>
        </w:rPr>
        <w:fldChar w:fldCharType="separate"/>
      </w:r>
      <w:r>
        <w:rPr>
          <w:lang/>
        </w:rPr>
        <w:t>63</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"_Toc59203199"</w:instrText>
      </w:r>
      <w:r>
        <w:rPr>
          <w:rStyle w:val="97"/>
          <w:lang/>
        </w:rPr>
        <w:instrText xml:space="preserve"> </w:instrText>
      </w:r>
      <w:r>
        <w:rPr>
          <w:rStyle w:val="97"/>
          <w:lang/>
        </w:rPr>
        <w:fldChar w:fldCharType="separate"/>
      </w:r>
      <w:r>
        <w:rPr>
          <w:rStyle w:val="97"/>
          <w:rFonts w:ascii="宋体" w:hAnsi="宋体" w:cs="宋体"/>
          <w:bCs/>
          <w:lang/>
        </w:rPr>
        <w:t xml:space="preserve">15.1 </w:t>
      </w:r>
      <w:r>
        <w:rPr>
          <w:rStyle w:val="97"/>
          <w:rFonts w:hint="eastAsia" w:ascii="宋体" w:hAnsi="宋体" w:cs="宋体"/>
          <w:bCs/>
          <w:lang/>
        </w:rPr>
        <w:t>发包人违约</w:t>
      </w:r>
      <w:r>
        <w:rPr>
          <w:lang/>
        </w:rPr>
        <w:tab/>
      </w:r>
      <w:r>
        <w:rPr>
          <w:lang/>
        </w:rPr>
        <w:fldChar w:fldCharType="begin"/>
      </w:r>
      <w:r>
        <w:rPr>
          <w:lang/>
        </w:rPr>
        <w:instrText xml:space="preserve"> PAGEREF _Toc59203199 \h </w:instrText>
      </w:r>
      <w:r>
        <w:rPr>
          <w:lang/>
        </w:rPr>
        <w:fldChar w:fldCharType="separate"/>
      </w:r>
      <w:r>
        <w:rPr>
          <w:lang/>
        </w:rPr>
        <w:t>63</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"_Toc59203200"</w:instrText>
      </w:r>
      <w:r>
        <w:rPr>
          <w:rStyle w:val="97"/>
          <w:lang/>
        </w:rPr>
        <w:instrText xml:space="preserve"> </w:instrText>
      </w:r>
      <w:r>
        <w:rPr>
          <w:rStyle w:val="97"/>
          <w:lang/>
        </w:rPr>
        <w:fldChar w:fldCharType="separate"/>
      </w:r>
      <w:r>
        <w:rPr>
          <w:rStyle w:val="97"/>
          <w:rFonts w:ascii="宋体" w:hAnsi="宋体" w:cs="宋体"/>
          <w:bCs/>
          <w:lang/>
        </w:rPr>
        <w:t xml:space="preserve">15.2 </w:t>
      </w:r>
      <w:r>
        <w:rPr>
          <w:rStyle w:val="97"/>
          <w:rFonts w:hint="eastAsia" w:ascii="宋体" w:hAnsi="宋体" w:cs="宋体"/>
          <w:bCs/>
          <w:lang/>
        </w:rPr>
        <w:t>承包人违约</w:t>
      </w:r>
      <w:r>
        <w:rPr>
          <w:lang/>
        </w:rPr>
        <w:tab/>
      </w:r>
      <w:r>
        <w:rPr>
          <w:lang/>
        </w:rPr>
        <w:fldChar w:fldCharType="begin"/>
      </w:r>
      <w:r>
        <w:rPr>
          <w:lang/>
        </w:rPr>
        <w:instrText xml:space="preserve"> PAGEREF _Toc59203200 \h </w:instrText>
      </w:r>
      <w:r>
        <w:rPr>
          <w:lang/>
        </w:rPr>
        <w:fldChar w:fldCharType="separate"/>
      </w:r>
      <w:r>
        <w:rPr>
          <w:lang/>
        </w:rPr>
        <w:t>63</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"_Toc59203201"</w:instrText>
      </w:r>
      <w:r>
        <w:rPr>
          <w:rStyle w:val="97"/>
          <w:lang/>
        </w:rPr>
        <w:instrText xml:space="preserve"> </w:instrText>
      </w:r>
      <w:r>
        <w:rPr>
          <w:rStyle w:val="97"/>
          <w:lang/>
        </w:rPr>
        <w:fldChar w:fldCharType="separate"/>
      </w:r>
      <w:r>
        <w:rPr>
          <w:rStyle w:val="97"/>
          <w:rFonts w:ascii="宋体" w:hAnsi="宋体" w:cs="宋体"/>
          <w:bCs/>
          <w:lang/>
        </w:rPr>
        <w:t xml:space="preserve">15.3 </w:t>
      </w:r>
      <w:r>
        <w:rPr>
          <w:rStyle w:val="97"/>
          <w:rFonts w:hint="eastAsia" w:ascii="宋体" w:hAnsi="宋体" w:cs="宋体"/>
          <w:bCs/>
          <w:lang/>
        </w:rPr>
        <w:t>第三人造成的违约</w:t>
      </w:r>
      <w:r>
        <w:rPr>
          <w:lang/>
        </w:rPr>
        <w:tab/>
      </w:r>
      <w:r>
        <w:rPr>
          <w:lang/>
        </w:rPr>
        <w:fldChar w:fldCharType="begin"/>
      </w:r>
      <w:r>
        <w:rPr>
          <w:lang/>
        </w:rPr>
        <w:instrText xml:space="preserve"> PAGEREF _Toc59203201 \h </w:instrText>
      </w:r>
      <w:r>
        <w:rPr>
          <w:lang/>
        </w:rPr>
        <w:fldChar w:fldCharType="separate"/>
      </w:r>
      <w:r>
        <w:rPr>
          <w:lang/>
        </w:rPr>
        <w:t>64</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"_Toc59203202"</w:instrText>
      </w:r>
      <w:r>
        <w:rPr>
          <w:rStyle w:val="97"/>
          <w:lang/>
        </w:rPr>
        <w:instrText xml:space="preserve"> </w:instrText>
      </w:r>
      <w:r>
        <w:rPr>
          <w:rStyle w:val="97"/>
          <w:lang/>
        </w:rPr>
        <w:fldChar w:fldCharType="separate"/>
      </w:r>
      <w:r>
        <w:rPr>
          <w:rStyle w:val="97"/>
          <w:rFonts w:hint="eastAsia" w:ascii="宋体" w:hAnsi="宋体" w:cs="宋体"/>
          <w:lang/>
        </w:rPr>
        <w:t>第</w:t>
      </w:r>
      <w:r>
        <w:rPr>
          <w:rStyle w:val="97"/>
          <w:rFonts w:ascii="宋体" w:hAnsi="宋体" w:cs="宋体"/>
          <w:lang/>
        </w:rPr>
        <w:t>16</w:t>
      </w:r>
      <w:r>
        <w:rPr>
          <w:rStyle w:val="97"/>
          <w:rFonts w:hint="eastAsia" w:ascii="宋体" w:hAnsi="宋体" w:cs="宋体"/>
          <w:lang/>
        </w:rPr>
        <w:t>条</w:t>
      </w:r>
      <w:r>
        <w:rPr>
          <w:rStyle w:val="97"/>
          <w:rFonts w:ascii="宋体" w:hAnsi="宋体" w:cs="宋体"/>
          <w:lang/>
        </w:rPr>
        <w:t xml:space="preserve"> </w:t>
      </w:r>
      <w:r>
        <w:rPr>
          <w:rStyle w:val="97"/>
          <w:rFonts w:hint="eastAsia" w:ascii="宋体" w:hAnsi="宋体" w:cs="宋体"/>
          <w:lang/>
        </w:rPr>
        <w:t>合同解除</w:t>
      </w:r>
      <w:r>
        <w:rPr>
          <w:lang/>
        </w:rPr>
        <w:tab/>
      </w:r>
      <w:r>
        <w:rPr>
          <w:lang/>
        </w:rPr>
        <w:fldChar w:fldCharType="begin"/>
      </w:r>
      <w:r>
        <w:rPr>
          <w:lang/>
        </w:rPr>
        <w:instrText xml:space="preserve"> PAGEREF _Toc59203202 \h </w:instrText>
      </w:r>
      <w:r>
        <w:rPr>
          <w:lang/>
        </w:rPr>
        <w:fldChar w:fldCharType="separate"/>
      </w:r>
      <w:r>
        <w:rPr>
          <w:lang/>
        </w:rPr>
        <w:t>64</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"_Toc59203203"</w:instrText>
      </w:r>
      <w:r>
        <w:rPr>
          <w:rStyle w:val="97"/>
          <w:lang/>
        </w:rPr>
        <w:instrText xml:space="preserve"> </w:instrText>
      </w:r>
      <w:r>
        <w:rPr>
          <w:rStyle w:val="97"/>
          <w:lang/>
        </w:rPr>
        <w:fldChar w:fldCharType="separate"/>
      </w:r>
      <w:r>
        <w:rPr>
          <w:rStyle w:val="97"/>
          <w:rFonts w:ascii="宋体" w:hAnsi="宋体" w:cs="宋体"/>
          <w:bCs/>
          <w:lang/>
        </w:rPr>
        <w:t xml:space="preserve">16.1 </w:t>
      </w:r>
      <w:r>
        <w:rPr>
          <w:rStyle w:val="97"/>
          <w:rFonts w:hint="eastAsia" w:ascii="宋体" w:hAnsi="宋体" w:cs="宋体"/>
          <w:bCs/>
          <w:lang/>
        </w:rPr>
        <w:t>由发包人解除合同</w:t>
      </w:r>
      <w:r>
        <w:rPr>
          <w:lang/>
        </w:rPr>
        <w:tab/>
      </w:r>
      <w:r>
        <w:rPr>
          <w:lang/>
        </w:rPr>
        <w:fldChar w:fldCharType="begin"/>
      </w:r>
      <w:r>
        <w:rPr>
          <w:lang/>
        </w:rPr>
        <w:instrText xml:space="preserve"> PAGEREF _Toc59203203 \h </w:instrText>
      </w:r>
      <w:r>
        <w:rPr>
          <w:lang/>
        </w:rPr>
        <w:fldChar w:fldCharType="separate"/>
      </w:r>
      <w:r>
        <w:rPr>
          <w:lang/>
        </w:rPr>
        <w:t>64</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"_Toc59203204"</w:instrText>
      </w:r>
      <w:r>
        <w:rPr>
          <w:rStyle w:val="97"/>
          <w:lang/>
        </w:rPr>
        <w:instrText xml:space="preserve"> </w:instrText>
      </w:r>
      <w:r>
        <w:rPr>
          <w:rStyle w:val="97"/>
          <w:lang/>
        </w:rPr>
        <w:fldChar w:fldCharType="separate"/>
      </w:r>
      <w:r>
        <w:rPr>
          <w:rStyle w:val="97"/>
          <w:rFonts w:ascii="宋体" w:hAnsi="宋体" w:cs="宋体"/>
          <w:bCs/>
          <w:lang/>
        </w:rPr>
        <w:t xml:space="preserve">16.2 </w:t>
      </w:r>
      <w:r>
        <w:rPr>
          <w:rStyle w:val="97"/>
          <w:rFonts w:hint="eastAsia" w:ascii="宋体" w:hAnsi="宋体" w:cs="宋体"/>
          <w:bCs/>
          <w:lang/>
        </w:rPr>
        <w:t>由承包人解除合同</w:t>
      </w:r>
      <w:r>
        <w:rPr>
          <w:lang/>
        </w:rPr>
        <w:tab/>
      </w:r>
      <w:r>
        <w:rPr>
          <w:lang/>
        </w:rPr>
        <w:fldChar w:fldCharType="begin"/>
      </w:r>
      <w:r>
        <w:rPr>
          <w:lang/>
        </w:rPr>
        <w:instrText xml:space="preserve"> PAGEREF _Toc59203204 \h </w:instrText>
      </w:r>
      <w:r>
        <w:rPr>
          <w:lang/>
        </w:rPr>
        <w:fldChar w:fldCharType="separate"/>
      </w:r>
      <w:r>
        <w:rPr>
          <w:lang/>
        </w:rPr>
        <w:t>66</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"_Toc59203205"</w:instrText>
      </w:r>
      <w:r>
        <w:rPr>
          <w:rStyle w:val="97"/>
          <w:lang/>
        </w:rPr>
        <w:instrText xml:space="preserve"> </w:instrText>
      </w:r>
      <w:r>
        <w:rPr>
          <w:rStyle w:val="97"/>
          <w:lang/>
        </w:rPr>
        <w:fldChar w:fldCharType="separate"/>
      </w:r>
      <w:r>
        <w:rPr>
          <w:rStyle w:val="97"/>
          <w:rFonts w:ascii="宋体" w:hAnsi="宋体" w:cs="宋体"/>
          <w:bCs/>
          <w:lang/>
        </w:rPr>
        <w:t xml:space="preserve">16.3 </w:t>
      </w:r>
      <w:r>
        <w:rPr>
          <w:rStyle w:val="97"/>
          <w:rFonts w:hint="eastAsia" w:ascii="宋体" w:hAnsi="宋体" w:cs="宋体"/>
          <w:bCs/>
          <w:lang/>
        </w:rPr>
        <w:t>合同解除后的事项</w:t>
      </w:r>
      <w:r>
        <w:rPr>
          <w:lang/>
        </w:rPr>
        <w:tab/>
      </w:r>
      <w:r>
        <w:rPr>
          <w:lang/>
        </w:rPr>
        <w:fldChar w:fldCharType="begin"/>
      </w:r>
      <w:r>
        <w:rPr>
          <w:lang/>
        </w:rPr>
        <w:instrText xml:space="preserve"> PAGEREF _Toc59203205 \h </w:instrText>
      </w:r>
      <w:r>
        <w:rPr>
          <w:lang/>
        </w:rPr>
        <w:fldChar w:fldCharType="separate"/>
      </w:r>
      <w:r>
        <w:rPr>
          <w:lang/>
        </w:rPr>
        <w:t>67</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"_Toc59203206"</w:instrText>
      </w:r>
      <w:r>
        <w:rPr>
          <w:rStyle w:val="97"/>
          <w:lang/>
        </w:rPr>
        <w:instrText xml:space="preserve"> </w:instrText>
      </w:r>
      <w:r>
        <w:rPr>
          <w:rStyle w:val="97"/>
          <w:lang/>
        </w:rPr>
        <w:fldChar w:fldCharType="separate"/>
      </w:r>
      <w:r>
        <w:rPr>
          <w:rStyle w:val="97"/>
          <w:rFonts w:hint="eastAsia" w:ascii="宋体" w:hAnsi="宋体" w:cs="宋体"/>
          <w:lang/>
        </w:rPr>
        <w:t>第</w:t>
      </w:r>
      <w:r>
        <w:rPr>
          <w:rStyle w:val="97"/>
          <w:rFonts w:ascii="宋体" w:hAnsi="宋体" w:cs="宋体"/>
          <w:lang/>
        </w:rPr>
        <w:t>17</w:t>
      </w:r>
      <w:r>
        <w:rPr>
          <w:rStyle w:val="97"/>
          <w:rFonts w:hint="eastAsia" w:ascii="宋体" w:hAnsi="宋体" w:cs="宋体"/>
          <w:lang/>
        </w:rPr>
        <w:t>条</w:t>
      </w:r>
      <w:r>
        <w:rPr>
          <w:rStyle w:val="97"/>
          <w:rFonts w:ascii="宋体" w:hAnsi="宋体" w:cs="宋体"/>
          <w:lang/>
        </w:rPr>
        <w:t xml:space="preserve"> </w:t>
      </w:r>
      <w:r>
        <w:rPr>
          <w:rStyle w:val="97"/>
          <w:rFonts w:hint="eastAsia" w:ascii="宋体" w:hAnsi="宋体" w:cs="宋体"/>
          <w:lang/>
        </w:rPr>
        <w:t>不可抗力</w:t>
      </w:r>
      <w:r>
        <w:rPr>
          <w:lang/>
        </w:rPr>
        <w:tab/>
      </w:r>
      <w:r>
        <w:rPr>
          <w:lang/>
        </w:rPr>
        <w:fldChar w:fldCharType="begin"/>
      </w:r>
      <w:r>
        <w:rPr>
          <w:lang/>
        </w:rPr>
        <w:instrText xml:space="preserve"> PAGEREF _Toc59203206 \h </w:instrText>
      </w:r>
      <w:r>
        <w:rPr>
          <w:lang/>
        </w:rPr>
        <w:fldChar w:fldCharType="separate"/>
      </w:r>
      <w:r>
        <w:rPr>
          <w:lang/>
        </w:rPr>
        <w:t>68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"_Toc59203207"</w:instrText>
      </w:r>
      <w:r>
        <w:rPr>
          <w:rStyle w:val="97"/>
          <w:lang/>
        </w:rPr>
        <w:instrText xml:space="preserve"> </w:instrText>
      </w:r>
      <w:r>
        <w:rPr>
          <w:rStyle w:val="97"/>
          <w:lang/>
        </w:rPr>
        <w:fldChar w:fldCharType="separate"/>
      </w:r>
      <w:r>
        <w:rPr>
          <w:rStyle w:val="97"/>
          <w:rFonts w:ascii="宋体" w:hAnsi="宋体" w:cs="宋体"/>
          <w:bCs/>
          <w:lang/>
        </w:rPr>
        <w:t xml:space="preserve">17.1 </w:t>
      </w:r>
      <w:r>
        <w:rPr>
          <w:rStyle w:val="97"/>
          <w:rFonts w:hint="eastAsia" w:ascii="宋体" w:hAnsi="宋体" w:cs="宋体"/>
          <w:bCs/>
          <w:lang/>
        </w:rPr>
        <w:t>不可抗力的定义</w:t>
      </w:r>
      <w:r>
        <w:rPr>
          <w:lang/>
        </w:rPr>
        <w:tab/>
      </w:r>
      <w:r>
        <w:rPr>
          <w:lang/>
        </w:rPr>
        <w:fldChar w:fldCharType="begin"/>
      </w:r>
      <w:r>
        <w:rPr>
          <w:lang/>
        </w:rPr>
        <w:instrText xml:space="preserve"> PAGEREF _Toc59203207 \h </w:instrText>
      </w:r>
      <w:r>
        <w:rPr>
          <w:lang/>
        </w:rPr>
        <w:fldChar w:fldCharType="separate"/>
      </w:r>
      <w:r>
        <w:rPr>
          <w:lang/>
        </w:rPr>
        <w:t>68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"_Toc59203208"</w:instrText>
      </w:r>
      <w:r>
        <w:rPr>
          <w:rStyle w:val="97"/>
          <w:lang/>
        </w:rPr>
        <w:instrText xml:space="preserve"> </w:instrText>
      </w:r>
      <w:r>
        <w:rPr>
          <w:rStyle w:val="97"/>
          <w:lang/>
        </w:rPr>
        <w:fldChar w:fldCharType="separate"/>
      </w:r>
      <w:r>
        <w:rPr>
          <w:rStyle w:val="97"/>
          <w:rFonts w:ascii="宋体" w:hAnsi="宋体" w:cs="宋体"/>
          <w:bCs/>
          <w:lang/>
        </w:rPr>
        <w:t xml:space="preserve">17.2 </w:t>
      </w:r>
      <w:r>
        <w:rPr>
          <w:rStyle w:val="97"/>
          <w:rFonts w:hint="eastAsia" w:ascii="宋体" w:hAnsi="宋体" w:cs="宋体"/>
          <w:bCs/>
          <w:lang/>
        </w:rPr>
        <w:t>不可抗力的通知</w:t>
      </w:r>
      <w:r>
        <w:rPr>
          <w:lang/>
        </w:rPr>
        <w:tab/>
      </w:r>
      <w:r>
        <w:rPr>
          <w:lang/>
        </w:rPr>
        <w:fldChar w:fldCharType="begin"/>
      </w:r>
      <w:r>
        <w:rPr>
          <w:lang/>
        </w:rPr>
        <w:instrText xml:space="preserve"> PAGEREF _Toc59203208 \h </w:instrText>
      </w:r>
      <w:r>
        <w:rPr>
          <w:lang/>
        </w:rPr>
        <w:fldChar w:fldCharType="separate"/>
      </w:r>
      <w:r>
        <w:rPr>
          <w:lang/>
        </w:rPr>
        <w:t>68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"_Toc59203209"</w:instrText>
      </w:r>
      <w:r>
        <w:rPr>
          <w:rStyle w:val="97"/>
          <w:lang/>
        </w:rPr>
        <w:instrText xml:space="preserve"> </w:instrText>
      </w:r>
      <w:r>
        <w:rPr>
          <w:rStyle w:val="97"/>
          <w:lang/>
        </w:rPr>
        <w:fldChar w:fldCharType="separate"/>
      </w:r>
      <w:r>
        <w:rPr>
          <w:rStyle w:val="97"/>
          <w:rFonts w:ascii="宋体" w:hAnsi="宋体" w:cs="宋体"/>
          <w:bCs/>
          <w:lang/>
        </w:rPr>
        <w:t xml:space="preserve">17.3 </w:t>
      </w:r>
      <w:r>
        <w:rPr>
          <w:rStyle w:val="97"/>
          <w:rFonts w:hint="eastAsia" w:ascii="宋体" w:hAnsi="宋体" w:cs="宋体"/>
          <w:bCs/>
          <w:lang/>
        </w:rPr>
        <w:t>将损失减至最小的义务</w:t>
      </w:r>
      <w:r>
        <w:rPr>
          <w:lang/>
        </w:rPr>
        <w:tab/>
      </w:r>
      <w:r>
        <w:rPr>
          <w:lang/>
        </w:rPr>
        <w:fldChar w:fldCharType="begin"/>
      </w:r>
      <w:r>
        <w:rPr>
          <w:lang/>
        </w:rPr>
        <w:instrText xml:space="preserve"> PAGEREF _Toc59203209 \h </w:instrText>
      </w:r>
      <w:r>
        <w:rPr>
          <w:lang/>
        </w:rPr>
        <w:fldChar w:fldCharType="separate"/>
      </w:r>
      <w:r>
        <w:rPr>
          <w:lang/>
        </w:rPr>
        <w:t>68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"_Toc59203210"</w:instrText>
      </w:r>
      <w:r>
        <w:rPr>
          <w:rStyle w:val="97"/>
          <w:lang/>
        </w:rPr>
        <w:instrText xml:space="preserve"> </w:instrText>
      </w:r>
      <w:r>
        <w:rPr>
          <w:rStyle w:val="97"/>
          <w:lang/>
        </w:rPr>
        <w:fldChar w:fldCharType="separate"/>
      </w:r>
      <w:r>
        <w:rPr>
          <w:rStyle w:val="97"/>
          <w:rFonts w:ascii="宋体" w:hAnsi="宋体" w:cs="宋体"/>
          <w:bCs/>
          <w:lang/>
        </w:rPr>
        <w:t xml:space="preserve">17.4 </w:t>
      </w:r>
      <w:r>
        <w:rPr>
          <w:rStyle w:val="97"/>
          <w:rFonts w:hint="eastAsia" w:ascii="宋体" w:hAnsi="宋体" w:cs="宋体"/>
          <w:bCs/>
          <w:lang/>
        </w:rPr>
        <w:t>不可抗力后果的承担</w:t>
      </w:r>
      <w:r>
        <w:rPr>
          <w:lang/>
        </w:rPr>
        <w:tab/>
      </w:r>
      <w:r>
        <w:rPr>
          <w:lang/>
        </w:rPr>
        <w:fldChar w:fldCharType="begin"/>
      </w:r>
      <w:r>
        <w:rPr>
          <w:lang/>
        </w:rPr>
        <w:instrText xml:space="preserve"> PAGEREF _Toc59203210 \h </w:instrText>
      </w:r>
      <w:r>
        <w:rPr>
          <w:lang/>
        </w:rPr>
        <w:fldChar w:fldCharType="separate"/>
      </w:r>
      <w:r>
        <w:rPr>
          <w:lang/>
        </w:rPr>
        <w:t>68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"_Toc59203211"</w:instrText>
      </w:r>
      <w:r>
        <w:rPr>
          <w:rStyle w:val="97"/>
          <w:lang/>
        </w:rPr>
        <w:instrText xml:space="preserve"> </w:instrText>
      </w:r>
      <w:r>
        <w:rPr>
          <w:rStyle w:val="97"/>
          <w:lang/>
        </w:rPr>
        <w:fldChar w:fldCharType="separate"/>
      </w:r>
      <w:r>
        <w:rPr>
          <w:rStyle w:val="97"/>
          <w:rFonts w:ascii="宋体" w:hAnsi="宋体" w:cs="宋体"/>
          <w:bCs/>
          <w:lang/>
        </w:rPr>
        <w:t xml:space="preserve">17.5 </w:t>
      </w:r>
      <w:r>
        <w:rPr>
          <w:rStyle w:val="97"/>
          <w:rFonts w:hint="eastAsia" w:ascii="宋体" w:hAnsi="宋体" w:cs="宋体"/>
          <w:bCs/>
          <w:lang/>
        </w:rPr>
        <w:t>不可抗力影响分包人</w:t>
      </w:r>
      <w:r>
        <w:rPr>
          <w:lang/>
        </w:rPr>
        <w:tab/>
      </w:r>
      <w:r>
        <w:rPr>
          <w:lang/>
        </w:rPr>
        <w:fldChar w:fldCharType="begin"/>
      </w:r>
      <w:r>
        <w:rPr>
          <w:lang/>
        </w:rPr>
        <w:instrText xml:space="preserve"> PAGEREF _Toc59203211 \h </w:instrText>
      </w:r>
      <w:r>
        <w:rPr>
          <w:lang/>
        </w:rPr>
        <w:fldChar w:fldCharType="separate"/>
      </w:r>
      <w:r>
        <w:rPr>
          <w:lang/>
        </w:rPr>
        <w:t>69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"_Toc59203212"</w:instrText>
      </w:r>
      <w:r>
        <w:rPr>
          <w:rStyle w:val="97"/>
          <w:lang/>
        </w:rPr>
        <w:instrText xml:space="preserve"> </w:instrText>
      </w:r>
      <w:r>
        <w:rPr>
          <w:rStyle w:val="97"/>
          <w:lang/>
        </w:rPr>
        <w:fldChar w:fldCharType="separate"/>
      </w:r>
      <w:r>
        <w:rPr>
          <w:rStyle w:val="97"/>
          <w:rFonts w:ascii="宋体" w:hAnsi="宋体" w:cs="宋体"/>
          <w:bCs/>
          <w:lang/>
        </w:rPr>
        <w:t xml:space="preserve">17.6 </w:t>
      </w:r>
      <w:r>
        <w:rPr>
          <w:rStyle w:val="97"/>
          <w:rFonts w:hint="eastAsia" w:ascii="宋体" w:hAnsi="宋体" w:cs="宋体"/>
          <w:bCs/>
          <w:lang/>
        </w:rPr>
        <w:t>因不可抗力解除合同</w:t>
      </w:r>
      <w:r>
        <w:rPr>
          <w:lang/>
        </w:rPr>
        <w:tab/>
      </w:r>
      <w:r>
        <w:rPr>
          <w:lang/>
        </w:rPr>
        <w:fldChar w:fldCharType="begin"/>
      </w:r>
      <w:r>
        <w:rPr>
          <w:lang/>
        </w:rPr>
        <w:instrText xml:space="preserve"> PAGEREF _Toc59203212 \h </w:instrText>
      </w:r>
      <w:r>
        <w:rPr>
          <w:lang/>
        </w:rPr>
        <w:fldChar w:fldCharType="separate"/>
      </w:r>
      <w:r>
        <w:rPr>
          <w:lang/>
        </w:rPr>
        <w:t>69</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"_Toc59203213"</w:instrText>
      </w:r>
      <w:r>
        <w:rPr>
          <w:rStyle w:val="97"/>
          <w:lang/>
        </w:rPr>
        <w:instrText xml:space="preserve"> </w:instrText>
      </w:r>
      <w:r>
        <w:rPr>
          <w:rStyle w:val="97"/>
          <w:lang/>
        </w:rPr>
        <w:fldChar w:fldCharType="separate"/>
      </w:r>
      <w:r>
        <w:rPr>
          <w:rStyle w:val="97"/>
          <w:rFonts w:hint="eastAsia" w:ascii="宋体" w:hAnsi="宋体" w:cs="宋体"/>
          <w:lang/>
        </w:rPr>
        <w:t>第</w:t>
      </w:r>
      <w:r>
        <w:rPr>
          <w:rStyle w:val="97"/>
          <w:rFonts w:ascii="宋体" w:hAnsi="宋体" w:cs="宋体"/>
          <w:lang/>
        </w:rPr>
        <w:t>18</w:t>
      </w:r>
      <w:r>
        <w:rPr>
          <w:rStyle w:val="97"/>
          <w:rFonts w:hint="eastAsia" w:ascii="宋体" w:hAnsi="宋体" w:cs="宋体"/>
          <w:lang/>
        </w:rPr>
        <w:t>条</w:t>
      </w:r>
      <w:r>
        <w:rPr>
          <w:rStyle w:val="97"/>
          <w:rFonts w:ascii="宋体" w:hAnsi="宋体" w:cs="宋体"/>
          <w:lang/>
        </w:rPr>
        <w:t xml:space="preserve"> </w:t>
      </w:r>
      <w:r>
        <w:rPr>
          <w:rStyle w:val="97"/>
          <w:rFonts w:hint="eastAsia" w:ascii="宋体" w:hAnsi="宋体" w:cs="宋体"/>
          <w:lang/>
        </w:rPr>
        <w:t>保险</w:t>
      </w:r>
      <w:r>
        <w:rPr>
          <w:lang/>
        </w:rPr>
        <w:tab/>
      </w:r>
      <w:r>
        <w:rPr>
          <w:lang/>
        </w:rPr>
        <w:fldChar w:fldCharType="begin"/>
      </w:r>
      <w:r>
        <w:rPr>
          <w:lang/>
        </w:rPr>
        <w:instrText xml:space="preserve"> PAGEREF _Toc59203213 \h </w:instrText>
      </w:r>
      <w:r>
        <w:rPr>
          <w:lang/>
        </w:rPr>
        <w:fldChar w:fldCharType="separate"/>
      </w:r>
      <w:r>
        <w:rPr>
          <w:lang/>
        </w:rPr>
        <w:t>69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"_Toc59203214"</w:instrText>
      </w:r>
      <w:r>
        <w:rPr>
          <w:rStyle w:val="97"/>
          <w:lang/>
        </w:rPr>
        <w:instrText xml:space="preserve"> </w:instrText>
      </w:r>
      <w:r>
        <w:rPr>
          <w:rStyle w:val="97"/>
          <w:lang/>
        </w:rPr>
        <w:fldChar w:fldCharType="separate"/>
      </w:r>
      <w:r>
        <w:rPr>
          <w:rStyle w:val="97"/>
          <w:rFonts w:ascii="宋体" w:hAnsi="宋体" w:cs="宋体"/>
          <w:bCs/>
          <w:lang/>
        </w:rPr>
        <w:t xml:space="preserve">18.1 </w:t>
      </w:r>
      <w:r>
        <w:rPr>
          <w:rStyle w:val="97"/>
          <w:rFonts w:hint="eastAsia" w:ascii="宋体" w:hAnsi="宋体" w:cs="宋体"/>
          <w:bCs/>
          <w:lang/>
        </w:rPr>
        <w:t>设计和工程保险</w:t>
      </w:r>
      <w:r>
        <w:rPr>
          <w:lang/>
        </w:rPr>
        <w:tab/>
      </w:r>
      <w:r>
        <w:rPr>
          <w:lang/>
        </w:rPr>
        <w:fldChar w:fldCharType="begin"/>
      </w:r>
      <w:r>
        <w:rPr>
          <w:lang/>
        </w:rPr>
        <w:instrText xml:space="preserve"> PAGEREF _Toc59203214 \h </w:instrText>
      </w:r>
      <w:r>
        <w:rPr>
          <w:lang/>
        </w:rPr>
        <w:fldChar w:fldCharType="separate"/>
      </w:r>
      <w:r>
        <w:rPr>
          <w:lang/>
        </w:rPr>
        <w:t>69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"_Toc59203215"</w:instrText>
      </w:r>
      <w:r>
        <w:rPr>
          <w:rStyle w:val="97"/>
          <w:lang/>
        </w:rPr>
        <w:instrText xml:space="preserve"> </w:instrText>
      </w:r>
      <w:r>
        <w:rPr>
          <w:rStyle w:val="97"/>
          <w:lang/>
        </w:rPr>
        <w:fldChar w:fldCharType="separate"/>
      </w:r>
      <w:r>
        <w:rPr>
          <w:rStyle w:val="97"/>
          <w:rFonts w:ascii="宋体" w:hAnsi="宋体" w:cs="宋体"/>
          <w:bCs/>
          <w:lang/>
        </w:rPr>
        <w:t xml:space="preserve">18.2 </w:t>
      </w:r>
      <w:r>
        <w:rPr>
          <w:rStyle w:val="97"/>
          <w:rFonts w:hint="eastAsia" w:ascii="宋体" w:hAnsi="宋体" w:cs="宋体"/>
          <w:bCs/>
          <w:lang/>
        </w:rPr>
        <w:t>工伤和意外伤害保险</w:t>
      </w:r>
      <w:r>
        <w:rPr>
          <w:lang/>
        </w:rPr>
        <w:tab/>
      </w:r>
      <w:r>
        <w:rPr>
          <w:lang/>
        </w:rPr>
        <w:fldChar w:fldCharType="begin"/>
      </w:r>
      <w:r>
        <w:rPr>
          <w:lang/>
        </w:rPr>
        <w:instrText xml:space="preserve"> PAGEREF _Toc59203215 \h </w:instrText>
      </w:r>
      <w:r>
        <w:rPr>
          <w:lang/>
        </w:rPr>
        <w:fldChar w:fldCharType="separate"/>
      </w:r>
      <w:r>
        <w:rPr>
          <w:lang/>
        </w:rPr>
        <w:t>69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"_Toc59203216"</w:instrText>
      </w:r>
      <w:r>
        <w:rPr>
          <w:rStyle w:val="97"/>
          <w:lang/>
        </w:rPr>
        <w:instrText xml:space="preserve"> </w:instrText>
      </w:r>
      <w:r>
        <w:rPr>
          <w:rStyle w:val="97"/>
          <w:lang/>
        </w:rPr>
        <w:fldChar w:fldCharType="separate"/>
      </w:r>
      <w:r>
        <w:rPr>
          <w:rStyle w:val="97"/>
          <w:rFonts w:ascii="宋体" w:hAnsi="宋体" w:cs="宋体"/>
          <w:bCs/>
          <w:lang/>
        </w:rPr>
        <w:t xml:space="preserve">18.3 </w:t>
      </w:r>
      <w:r>
        <w:rPr>
          <w:rStyle w:val="97"/>
          <w:rFonts w:hint="eastAsia" w:ascii="宋体" w:hAnsi="宋体" w:cs="宋体"/>
          <w:bCs/>
          <w:lang/>
        </w:rPr>
        <w:t>货物保险</w:t>
      </w:r>
      <w:r>
        <w:rPr>
          <w:lang/>
        </w:rPr>
        <w:tab/>
      </w:r>
      <w:r>
        <w:rPr>
          <w:lang/>
        </w:rPr>
        <w:fldChar w:fldCharType="begin"/>
      </w:r>
      <w:r>
        <w:rPr>
          <w:lang/>
        </w:rPr>
        <w:instrText xml:space="preserve"> PAGEREF _Toc59203216 \h </w:instrText>
      </w:r>
      <w:r>
        <w:rPr>
          <w:lang/>
        </w:rPr>
        <w:fldChar w:fldCharType="separate"/>
      </w:r>
      <w:r>
        <w:rPr>
          <w:lang/>
        </w:rPr>
        <w:t>70</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"_Toc59203217"</w:instrText>
      </w:r>
      <w:r>
        <w:rPr>
          <w:rStyle w:val="97"/>
          <w:lang/>
        </w:rPr>
        <w:instrText xml:space="preserve"> </w:instrText>
      </w:r>
      <w:r>
        <w:rPr>
          <w:rStyle w:val="97"/>
          <w:lang/>
        </w:rPr>
        <w:fldChar w:fldCharType="separate"/>
      </w:r>
      <w:r>
        <w:rPr>
          <w:rStyle w:val="97"/>
          <w:rFonts w:ascii="宋体" w:hAnsi="宋体" w:cs="宋体"/>
          <w:bCs/>
          <w:lang/>
        </w:rPr>
        <w:t xml:space="preserve">18.4 </w:t>
      </w:r>
      <w:r>
        <w:rPr>
          <w:rStyle w:val="97"/>
          <w:rFonts w:hint="eastAsia" w:ascii="宋体" w:hAnsi="宋体" w:cs="宋体"/>
          <w:bCs/>
          <w:lang/>
        </w:rPr>
        <w:t>其他保险</w:t>
      </w:r>
      <w:r>
        <w:rPr>
          <w:lang/>
        </w:rPr>
        <w:tab/>
      </w:r>
      <w:r>
        <w:rPr>
          <w:lang/>
        </w:rPr>
        <w:fldChar w:fldCharType="begin"/>
      </w:r>
      <w:r>
        <w:rPr>
          <w:lang/>
        </w:rPr>
        <w:instrText xml:space="preserve"> PAGEREF _Toc59203217 \h </w:instrText>
      </w:r>
      <w:r>
        <w:rPr>
          <w:lang/>
        </w:rPr>
        <w:fldChar w:fldCharType="separate"/>
      </w:r>
      <w:r>
        <w:rPr>
          <w:lang/>
        </w:rPr>
        <w:t>70</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"_Toc59203218"</w:instrText>
      </w:r>
      <w:r>
        <w:rPr>
          <w:rStyle w:val="97"/>
          <w:lang/>
        </w:rPr>
        <w:instrText xml:space="preserve"> </w:instrText>
      </w:r>
      <w:r>
        <w:rPr>
          <w:rStyle w:val="97"/>
          <w:lang/>
        </w:rPr>
        <w:fldChar w:fldCharType="separate"/>
      </w:r>
      <w:r>
        <w:rPr>
          <w:rStyle w:val="97"/>
          <w:rFonts w:ascii="宋体" w:hAnsi="宋体" w:cs="宋体"/>
          <w:bCs/>
          <w:lang/>
        </w:rPr>
        <w:t xml:space="preserve">18.5 </w:t>
      </w:r>
      <w:r>
        <w:rPr>
          <w:rStyle w:val="97"/>
          <w:rFonts w:hint="eastAsia" w:ascii="宋体" w:hAnsi="宋体" w:cs="宋体"/>
          <w:bCs/>
          <w:lang/>
        </w:rPr>
        <w:t>对各项保险的一般要求</w:t>
      </w:r>
      <w:r>
        <w:rPr>
          <w:lang/>
        </w:rPr>
        <w:tab/>
      </w:r>
      <w:r>
        <w:rPr>
          <w:lang/>
        </w:rPr>
        <w:fldChar w:fldCharType="begin"/>
      </w:r>
      <w:r>
        <w:rPr>
          <w:lang/>
        </w:rPr>
        <w:instrText xml:space="preserve"> PAGEREF _Toc59203218 \h </w:instrText>
      </w:r>
      <w:r>
        <w:rPr>
          <w:lang/>
        </w:rPr>
        <w:fldChar w:fldCharType="separate"/>
      </w:r>
      <w:r>
        <w:rPr>
          <w:lang/>
        </w:rPr>
        <w:t>70</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"_Toc59203219"</w:instrText>
      </w:r>
      <w:r>
        <w:rPr>
          <w:rStyle w:val="97"/>
          <w:lang/>
        </w:rPr>
        <w:instrText xml:space="preserve"> </w:instrText>
      </w:r>
      <w:r>
        <w:rPr>
          <w:rStyle w:val="97"/>
          <w:lang/>
        </w:rPr>
        <w:fldChar w:fldCharType="separate"/>
      </w:r>
      <w:r>
        <w:rPr>
          <w:rStyle w:val="97"/>
          <w:rFonts w:hint="eastAsia" w:ascii="宋体" w:hAnsi="宋体" w:cs="宋体"/>
          <w:lang/>
        </w:rPr>
        <w:t>第</w:t>
      </w:r>
      <w:r>
        <w:rPr>
          <w:rStyle w:val="97"/>
          <w:rFonts w:ascii="宋体" w:hAnsi="宋体" w:cs="宋体"/>
          <w:lang/>
        </w:rPr>
        <w:t>19</w:t>
      </w:r>
      <w:r>
        <w:rPr>
          <w:rStyle w:val="97"/>
          <w:rFonts w:hint="eastAsia" w:ascii="宋体" w:hAnsi="宋体" w:cs="宋体"/>
          <w:lang/>
        </w:rPr>
        <w:t>条</w:t>
      </w:r>
      <w:r>
        <w:rPr>
          <w:rStyle w:val="97"/>
          <w:rFonts w:ascii="宋体" w:hAnsi="宋体" w:cs="宋体"/>
          <w:lang/>
        </w:rPr>
        <w:t xml:space="preserve"> </w:t>
      </w:r>
      <w:r>
        <w:rPr>
          <w:rStyle w:val="97"/>
          <w:rFonts w:hint="eastAsia" w:ascii="宋体" w:hAnsi="宋体" w:cs="宋体"/>
          <w:lang/>
        </w:rPr>
        <w:t>索赔</w:t>
      </w:r>
      <w:r>
        <w:rPr>
          <w:lang/>
        </w:rPr>
        <w:tab/>
      </w:r>
      <w:r>
        <w:rPr>
          <w:lang/>
        </w:rPr>
        <w:fldChar w:fldCharType="begin"/>
      </w:r>
      <w:r>
        <w:rPr>
          <w:lang/>
        </w:rPr>
        <w:instrText xml:space="preserve"> PAGEREF _Toc59203219 \h </w:instrText>
      </w:r>
      <w:r>
        <w:rPr>
          <w:lang/>
        </w:rPr>
        <w:fldChar w:fldCharType="separate"/>
      </w:r>
      <w:r>
        <w:rPr>
          <w:lang/>
        </w:rPr>
        <w:t>70</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"_Toc59203220"</w:instrText>
      </w:r>
      <w:r>
        <w:rPr>
          <w:rStyle w:val="97"/>
          <w:lang/>
        </w:rPr>
        <w:instrText xml:space="preserve"> </w:instrText>
      </w:r>
      <w:r>
        <w:rPr>
          <w:rStyle w:val="97"/>
          <w:lang/>
        </w:rPr>
        <w:fldChar w:fldCharType="separate"/>
      </w:r>
      <w:r>
        <w:rPr>
          <w:rStyle w:val="97"/>
          <w:rFonts w:ascii="宋体" w:hAnsi="宋体" w:cs="宋体"/>
          <w:bCs/>
          <w:lang/>
        </w:rPr>
        <w:t xml:space="preserve">19.1 </w:t>
      </w:r>
      <w:r>
        <w:rPr>
          <w:rStyle w:val="97"/>
          <w:rFonts w:hint="eastAsia" w:ascii="宋体" w:hAnsi="宋体" w:cs="宋体"/>
          <w:bCs/>
          <w:lang/>
        </w:rPr>
        <w:t>索赔的提出</w:t>
      </w:r>
      <w:r>
        <w:rPr>
          <w:lang/>
        </w:rPr>
        <w:tab/>
      </w:r>
      <w:r>
        <w:rPr>
          <w:lang/>
        </w:rPr>
        <w:fldChar w:fldCharType="begin"/>
      </w:r>
      <w:r>
        <w:rPr>
          <w:lang/>
        </w:rPr>
        <w:instrText xml:space="preserve"> PAGEREF _Toc59203220 \h </w:instrText>
      </w:r>
      <w:r>
        <w:rPr>
          <w:lang/>
        </w:rPr>
        <w:fldChar w:fldCharType="separate"/>
      </w:r>
      <w:r>
        <w:rPr>
          <w:lang/>
        </w:rPr>
        <w:t>71</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"_Toc59203221"</w:instrText>
      </w:r>
      <w:r>
        <w:rPr>
          <w:rStyle w:val="97"/>
          <w:lang/>
        </w:rPr>
        <w:instrText xml:space="preserve"> </w:instrText>
      </w:r>
      <w:r>
        <w:rPr>
          <w:rStyle w:val="97"/>
          <w:lang/>
        </w:rPr>
        <w:fldChar w:fldCharType="separate"/>
      </w:r>
      <w:r>
        <w:rPr>
          <w:rStyle w:val="97"/>
          <w:rFonts w:ascii="宋体" w:hAnsi="宋体" w:cs="宋体"/>
          <w:bCs/>
          <w:lang/>
        </w:rPr>
        <w:t xml:space="preserve">19.2 </w:t>
      </w:r>
      <w:r>
        <w:rPr>
          <w:rStyle w:val="97"/>
          <w:rFonts w:hint="eastAsia" w:ascii="宋体" w:hAnsi="宋体" w:cs="宋体"/>
          <w:bCs/>
          <w:lang/>
        </w:rPr>
        <w:t>承包人索赔的处理程序</w:t>
      </w:r>
      <w:r>
        <w:rPr>
          <w:lang/>
        </w:rPr>
        <w:tab/>
      </w:r>
      <w:r>
        <w:rPr>
          <w:lang/>
        </w:rPr>
        <w:fldChar w:fldCharType="begin"/>
      </w:r>
      <w:r>
        <w:rPr>
          <w:lang/>
        </w:rPr>
        <w:instrText xml:space="preserve"> PAGEREF _Toc59203221 \h </w:instrText>
      </w:r>
      <w:r>
        <w:rPr>
          <w:lang/>
        </w:rPr>
        <w:fldChar w:fldCharType="separate"/>
      </w:r>
      <w:r>
        <w:rPr>
          <w:lang/>
        </w:rPr>
        <w:t>71</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"_Toc59203222"</w:instrText>
      </w:r>
      <w:r>
        <w:rPr>
          <w:rStyle w:val="97"/>
          <w:lang/>
        </w:rPr>
        <w:instrText xml:space="preserve"> </w:instrText>
      </w:r>
      <w:r>
        <w:rPr>
          <w:rStyle w:val="97"/>
          <w:lang/>
        </w:rPr>
        <w:fldChar w:fldCharType="separate"/>
      </w:r>
      <w:r>
        <w:rPr>
          <w:rStyle w:val="97"/>
          <w:rFonts w:ascii="宋体" w:hAnsi="宋体" w:cs="宋体"/>
          <w:bCs/>
          <w:lang/>
        </w:rPr>
        <w:t xml:space="preserve">19.3 </w:t>
      </w:r>
      <w:r>
        <w:rPr>
          <w:rStyle w:val="97"/>
          <w:rFonts w:hint="eastAsia" w:ascii="宋体" w:hAnsi="宋体" w:cs="宋体"/>
          <w:bCs/>
          <w:lang/>
        </w:rPr>
        <w:t>发包人索赔的处理程序</w:t>
      </w:r>
      <w:r>
        <w:rPr>
          <w:lang/>
        </w:rPr>
        <w:tab/>
      </w:r>
      <w:r>
        <w:rPr>
          <w:lang/>
        </w:rPr>
        <w:fldChar w:fldCharType="begin"/>
      </w:r>
      <w:r>
        <w:rPr>
          <w:lang/>
        </w:rPr>
        <w:instrText xml:space="preserve"> PAGEREF _Toc59203222 \h </w:instrText>
      </w:r>
      <w:r>
        <w:rPr>
          <w:lang/>
        </w:rPr>
        <w:fldChar w:fldCharType="separate"/>
      </w:r>
      <w:r>
        <w:rPr>
          <w:lang/>
        </w:rPr>
        <w:t>71</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"_Toc59203223"</w:instrText>
      </w:r>
      <w:r>
        <w:rPr>
          <w:rStyle w:val="97"/>
          <w:lang/>
        </w:rPr>
        <w:instrText xml:space="preserve"> </w:instrText>
      </w:r>
      <w:r>
        <w:rPr>
          <w:rStyle w:val="97"/>
          <w:lang/>
        </w:rPr>
        <w:fldChar w:fldCharType="separate"/>
      </w:r>
      <w:r>
        <w:rPr>
          <w:rStyle w:val="97"/>
          <w:rFonts w:ascii="宋体" w:hAnsi="宋体" w:cs="宋体"/>
          <w:bCs/>
          <w:lang/>
        </w:rPr>
        <w:t xml:space="preserve">19.4 </w:t>
      </w:r>
      <w:r>
        <w:rPr>
          <w:rStyle w:val="97"/>
          <w:rFonts w:hint="eastAsia" w:ascii="宋体" w:hAnsi="宋体" w:cs="宋体"/>
          <w:bCs/>
          <w:lang/>
        </w:rPr>
        <w:t>提出索赔的期限</w:t>
      </w:r>
      <w:r>
        <w:rPr>
          <w:lang/>
        </w:rPr>
        <w:tab/>
      </w:r>
      <w:r>
        <w:rPr>
          <w:lang/>
        </w:rPr>
        <w:fldChar w:fldCharType="begin"/>
      </w:r>
      <w:r>
        <w:rPr>
          <w:lang/>
        </w:rPr>
        <w:instrText xml:space="preserve"> PAGEREF _Toc59203223 \h </w:instrText>
      </w:r>
      <w:r>
        <w:rPr>
          <w:lang/>
        </w:rPr>
        <w:fldChar w:fldCharType="separate"/>
      </w:r>
      <w:r>
        <w:rPr>
          <w:lang/>
        </w:rPr>
        <w:t>72</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"_Toc59203224"</w:instrText>
      </w:r>
      <w:r>
        <w:rPr>
          <w:rStyle w:val="97"/>
          <w:lang/>
        </w:rPr>
        <w:instrText xml:space="preserve"> </w:instrText>
      </w:r>
      <w:r>
        <w:rPr>
          <w:rStyle w:val="97"/>
          <w:lang/>
        </w:rPr>
        <w:fldChar w:fldCharType="separate"/>
      </w:r>
      <w:r>
        <w:rPr>
          <w:rStyle w:val="97"/>
          <w:rFonts w:hint="eastAsia" w:ascii="宋体" w:hAnsi="宋体" w:cs="宋体"/>
          <w:lang/>
        </w:rPr>
        <w:t>第</w:t>
      </w:r>
      <w:r>
        <w:rPr>
          <w:rStyle w:val="97"/>
          <w:rFonts w:ascii="宋体" w:hAnsi="宋体" w:cs="宋体"/>
          <w:lang/>
        </w:rPr>
        <w:t>20</w:t>
      </w:r>
      <w:r>
        <w:rPr>
          <w:rStyle w:val="97"/>
          <w:rFonts w:hint="eastAsia" w:ascii="宋体" w:hAnsi="宋体" w:cs="宋体"/>
          <w:lang/>
        </w:rPr>
        <w:t>条</w:t>
      </w:r>
      <w:r>
        <w:rPr>
          <w:rStyle w:val="97"/>
          <w:rFonts w:ascii="宋体" w:hAnsi="宋体" w:cs="宋体"/>
          <w:lang/>
        </w:rPr>
        <w:t xml:space="preserve"> </w:t>
      </w:r>
      <w:r>
        <w:rPr>
          <w:rStyle w:val="97"/>
          <w:rFonts w:hint="eastAsia" w:ascii="宋体" w:hAnsi="宋体" w:cs="宋体"/>
          <w:lang/>
        </w:rPr>
        <w:t>争议解决</w:t>
      </w:r>
      <w:r>
        <w:rPr>
          <w:lang/>
        </w:rPr>
        <w:tab/>
      </w:r>
      <w:r>
        <w:rPr>
          <w:lang/>
        </w:rPr>
        <w:fldChar w:fldCharType="begin"/>
      </w:r>
      <w:r>
        <w:rPr>
          <w:lang/>
        </w:rPr>
        <w:instrText xml:space="preserve"> PAGEREF _Toc59203224 \h </w:instrText>
      </w:r>
      <w:r>
        <w:rPr>
          <w:lang/>
        </w:rPr>
        <w:fldChar w:fldCharType="separate"/>
      </w:r>
      <w:r>
        <w:rPr>
          <w:lang/>
        </w:rPr>
        <w:t>72</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"_Toc59203225"</w:instrText>
      </w:r>
      <w:r>
        <w:rPr>
          <w:rStyle w:val="97"/>
          <w:lang/>
        </w:rPr>
        <w:instrText xml:space="preserve"> </w:instrText>
      </w:r>
      <w:r>
        <w:rPr>
          <w:rStyle w:val="97"/>
          <w:lang/>
        </w:rPr>
        <w:fldChar w:fldCharType="separate"/>
      </w:r>
      <w:r>
        <w:rPr>
          <w:rStyle w:val="97"/>
          <w:rFonts w:ascii="宋体" w:hAnsi="宋体" w:cs="宋体"/>
          <w:bCs/>
          <w:lang/>
        </w:rPr>
        <w:t xml:space="preserve">20.1 </w:t>
      </w:r>
      <w:r>
        <w:rPr>
          <w:rStyle w:val="97"/>
          <w:rFonts w:hint="eastAsia" w:ascii="宋体" w:hAnsi="宋体" w:cs="宋体"/>
          <w:bCs/>
          <w:lang/>
        </w:rPr>
        <w:t>和解</w:t>
      </w:r>
      <w:r>
        <w:rPr>
          <w:lang/>
        </w:rPr>
        <w:tab/>
      </w:r>
      <w:r>
        <w:rPr>
          <w:lang/>
        </w:rPr>
        <w:fldChar w:fldCharType="begin"/>
      </w:r>
      <w:r>
        <w:rPr>
          <w:lang/>
        </w:rPr>
        <w:instrText xml:space="preserve"> PAGEREF _Toc59203225 \h </w:instrText>
      </w:r>
      <w:r>
        <w:rPr>
          <w:lang/>
        </w:rPr>
        <w:fldChar w:fldCharType="separate"/>
      </w:r>
      <w:r>
        <w:rPr>
          <w:lang/>
        </w:rPr>
        <w:t>72</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"_Toc59203226"</w:instrText>
      </w:r>
      <w:r>
        <w:rPr>
          <w:rStyle w:val="97"/>
          <w:lang/>
        </w:rPr>
        <w:instrText xml:space="preserve"> </w:instrText>
      </w:r>
      <w:r>
        <w:rPr>
          <w:rStyle w:val="97"/>
          <w:lang/>
        </w:rPr>
        <w:fldChar w:fldCharType="separate"/>
      </w:r>
      <w:r>
        <w:rPr>
          <w:rStyle w:val="97"/>
          <w:rFonts w:ascii="宋体" w:hAnsi="宋体" w:cs="宋体"/>
          <w:bCs/>
          <w:lang/>
        </w:rPr>
        <w:t xml:space="preserve">20.2 </w:t>
      </w:r>
      <w:r>
        <w:rPr>
          <w:rStyle w:val="97"/>
          <w:rFonts w:hint="eastAsia" w:ascii="宋体" w:hAnsi="宋体" w:cs="宋体"/>
          <w:bCs/>
          <w:lang/>
        </w:rPr>
        <w:t>调解</w:t>
      </w:r>
      <w:r>
        <w:rPr>
          <w:lang/>
        </w:rPr>
        <w:tab/>
      </w:r>
      <w:r>
        <w:rPr>
          <w:lang/>
        </w:rPr>
        <w:fldChar w:fldCharType="begin"/>
      </w:r>
      <w:r>
        <w:rPr>
          <w:lang/>
        </w:rPr>
        <w:instrText xml:space="preserve"> PAGEREF _Toc59203226 \h </w:instrText>
      </w:r>
      <w:r>
        <w:rPr>
          <w:lang/>
        </w:rPr>
        <w:fldChar w:fldCharType="separate"/>
      </w:r>
      <w:r>
        <w:rPr>
          <w:lang/>
        </w:rPr>
        <w:t>72</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"_Toc59203227"</w:instrText>
      </w:r>
      <w:r>
        <w:rPr>
          <w:rStyle w:val="97"/>
          <w:lang/>
        </w:rPr>
        <w:instrText xml:space="preserve"> </w:instrText>
      </w:r>
      <w:r>
        <w:rPr>
          <w:rStyle w:val="97"/>
          <w:lang/>
        </w:rPr>
        <w:fldChar w:fldCharType="separate"/>
      </w:r>
      <w:r>
        <w:rPr>
          <w:rStyle w:val="97"/>
          <w:rFonts w:ascii="宋体" w:hAnsi="宋体" w:cs="宋体"/>
          <w:bCs/>
          <w:lang/>
        </w:rPr>
        <w:t xml:space="preserve">20.3 </w:t>
      </w:r>
      <w:r>
        <w:rPr>
          <w:rStyle w:val="97"/>
          <w:rFonts w:hint="eastAsia" w:ascii="宋体" w:hAnsi="宋体" w:cs="宋体"/>
          <w:bCs/>
          <w:lang/>
        </w:rPr>
        <w:t>争议评审</w:t>
      </w:r>
      <w:r>
        <w:rPr>
          <w:lang/>
        </w:rPr>
        <w:tab/>
      </w:r>
      <w:r>
        <w:rPr>
          <w:lang/>
        </w:rPr>
        <w:fldChar w:fldCharType="begin"/>
      </w:r>
      <w:r>
        <w:rPr>
          <w:lang/>
        </w:rPr>
        <w:instrText xml:space="preserve"> PAGEREF _Toc59203227 \h </w:instrText>
      </w:r>
      <w:r>
        <w:rPr>
          <w:lang/>
        </w:rPr>
        <w:fldChar w:fldCharType="separate"/>
      </w:r>
      <w:r>
        <w:rPr>
          <w:lang/>
        </w:rPr>
        <w:t>72</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"_Toc59203228"</w:instrText>
      </w:r>
      <w:r>
        <w:rPr>
          <w:rStyle w:val="97"/>
          <w:lang/>
        </w:rPr>
        <w:instrText xml:space="preserve"> </w:instrText>
      </w:r>
      <w:r>
        <w:rPr>
          <w:rStyle w:val="97"/>
          <w:lang/>
        </w:rPr>
        <w:fldChar w:fldCharType="separate"/>
      </w:r>
      <w:r>
        <w:rPr>
          <w:rStyle w:val="97"/>
          <w:rFonts w:ascii="宋体" w:hAnsi="宋体" w:cs="宋体"/>
          <w:bCs/>
          <w:lang/>
        </w:rPr>
        <w:t xml:space="preserve">20.4 </w:t>
      </w:r>
      <w:r>
        <w:rPr>
          <w:rStyle w:val="97"/>
          <w:rFonts w:hint="eastAsia" w:ascii="宋体" w:hAnsi="宋体" w:cs="宋体"/>
          <w:bCs/>
          <w:lang/>
        </w:rPr>
        <w:t>仲裁或诉讼</w:t>
      </w:r>
      <w:r>
        <w:rPr>
          <w:lang/>
        </w:rPr>
        <w:tab/>
      </w:r>
      <w:r>
        <w:rPr>
          <w:lang/>
        </w:rPr>
        <w:fldChar w:fldCharType="begin"/>
      </w:r>
      <w:r>
        <w:rPr>
          <w:lang/>
        </w:rPr>
        <w:instrText xml:space="preserve"> PAGEREF _Toc59203228 \h </w:instrText>
      </w:r>
      <w:r>
        <w:rPr>
          <w:lang/>
        </w:rPr>
        <w:fldChar w:fldCharType="separate"/>
      </w:r>
      <w:r>
        <w:rPr>
          <w:lang/>
        </w:rPr>
        <w:t>73</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"_Toc59203229"</w:instrText>
      </w:r>
      <w:r>
        <w:rPr>
          <w:rStyle w:val="97"/>
          <w:lang/>
        </w:rPr>
        <w:instrText xml:space="preserve"> </w:instrText>
      </w:r>
      <w:r>
        <w:rPr>
          <w:rStyle w:val="97"/>
          <w:lang/>
        </w:rPr>
        <w:fldChar w:fldCharType="separate"/>
      </w:r>
      <w:r>
        <w:rPr>
          <w:rStyle w:val="97"/>
          <w:rFonts w:ascii="宋体" w:hAnsi="宋体" w:cs="宋体"/>
          <w:bCs/>
          <w:lang/>
        </w:rPr>
        <w:t xml:space="preserve">20.5 </w:t>
      </w:r>
      <w:r>
        <w:rPr>
          <w:rStyle w:val="97"/>
          <w:rFonts w:hint="eastAsia" w:ascii="宋体" w:hAnsi="宋体" w:cs="宋体"/>
          <w:bCs/>
          <w:lang/>
        </w:rPr>
        <w:t>争议解决条款效力</w:t>
      </w:r>
      <w:r>
        <w:rPr>
          <w:lang/>
        </w:rPr>
        <w:tab/>
      </w:r>
      <w:r>
        <w:rPr>
          <w:lang/>
        </w:rPr>
        <w:fldChar w:fldCharType="begin"/>
      </w:r>
      <w:r>
        <w:rPr>
          <w:lang/>
        </w:rPr>
        <w:instrText xml:space="preserve"> PAGEREF _Toc59203229 \h </w:instrText>
      </w:r>
      <w:r>
        <w:rPr>
          <w:lang/>
        </w:rPr>
        <w:fldChar w:fldCharType="separate"/>
      </w:r>
      <w:r>
        <w:rPr>
          <w:lang/>
        </w:rPr>
        <w:t>73</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"_Toc59203230"</w:instrText>
      </w:r>
      <w:r>
        <w:rPr>
          <w:rStyle w:val="97"/>
          <w:lang/>
        </w:rPr>
        <w:instrText xml:space="preserve"> </w:instrText>
      </w:r>
      <w:r>
        <w:rPr>
          <w:rStyle w:val="97"/>
          <w:lang/>
        </w:rPr>
        <w:fldChar w:fldCharType="separate"/>
      </w:r>
      <w:r>
        <w:rPr>
          <w:rStyle w:val="97"/>
          <w:rFonts w:hint="eastAsia"/>
          <w:lang/>
        </w:rPr>
        <w:t>第三部分</w:t>
      </w:r>
      <w:r>
        <w:rPr>
          <w:rStyle w:val="97"/>
          <w:lang/>
        </w:rPr>
        <w:t xml:space="preserve"> </w:t>
      </w:r>
      <w:r>
        <w:rPr>
          <w:rStyle w:val="97"/>
          <w:rFonts w:hint="eastAsia"/>
          <w:lang/>
        </w:rPr>
        <w:t>专用合同条件</w:t>
      </w:r>
      <w:r>
        <w:rPr>
          <w:lang/>
        </w:rPr>
        <w:tab/>
      </w:r>
      <w:r>
        <w:rPr>
          <w:lang/>
        </w:rPr>
        <w:fldChar w:fldCharType="begin"/>
      </w:r>
      <w:r>
        <w:rPr>
          <w:lang/>
        </w:rPr>
        <w:instrText xml:space="preserve"> PAGEREF _Toc59203230 \h </w:instrText>
      </w:r>
      <w:r>
        <w:rPr>
          <w:lang/>
        </w:rPr>
        <w:fldChar w:fldCharType="separate"/>
      </w:r>
      <w:r>
        <w:rPr>
          <w:lang/>
        </w:rPr>
        <w:t>74</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"_Toc59203231"</w:instrText>
      </w:r>
      <w:r>
        <w:rPr>
          <w:rStyle w:val="97"/>
          <w:lang/>
        </w:rPr>
        <w:instrText xml:space="preserve"> </w:instrText>
      </w:r>
      <w:r>
        <w:rPr>
          <w:rStyle w:val="97"/>
          <w:lang/>
        </w:rPr>
        <w:fldChar w:fldCharType="separate"/>
      </w:r>
      <w:r>
        <w:rPr>
          <w:rStyle w:val="97"/>
          <w:rFonts w:hint="eastAsia" w:cs="宋体"/>
          <w:lang/>
        </w:rPr>
        <w:t>第</w:t>
      </w:r>
      <w:r>
        <w:rPr>
          <w:rStyle w:val="97"/>
          <w:rFonts w:cs="宋体"/>
          <w:lang/>
        </w:rPr>
        <w:t>1</w:t>
      </w:r>
      <w:r>
        <w:rPr>
          <w:rStyle w:val="97"/>
          <w:rFonts w:hint="eastAsia" w:cs="宋体"/>
          <w:lang/>
        </w:rPr>
        <w:t>条</w:t>
      </w:r>
      <w:r>
        <w:rPr>
          <w:rStyle w:val="97"/>
          <w:rFonts w:cs="宋体"/>
          <w:lang/>
        </w:rPr>
        <w:t xml:space="preserve"> </w:t>
      </w:r>
      <w:r>
        <w:rPr>
          <w:rStyle w:val="97"/>
          <w:rFonts w:hint="eastAsia" w:cs="宋体"/>
          <w:lang/>
        </w:rPr>
        <w:t>一般约定</w:t>
      </w:r>
      <w:r>
        <w:rPr>
          <w:lang/>
        </w:rPr>
        <w:tab/>
      </w:r>
      <w:r>
        <w:rPr>
          <w:lang/>
        </w:rPr>
        <w:fldChar w:fldCharType="begin"/>
      </w:r>
      <w:r>
        <w:rPr>
          <w:lang/>
        </w:rPr>
        <w:instrText xml:space="preserve"> PAGEREF _Toc59203231 \h </w:instrText>
      </w:r>
      <w:r>
        <w:rPr>
          <w:lang/>
        </w:rPr>
        <w:fldChar w:fldCharType="separate"/>
      </w:r>
      <w:r>
        <w:rPr>
          <w:lang/>
        </w:rPr>
        <w:t>74</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"_Toc59203232"</w:instrText>
      </w:r>
      <w:r>
        <w:rPr>
          <w:rStyle w:val="97"/>
          <w:lang/>
        </w:rPr>
        <w:instrText xml:space="preserve"> </w:instrText>
      </w:r>
      <w:r>
        <w:rPr>
          <w:rStyle w:val="97"/>
          <w:lang/>
        </w:rPr>
        <w:fldChar w:fldCharType="separate"/>
      </w:r>
      <w:r>
        <w:rPr>
          <w:rStyle w:val="97"/>
          <w:rFonts w:hint="eastAsia" w:cs="宋体"/>
          <w:lang/>
        </w:rPr>
        <w:t>第</w:t>
      </w:r>
      <w:r>
        <w:rPr>
          <w:rStyle w:val="97"/>
          <w:rFonts w:cs="宋体"/>
          <w:lang/>
        </w:rPr>
        <w:t>2</w:t>
      </w:r>
      <w:r>
        <w:rPr>
          <w:rStyle w:val="97"/>
          <w:rFonts w:hint="eastAsia" w:cs="宋体"/>
          <w:lang/>
        </w:rPr>
        <w:t>条</w:t>
      </w:r>
      <w:r>
        <w:rPr>
          <w:rStyle w:val="97"/>
          <w:rFonts w:cs="宋体"/>
          <w:lang/>
        </w:rPr>
        <w:t xml:space="preserve"> </w:t>
      </w:r>
      <w:r>
        <w:rPr>
          <w:rStyle w:val="97"/>
          <w:rFonts w:hint="eastAsia" w:cs="宋体"/>
          <w:lang/>
        </w:rPr>
        <w:t>发包人</w:t>
      </w:r>
      <w:r>
        <w:rPr>
          <w:lang/>
        </w:rPr>
        <w:tab/>
      </w:r>
      <w:r>
        <w:rPr>
          <w:lang/>
        </w:rPr>
        <w:fldChar w:fldCharType="begin"/>
      </w:r>
      <w:r>
        <w:rPr>
          <w:lang/>
        </w:rPr>
        <w:instrText xml:space="preserve"> PAGEREF _Toc59203232 \h </w:instrText>
      </w:r>
      <w:r>
        <w:rPr>
          <w:lang/>
        </w:rPr>
        <w:fldChar w:fldCharType="separate"/>
      </w:r>
      <w:r>
        <w:rPr>
          <w:lang/>
        </w:rPr>
        <w:t>75</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"_Toc59203233"</w:instrText>
      </w:r>
      <w:r>
        <w:rPr>
          <w:rStyle w:val="97"/>
          <w:lang/>
        </w:rPr>
        <w:instrText xml:space="preserve"> </w:instrText>
      </w:r>
      <w:r>
        <w:rPr>
          <w:rStyle w:val="97"/>
          <w:lang/>
        </w:rPr>
        <w:fldChar w:fldCharType="separate"/>
      </w:r>
      <w:r>
        <w:rPr>
          <w:rStyle w:val="97"/>
          <w:rFonts w:hint="eastAsia" w:cs="宋体"/>
          <w:lang/>
        </w:rPr>
        <w:t>第</w:t>
      </w:r>
      <w:r>
        <w:rPr>
          <w:rStyle w:val="97"/>
          <w:rFonts w:cs="宋体"/>
          <w:lang/>
        </w:rPr>
        <w:t>3</w:t>
      </w:r>
      <w:r>
        <w:rPr>
          <w:rStyle w:val="97"/>
          <w:rFonts w:hint="eastAsia" w:cs="宋体"/>
          <w:lang/>
        </w:rPr>
        <w:t>条</w:t>
      </w:r>
      <w:r>
        <w:rPr>
          <w:rStyle w:val="97"/>
          <w:rFonts w:cs="宋体"/>
          <w:lang/>
        </w:rPr>
        <w:t xml:space="preserve"> </w:t>
      </w:r>
      <w:r>
        <w:rPr>
          <w:rStyle w:val="97"/>
          <w:rFonts w:hint="eastAsia" w:cs="宋体"/>
          <w:lang/>
        </w:rPr>
        <w:t>发包人的管理</w:t>
      </w:r>
      <w:r>
        <w:rPr>
          <w:lang/>
        </w:rPr>
        <w:tab/>
      </w:r>
      <w:r>
        <w:rPr>
          <w:lang/>
        </w:rPr>
        <w:fldChar w:fldCharType="begin"/>
      </w:r>
      <w:r>
        <w:rPr>
          <w:lang/>
        </w:rPr>
        <w:instrText xml:space="preserve"> PAGEREF _Toc59203233 \h </w:instrText>
      </w:r>
      <w:r>
        <w:rPr>
          <w:lang/>
        </w:rPr>
        <w:fldChar w:fldCharType="separate"/>
      </w:r>
      <w:r>
        <w:rPr>
          <w:lang/>
        </w:rPr>
        <w:t>75</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"_Toc59203234"</w:instrText>
      </w:r>
      <w:r>
        <w:rPr>
          <w:rStyle w:val="97"/>
          <w:lang/>
        </w:rPr>
        <w:instrText xml:space="preserve"> </w:instrText>
      </w:r>
      <w:r>
        <w:rPr>
          <w:rStyle w:val="97"/>
          <w:lang/>
        </w:rPr>
        <w:fldChar w:fldCharType="separate"/>
      </w:r>
      <w:r>
        <w:rPr>
          <w:rStyle w:val="97"/>
          <w:rFonts w:hint="eastAsia" w:cs="宋体"/>
          <w:lang/>
        </w:rPr>
        <w:t>第</w:t>
      </w:r>
      <w:r>
        <w:rPr>
          <w:rStyle w:val="97"/>
          <w:rFonts w:cs="宋体"/>
          <w:lang/>
        </w:rPr>
        <w:t>4</w:t>
      </w:r>
      <w:r>
        <w:rPr>
          <w:rStyle w:val="97"/>
          <w:rFonts w:hint="eastAsia" w:cs="宋体"/>
          <w:lang/>
        </w:rPr>
        <w:t>条</w:t>
      </w:r>
      <w:r>
        <w:rPr>
          <w:rStyle w:val="97"/>
          <w:rFonts w:cs="宋体"/>
          <w:lang/>
        </w:rPr>
        <w:t xml:space="preserve"> </w:t>
      </w:r>
      <w:r>
        <w:rPr>
          <w:rStyle w:val="97"/>
          <w:rFonts w:hint="eastAsia" w:cs="宋体"/>
          <w:lang/>
        </w:rPr>
        <w:t>承包人</w:t>
      </w:r>
      <w:r>
        <w:rPr>
          <w:lang/>
        </w:rPr>
        <w:tab/>
      </w:r>
      <w:r>
        <w:rPr>
          <w:lang/>
        </w:rPr>
        <w:fldChar w:fldCharType="begin"/>
      </w:r>
      <w:r>
        <w:rPr>
          <w:lang/>
        </w:rPr>
        <w:instrText xml:space="preserve"> PAGEREF _Toc59203234 \h </w:instrText>
      </w:r>
      <w:r>
        <w:rPr>
          <w:lang/>
        </w:rPr>
        <w:fldChar w:fldCharType="separate"/>
      </w:r>
      <w:r>
        <w:rPr>
          <w:lang/>
        </w:rPr>
        <w:t>76</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"_Toc59203235"</w:instrText>
      </w:r>
      <w:r>
        <w:rPr>
          <w:rStyle w:val="97"/>
          <w:lang/>
        </w:rPr>
        <w:instrText xml:space="preserve"> </w:instrText>
      </w:r>
      <w:r>
        <w:rPr>
          <w:rStyle w:val="97"/>
          <w:lang/>
        </w:rPr>
        <w:fldChar w:fldCharType="separate"/>
      </w:r>
      <w:r>
        <w:rPr>
          <w:rStyle w:val="97"/>
          <w:rFonts w:hint="eastAsia" w:cs="宋体"/>
          <w:lang/>
        </w:rPr>
        <w:t>第</w:t>
      </w:r>
      <w:r>
        <w:rPr>
          <w:rStyle w:val="97"/>
          <w:rFonts w:cs="宋体"/>
          <w:lang/>
        </w:rPr>
        <w:t>5</w:t>
      </w:r>
      <w:r>
        <w:rPr>
          <w:rStyle w:val="97"/>
          <w:rFonts w:hint="eastAsia" w:cs="宋体"/>
          <w:lang/>
        </w:rPr>
        <w:t>条</w:t>
      </w:r>
      <w:r>
        <w:rPr>
          <w:rStyle w:val="97"/>
          <w:rFonts w:cs="宋体"/>
          <w:lang/>
        </w:rPr>
        <w:t xml:space="preserve"> </w:t>
      </w:r>
      <w:r>
        <w:rPr>
          <w:rStyle w:val="97"/>
          <w:rFonts w:hint="eastAsia" w:cs="宋体"/>
          <w:lang/>
        </w:rPr>
        <w:t>设计</w:t>
      </w:r>
      <w:r>
        <w:rPr>
          <w:lang/>
        </w:rPr>
        <w:tab/>
      </w:r>
      <w:r>
        <w:rPr>
          <w:lang/>
        </w:rPr>
        <w:fldChar w:fldCharType="begin"/>
      </w:r>
      <w:r>
        <w:rPr>
          <w:lang/>
        </w:rPr>
        <w:instrText xml:space="preserve"> PAGEREF _Toc59203235 \h </w:instrText>
      </w:r>
      <w:r>
        <w:rPr>
          <w:lang/>
        </w:rPr>
        <w:fldChar w:fldCharType="separate"/>
      </w:r>
      <w:r>
        <w:rPr>
          <w:lang/>
        </w:rPr>
        <w:t>77</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"_Toc59203236"</w:instrText>
      </w:r>
      <w:r>
        <w:rPr>
          <w:rStyle w:val="97"/>
          <w:lang/>
        </w:rPr>
        <w:instrText xml:space="preserve"> </w:instrText>
      </w:r>
      <w:r>
        <w:rPr>
          <w:rStyle w:val="97"/>
          <w:lang/>
        </w:rPr>
        <w:fldChar w:fldCharType="separate"/>
      </w:r>
      <w:r>
        <w:rPr>
          <w:rStyle w:val="97"/>
          <w:rFonts w:hint="eastAsia" w:cs="宋体"/>
          <w:lang/>
        </w:rPr>
        <w:t>第</w:t>
      </w:r>
      <w:r>
        <w:rPr>
          <w:rStyle w:val="97"/>
          <w:rFonts w:cs="宋体"/>
          <w:lang/>
        </w:rPr>
        <w:t>6</w:t>
      </w:r>
      <w:r>
        <w:rPr>
          <w:rStyle w:val="97"/>
          <w:rFonts w:hint="eastAsia" w:cs="宋体"/>
          <w:lang/>
        </w:rPr>
        <w:t>条</w:t>
      </w:r>
      <w:r>
        <w:rPr>
          <w:rStyle w:val="97"/>
          <w:rFonts w:cs="宋体"/>
          <w:lang/>
        </w:rPr>
        <w:t xml:space="preserve"> </w:t>
      </w:r>
      <w:r>
        <w:rPr>
          <w:rStyle w:val="97"/>
          <w:rFonts w:hint="eastAsia" w:cs="宋体"/>
          <w:lang/>
        </w:rPr>
        <w:t>材料、工程设备</w:t>
      </w:r>
      <w:r>
        <w:rPr>
          <w:lang/>
        </w:rPr>
        <w:tab/>
      </w:r>
      <w:r>
        <w:rPr>
          <w:lang/>
        </w:rPr>
        <w:fldChar w:fldCharType="begin"/>
      </w:r>
      <w:r>
        <w:rPr>
          <w:lang/>
        </w:rPr>
        <w:instrText xml:space="preserve"> PAGEREF _Toc59203236 \h </w:instrText>
      </w:r>
      <w:r>
        <w:rPr>
          <w:lang/>
        </w:rPr>
        <w:fldChar w:fldCharType="separate"/>
      </w:r>
      <w:r>
        <w:rPr>
          <w:lang/>
        </w:rPr>
        <w:t>78</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"_Toc59203237"</w:instrText>
      </w:r>
      <w:r>
        <w:rPr>
          <w:rStyle w:val="97"/>
          <w:lang/>
        </w:rPr>
        <w:instrText xml:space="preserve"> </w:instrText>
      </w:r>
      <w:r>
        <w:rPr>
          <w:rStyle w:val="97"/>
          <w:lang/>
        </w:rPr>
        <w:fldChar w:fldCharType="separate"/>
      </w:r>
      <w:r>
        <w:rPr>
          <w:rStyle w:val="97"/>
          <w:rFonts w:hint="eastAsia" w:cs="宋体"/>
          <w:lang/>
        </w:rPr>
        <w:t>第</w:t>
      </w:r>
      <w:r>
        <w:rPr>
          <w:rStyle w:val="97"/>
          <w:rFonts w:cs="宋体"/>
          <w:lang/>
        </w:rPr>
        <w:t>7</w:t>
      </w:r>
      <w:r>
        <w:rPr>
          <w:rStyle w:val="97"/>
          <w:rFonts w:hint="eastAsia" w:cs="宋体"/>
          <w:lang/>
        </w:rPr>
        <w:t>条</w:t>
      </w:r>
      <w:r>
        <w:rPr>
          <w:rStyle w:val="97"/>
          <w:rFonts w:cs="宋体"/>
          <w:lang/>
        </w:rPr>
        <w:t xml:space="preserve"> </w:t>
      </w:r>
      <w:r>
        <w:rPr>
          <w:rStyle w:val="97"/>
          <w:rFonts w:hint="eastAsia" w:cs="宋体"/>
          <w:lang/>
        </w:rPr>
        <w:t>施工</w:t>
      </w:r>
      <w:r>
        <w:rPr>
          <w:lang/>
        </w:rPr>
        <w:tab/>
      </w:r>
      <w:r>
        <w:rPr>
          <w:lang/>
        </w:rPr>
        <w:fldChar w:fldCharType="begin"/>
      </w:r>
      <w:r>
        <w:rPr>
          <w:lang/>
        </w:rPr>
        <w:instrText xml:space="preserve"> PAGEREF _Toc59203237 \h </w:instrText>
      </w:r>
      <w:r>
        <w:rPr>
          <w:lang/>
        </w:rPr>
        <w:fldChar w:fldCharType="separate"/>
      </w:r>
      <w:r>
        <w:rPr>
          <w:lang/>
        </w:rPr>
        <w:t>79</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"_Toc59203238"</w:instrText>
      </w:r>
      <w:r>
        <w:rPr>
          <w:rStyle w:val="97"/>
          <w:lang/>
        </w:rPr>
        <w:instrText xml:space="preserve"> </w:instrText>
      </w:r>
      <w:r>
        <w:rPr>
          <w:rStyle w:val="97"/>
          <w:lang/>
        </w:rPr>
        <w:fldChar w:fldCharType="separate"/>
      </w:r>
      <w:r>
        <w:rPr>
          <w:rStyle w:val="97"/>
          <w:rFonts w:hint="eastAsia" w:cs="宋体"/>
          <w:lang/>
        </w:rPr>
        <w:t>第</w:t>
      </w:r>
      <w:r>
        <w:rPr>
          <w:rStyle w:val="97"/>
          <w:rFonts w:cs="宋体"/>
          <w:lang/>
        </w:rPr>
        <w:t>8</w:t>
      </w:r>
      <w:r>
        <w:rPr>
          <w:rStyle w:val="97"/>
          <w:rFonts w:hint="eastAsia" w:cs="宋体"/>
          <w:lang/>
        </w:rPr>
        <w:t>条</w:t>
      </w:r>
      <w:r>
        <w:rPr>
          <w:rStyle w:val="97"/>
          <w:rFonts w:cs="宋体"/>
          <w:lang/>
        </w:rPr>
        <w:t xml:space="preserve"> </w:t>
      </w:r>
      <w:r>
        <w:rPr>
          <w:rStyle w:val="97"/>
          <w:rFonts w:hint="eastAsia" w:cs="宋体"/>
          <w:lang/>
        </w:rPr>
        <w:t>工期和进度</w:t>
      </w:r>
      <w:r>
        <w:rPr>
          <w:lang/>
        </w:rPr>
        <w:tab/>
      </w:r>
      <w:r>
        <w:rPr>
          <w:lang/>
        </w:rPr>
        <w:fldChar w:fldCharType="begin"/>
      </w:r>
      <w:r>
        <w:rPr>
          <w:lang/>
        </w:rPr>
        <w:instrText xml:space="preserve"> PAGEREF _Toc59203238 \h </w:instrText>
      </w:r>
      <w:r>
        <w:rPr>
          <w:lang/>
        </w:rPr>
        <w:fldChar w:fldCharType="separate"/>
      </w:r>
      <w:r>
        <w:rPr>
          <w:lang/>
        </w:rPr>
        <w:t>80</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"_Toc59203239"</w:instrText>
      </w:r>
      <w:r>
        <w:rPr>
          <w:rStyle w:val="97"/>
          <w:lang/>
        </w:rPr>
        <w:instrText xml:space="preserve"> </w:instrText>
      </w:r>
      <w:r>
        <w:rPr>
          <w:rStyle w:val="97"/>
          <w:lang/>
        </w:rPr>
        <w:fldChar w:fldCharType="separate"/>
      </w:r>
      <w:r>
        <w:rPr>
          <w:rStyle w:val="97"/>
          <w:rFonts w:hint="eastAsia" w:cs="宋体"/>
          <w:lang/>
        </w:rPr>
        <w:t>第</w:t>
      </w:r>
      <w:r>
        <w:rPr>
          <w:rStyle w:val="97"/>
          <w:rFonts w:cs="宋体"/>
          <w:lang/>
        </w:rPr>
        <w:t>9</w:t>
      </w:r>
      <w:r>
        <w:rPr>
          <w:rStyle w:val="97"/>
          <w:rFonts w:hint="eastAsia" w:cs="宋体"/>
          <w:lang/>
        </w:rPr>
        <w:t>条</w:t>
      </w:r>
      <w:r>
        <w:rPr>
          <w:rStyle w:val="97"/>
          <w:rFonts w:cs="宋体"/>
          <w:lang/>
        </w:rPr>
        <w:t xml:space="preserve"> </w:t>
      </w:r>
      <w:r>
        <w:rPr>
          <w:rStyle w:val="97"/>
          <w:rFonts w:hint="eastAsia" w:cs="宋体"/>
          <w:lang/>
        </w:rPr>
        <w:t>竣工试验</w:t>
      </w:r>
      <w:r>
        <w:rPr>
          <w:lang/>
        </w:rPr>
        <w:tab/>
      </w:r>
      <w:r>
        <w:rPr>
          <w:lang/>
        </w:rPr>
        <w:fldChar w:fldCharType="begin"/>
      </w:r>
      <w:r>
        <w:rPr>
          <w:lang/>
        </w:rPr>
        <w:instrText xml:space="preserve"> PAGEREF _Toc59203239 \h </w:instrText>
      </w:r>
      <w:r>
        <w:rPr>
          <w:lang/>
        </w:rPr>
        <w:fldChar w:fldCharType="separate"/>
      </w:r>
      <w:r>
        <w:rPr>
          <w:lang/>
        </w:rPr>
        <w:t>81</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"_Toc59203240"</w:instrText>
      </w:r>
      <w:r>
        <w:rPr>
          <w:rStyle w:val="97"/>
          <w:lang/>
        </w:rPr>
        <w:instrText xml:space="preserve"> </w:instrText>
      </w:r>
      <w:r>
        <w:rPr>
          <w:rStyle w:val="97"/>
          <w:lang/>
        </w:rPr>
        <w:fldChar w:fldCharType="separate"/>
      </w:r>
      <w:r>
        <w:rPr>
          <w:rStyle w:val="97"/>
          <w:rFonts w:hint="eastAsia" w:cs="宋体"/>
          <w:lang/>
        </w:rPr>
        <w:t>第</w:t>
      </w:r>
      <w:r>
        <w:rPr>
          <w:rStyle w:val="97"/>
          <w:rFonts w:cs="宋体"/>
          <w:lang/>
        </w:rPr>
        <w:t>10</w:t>
      </w:r>
      <w:r>
        <w:rPr>
          <w:rStyle w:val="97"/>
          <w:rFonts w:hint="eastAsia" w:cs="宋体"/>
          <w:lang/>
        </w:rPr>
        <w:t>条</w:t>
      </w:r>
      <w:r>
        <w:rPr>
          <w:rStyle w:val="97"/>
          <w:rFonts w:cs="宋体"/>
          <w:lang/>
        </w:rPr>
        <w:t xml:space="preserve"> </w:t>
      </w:r>
      <w:r>
        <w:rPr>
          <w:rStyle w:val="97"/>
          <w:rFonts w:hint="eastAsia" w:cs="宋体"/>
          <w:lang/>
        </w:rPr>
        <w:t>验收和工程接收</w:t>
      </w:r>
      <w:r>
        <w:rPr>
          <w:lang/>
        </w:rPr>
        <w:tab/>
      </w:r>
      <w:r>
        <w:rPr>
          <w:lang/>
        </w:rPr>
        <w:fldChar w:fldCharType="begin"/>
      </w:r>
      <w:r>
        <w:rPr>
          <w:lang/>
        </w:rPr>
        <w:instrText xml:space="preserve"> PAGEREF _Toc59203240 \h </w:instrText>
      </w:r>
      <w:r>
        <w:rPr>
          <w:lang/>
        </w:rPr>
        <w:fldChar w:fldCharType="separate"/>
      </w:r>
      <w:r>
        <w:rPr>
          <w:lang/>
        </w:rPr>
        <w:t>81</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"_Toc59203241"</w:instrText>
      </w:r>
      <w:r>
        <w:rPr>
          <w:rStyle w:val="97"/>
          <w:lang/>
        </w:rPr>
        <w:instrText xml:space="preserve"> </w:instrText>
      </w:r>
      <w:r>
        <w:rPr>
          <w:rStyle w:val="97"/>
          <w:lang/>
        </w:rPr>
        <w:fldChar w:fldCharType="separate"/>
      </w:r>
      <w:r>
        <w:rPr>
          <w:rStyle w:val="97"/>
          <w:rFonts w:hint="eastAsia" w:cs="宋体"/>
          <w:lang/>
        </w:rPr>
        <w:t>第</w:t>
      </w:r>
      <w:r>
        <w:rPr>
          <w:rStyle w:val="97"/>
          <w:rFonts w:cs="宋体"/>
          <w:lang/>
        </w:rPr>
        <w:t>11</w:t>
      </w:r>
      <w:r>
        <w:rPr>
          <w:rStyle w:val="97"/>
          <w:rFonts w:hint="eastAsia" w:cs="宋体"/>
          <w:lang/>
        </w:rPr>
        <w:t>条</w:t>
      </w:r>
      <w:r>
        <w:rPr>
          <w:rStyle w:val="97"/>
          <w:rFonts w:cs="宋体"/>
          <w:lang/>
        </w:rPr>
        <w:t xml:space="preserve"> </w:t>
      </w:r>
      <w:r>
        <w:rPr>
          <w:rStyle w:val="97"/>
          <w:rFonts w:hint="eastAsia" w:cs="宋体"/>
          <w:lang/>
        </w:rPr>
        <w:t>缺陷责任与保修</w:t>
      </w:r>
      <w:r>
        <w:rPr>
          <w:lang/>
        </w:rPr>
        <w:tab/>
      </w:r>
      <w:r>
        <w:rPr>
          <w:lang/>
        </w:rPr>
        <w:fldChar w:fldCharType="begin"/>
      </w:r>
      <w:r>
        <w:rPr>
          <w:lang/>
        </w:rPr>
        <w:instrText xml:space="preserve"> PAGEREF _Toc59203241 \h </w:instrText>
      </w:r>
      <w:r>
        <w:rPr>
          <w:lang/>
        </w:rPr>
        <w:fldChar w:fldCharType="separate"/>
      </w:r>
      <w:r>
        <w:rPr>
          <w:lang/>
        </w:rPr>
        <w:t>82</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"_Toc59203242"</w:instrText>
      </w:r>
      <w:r>
        <w:rPr>
          <w:rStyle w:val="97"/>
          <w:lang/>
        </w:rPr>
        <w:instrText xml:space="preserve"> </w:instrText>
      </w:r>
      <w:r>
        <w:rPr>
          <w:rStyle w:val="97"/>
          <w:lang/>
        </w:rPr>
        <w:fldChar w:fldCharType="separate"/>
      </w:r>
      <w:r>
        <w:rPr>
          <w:rStyle w:val="97"/>
          <w:rFonts w:hint="eastAsia" w:cs="宋体"/>
          <w:lang/>
        </w:rPr>
        <w:t>第</w:t>
      </w:r>
      <w:r>
        <w:rPr>
          <w:rStyle w:val="97"/>
          <w:rFonts w:cs="宋体"/>
          <w:lang/>
        </w:rPr>
        <w:t>12</w:t>
      </w:r>
      <w:r>
        <w:rPr>
          <w:rStyle w:val="97"/>
          <w:rFonts w:hint="eastAsia" w:cs="宋体"/>
          <w:lang/>
        </w:rPr>
        <w:t>条</w:t>
      </w:r>
      <w:r>
        <w:rPr>
          <w:rStyle w:val="97"/>
          <w:rFonts w:cs="宋体"/>
          <w:lang/>
        </w:rPr>
        <w:t xml:space="preserve"> </w:t>
      </w:r>
      <w:r>
        <w:rPr>
          <w:rStyle w:val="97"/>
          <w:rFonts w:hint="eastAsia" w:cs="宋体"/>
          <w:lang/>
        </w:rPr>
        <w:t>竣工后试验</w:t>
      </w:r>
      <w:r>
        <w:rPr>
          <w:lang/>
        </w:rPr>
        <w:tab/>
      </w:r>
      <w:r>
        <w:rPr>
          <w:lang/>
        </w:rPr>
        <w:fldChar w:fldCharType="begin"/>
      </w:r>
      <w:r>
        <w:rPr>
          <w:lang/>
        </w:rPr>
        <w:instrText xml:space="preserve"> PAGEREF _Toc59203242 \h </w:instrText>
      </w:r>
      <w:r>
        <w:rPr>
          <w:lang/>
        </w:rPr>
        <w:fldChar w:fldCharType="separate"/>
      </w:r>
      <w:r>
        <w:rPr>
          <w:lang/>
        </w:rPr>
        <w:t>82</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"_Toc59203243"</w:instrText>
      </w:r>
      <w:r>
        <w:rPr>
          <w:rStyle w:val="97"/>
          <w:lang/>
        </w:rPr>
        <w:instrText xml:space="preserve"> </w:instrText>
      </w:r>
      <w:r>
        <w:rPr>
          <w:rStyle w:val="97"/>
          <w:lang/>
        </w:rPr>
        <w:fldChar w:fldCharType="separate"/>
      </w:r>
      <w:r>
        <w:rPr>
          <w:rStyle w:val="97"/>
          <w:rFonts w:hint="eastAsia" w:cs="宋体"/>
          <w:lang/>
        </w:rPr>
        <w:t>第</w:t>
      </w:r>
      <w:r>
        <w:rPr>
          <w:rStyle w:val="97"/>
          <w:rFonts w:cs="宋体"/>
          <w:lang/>
        </w:rPr>
        <w:t>13</w:t>
      </w:r>
      <w:r>
        <w:rPr>
          <w:rStyle w:val="97"/>
          <w:rFonts w:hint="eastAsia" w:cs="宋体"/>
          <w:lang/>
        </w:rPr>
        <w:t>条</w:t>
      </w:r>
      <w:r>
        <w:rPr>
          <w:rStyle w:val="97"/>
          <w:rFonts w:cs="宋体"/>
          <w:lang/>
        </w:rPr>
        <w:t xml:space="preserve"> </w:t>
      </w:r>
      <w:r>
        <w:rPr>
          <w:rStyle w:val="97"/>
          <w:rFonts w:hint="eastAsia" w:cs="宋体"/>
          <w:lang/>
        </w:rPr>
        <w:t>变更与调整</w:t>
      </w:r>
      <w:r>
        <w:rPr>
          <w:lang/>
        </w:rPr>
        <w:tab/>
      </w:r>
      <w:r>
        <w:rPr>
          <w:lang/>
        </w:rPr>
        <w:fldChar w:fldCharType="begin"/>
      </w:r>
      <w:r>
        <w:rPr>
          <w:lang/>
        </w:rPr>
        <w:instrText xml:space="preserve"> PAGEREF _Toc59203243 \h </w:instrText>
      </w:r>
      <w:r>
        <w:rPr>
          <w:lang/>
        </w:rPr>
        <w:fldChar w:fldCharType="separate"/>
      </w:r>
      <w:r>
        <w:rPr>
          <w:lang/>
        </w:rPr>
        <w:t>82</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"_Toc59203244"</w:instrText>
      </w:r>
      <w:r>
        <w:rPr>
          <w:rStyle w:val="97"/>
          <w:lang/>
        </w:rPr>
        <w:instrText xml:space="preserve"> </w:instrText>
      </w:r>
      <w:r>
        <w:rPr>
          <w:rStyle w:val="97"/>
          <w:lang/>
        </w:rPr>
        <w:fldChar w:fldCharType="separate"/>
      </w:r>
      <w:r>
        <w:rPr>
          <w:rStyle w:val="97"/>
          <w:rFonts w:hint="eastAsia" w:cs="宋体"/>
          <w:lang/>
        </w:rPr>
        <w:t>第</w:t>
      </w:r>
      <w:r>
        <w:rPr>
          <w:rStyle w:val="97"/>
          <w:rFonts w:cs="宋体"/>
          <w:lang/>
        </w:rPr>
        <w:t>14</w:t>
      </w:r>
      <w:r>
        <w:rPr>
          <w:rStyle w:val="97"/>
          <w:rFonts w:hint="eastAsia" w:cs="宋体"/>
          <w:lang/>
        </w:rPr>
        <w:t>条</w:t>
      </w:r>
      <w:r>
        <w:rPr>
          <w:rStyle w:val="97"/>
          <w:rFonts w:cs="宋体"/>
          <w:lang/>
        </w:rPr>
        <w:t xml:space="preserve"> </w:t>
      </w:r>
      <w:r>
        <w:rPr>
          <w:rStyle w:val="97"/>
          <w:rFonts w:hint="eastAsia" w:cs="宋体"/>
          <w:lang/>
        </w:rPr>
        <w:t>合同价格与支付</w:t>
      </w:r>
      <w:r>
        <w:rPr>
          <w:lang/>
        </w:rPr>
        <w:tab/>
      </w:r>
      <w:r>
        <w:rPr>
          <w:lang/>
        </w:rPr>
        <w:fldChar w:fldCharType="begin"/>
      </w:r>
      <w:r>
        <w:rPr>
          <w:lang/>
        </w:rPr>
        <w:instrText xml:space="preserve"> PAGEREF _Toc59203244 \h </w:instrText>
      </w:r>
      <w:r>
        <w:rPr>
          <w:lang/>
        </w:rPr>
        <w:fldChar w:fldCharType="separate"/>
      </w:r>
      <w:r>
        <w:rPr>
          <w:lang/>
        </w:rPr>
        <w:t>84</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"_Toc59203245"</w:instrText>
      </w:r>
      <w:r>
        <w:rPr>
          <w:rStyle w:val="97"/>
          <w:lang/>
        </w:rPr>
        <w:instrText xml:space="preserve"> </w:instrText>
      </w:r>
      <w:r>
        <w:rPr>
          <w:rStyle w:val="97"/>
          <w:lang/>
        </w:rPr>
        <w:fldChar w:fldCharType="separate"/>
      </w:r>
      <w:r>
        <w:rPr>
          <w:rStyle w:val="97"/>
          <w:rFonts w:hint="eastAsia" w:cs="宋体"/>
          <w:lang/>
        </w:rPr>
        <w:t>第</w:t>
      </w:r>
      <w:r>
        <w:rPr>
          <w:rStyle w:val="97"/>
          <w:rFonts w:cs="宋体"/>
          <w:lang/>
        </w:rPr>
        <w:t>15</w:t>
      </w:r>
      <w:r>
        <w:rPr>
          <w:rStyle w:val="97"/>
          <w:rFonts w:hint="eastAsia" w:cs="宋体"/>
          <w:lang/>
        </w:rPr>
        <w:t>条</w:t>
      </w:r>
      <w:r>
        <w:rPr>
          <w:rStyle w:val="97"/>
          <w:rFonts w:cs="宋体"/>
          <w:lang/>
        </w:rPr>
        <w:t xml:space="preserve"> </w:t>
      </w:r>
      <w:r>
        <w:rPr>
          <w:rStyle w:val="97"/>
          <w:rFonts w:hint="eastAsia" w:cs="宋体"/>
          <w:lang/>
        </w:rPr>
        <w:t>违约</w:t>
      </w:r>
      <w:r>
        <w:rPr>
          <w:lang/>
        </w:rPr>
        <w:tab/>
      </w:r>
      <w:r>
        <w:rPr>
          <w:lang/>
        </w:rPr>
        <w:fldChar w:fldCharType="begin"/>
      </w:r>
      <w:r>
        <w:rPr>
          <w:lang/>
        </w:rPr>
        <w:instrText xml:space="preserve"> PAGEREF _Toc59203245 \h </w:instrText>
      </w:r>
      <w:r>
        <w:rPr>
          <w:lang/>
        </w:rPr>
        <w:fldChar w:fldCharType="separate"/>
      </w:r>
      <w:r>
        <w:rPr>
          <w:lang/>
        </w:rPr>
        <w:t>87</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"_Toc59203246"</w:instrText>
      </w:r>
      <w:r>
        <w:rPr>
          <w:rStyle w:val="97"/>
          <w:lang/>
        </w:rPr>
        <w:instrText xml:space="preserve"> </w:instrText>
      </w:r>
      <w:r>
        <w:rPr>
          <w:rStyle w:val="97"/>
          <w:lang/>
        </w:rPr>
        <w:fldChar w:fldCharType="separate"/>
      </w:r>
      <w:r>
        <w:rPr>
          <w:rStyle w:val="97"/>
          <w:rFonts w:hint="eastAsia" w:cs="宋体"/>
          <w:lang/>
        </w:rPr>
        <w:t>第</w:t>
      </w:r>
      <w:r>
        <w:rPr>
          <w:rStyle w:val="97"/>
          <w:rFonts w:cs="宋体"/>
          <w:lang/>
        </w:rPr>
        <w:t>16</w:t>
      </w:r>
      <w:r>
        <w:rPr>
          <w:rStyle w:val="97"/>
          <w:rFonts w:hint="eastAsia" w:cs="宋体"/>
          <w:lang/>
        </w:rPr>
        <w:t>条</w:t>
      </w:r>
      <w:r>
        <w:rPr>
          <w:rStyle w:val="97"/>
          <w:rFonts w:cs="宋体"/>
          <w:lang/>
        </w:rPr>
        <w:t xml:space="preserve"> </w:t>
      </w:r>
      <w:r>
        <w:rPr>
          <w:rStyle w:val="97"/>
          <w:rFonts w:hint="eastAsia" w:cs="宋体"/>
          <w:lang/>
        </w:rPr>
        <w:t>合同解除</w:t>
      </w:r>
      <w:r>
        <w:rPr>
          <w:lang/>
        </w:rPr>
        <w:tab/>
      </w:r>
      <w:r>
        <w:rPr>
          <w:lang/>
        </w:rPr>
        <w:fldChar w:fldCharType="begin"/>
      </w:r>
      <w:r>
        <w:rPr>
          <w:lang/>
        </w:rPr>
        <w:instrText xml:space="preserve"> PAGEREF _Toc59203246 \h </w:instrText>
      </w:r>
      <w:r>
        <w:rPr>
          <w:lang/>
        </w:rPr>
        <w:fldChar w:fldCharType="separate"/>
      </w:r>
      <w:r>
        <w:rPr>
          <w:lang/>
        </w:rPr>
        <w:t>88</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"_Toc59203247"</w:instrText>
      </w:r>
      <w:r>
        <w:rPr>
          <w:rStyle w:val="97"/>
          <w:lang/>
        </w:rPr>
        <w:instrText xml:space="preserve"> </w:instrText>
      </w:r>
      <w:r>
        <w:rPr>
          <w:rStyle w:val="97"/>
          <w:lang/>
        </w:rPr>
        <w:fldChar w:fldCharType="separate"/>
      </w:r>
      <w:r>
        <w:rPr>
          <w:rStyle w:val="97"/>
          <w:rFonts w:hint="eastAsia" w:cs="宋体"/>
          <w:lang/>
        </w:rPr>
        <w:t>第</w:t>
      </w:r>
      <w:r>
        <w:rPr>
          <w:rStyle w:val="97"/>
          <w:rFonts w:cs="宋体"/>
          <w:lang/>
        </w:rPr>
        <w:t>17</w:t>
      </w:r>
      <w:r>
        <w:rPr>
          <w:rStyle w:val="97"/>
          <w:rFonts w:hint="eastAsia" w:cs="宋体"/>
          <w:lang/>
        </w:rPr>
        <w:t>条</w:t>
      </w:r>
      <w:r>
        <w:rPr>
          <w:rStyle w:val="97"/>
          <w:rFonts w:cs="宋体"/>
          <w:lang/>
        </w:rPr>
        <w:t xml:space="preserve"> </w:t>
      </w:r>
      <w:r>
        <w:rPr>
          <w:rStyle w:val="97"/>
          <w:rFonts w:hint="eastAsia" w:cs="宋体"/>
          <w:lang/>
        </w:rPr>
        <w:t>不可抗力</w:t>
      </w:r>
      <w:r>
        <w:rPr>
          <w:lang/>
        </w:rPr>
        <w:tab/>
      </w:r>
      <w:r>
        <w:rPr>
          <w:lang/>
        </w:rPr>
        <w:fldChar w:fldCharType="begin"/>
      </w:r>
      <w:r>
        <w:rPr>
          <w:lang/>
        </w:rPr>
        <w:instrText xml:space="preserve"> PAGEREF _Toc59203247 \h </w:instrText>
      </w:r>
      <w:r>
        <w:rPr>
          <w:lang/>
        </w:rPr>
        <w:fldChar w:fldCharType="separate"/>
      </w:r>
      <w:r>
        <w:rPr>
          <w:lang/>
        </w:rPr>
        <w:t>88</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"_Toc59203248"</w:instrText>
      </w:r>
      <w:r>
        <w:rPr>
          <w:rStyle w:val="97"/>
          <w:lang/>
        </w:rPr>
        <w:instrText xml:space="preserve"> </w:instrText>
      </w:r>
      <w:r>
        <w:rPr>
          <w:rStyle w:val="97"/>
          <w:lang/>
        </w:rPr>
        <w:fldChar w:fldCharType="separate"/>
      </w:r>
      <w:r>
        <w:rPr>
          <w:rStyle w:val="97"/>
          <w:rFonts w:hint="eastAsia" w:cs="宋体"/>
          <w:lang/>
        </w:rPr>
        <w:t>第</w:t>
      </w:r>
      <w:r>
        <w:rPr>
          <w:rStyle w:val="97"/>
          <w:rFonts w:cs="宋体"/>
          <w:lang/>
        </w:rPr>
        <w:t>18</w:t>
      </w:r>
      <w:r>
        <w:rPr>
          <w:rStyle w:val="97"/>
          <w:rFonts w:hint="eastAsia" w:cs="宋体"/>
          <w:lang/>
        </w:rPr>
        <w:t>条</w:t>
      </w:r>
      <w:r>
        <w:rPr>
          <w:rStyle w:val="97"/>
          <w:rFonts w:cs="宋体"/>
          <w:lang/>
        </w:rPr>
        <w:t xml:space="preserve"> </w:t>
      </w:r>
      <w:r>
        <w:rPr>
          <w:rStyle w:val="97"/>
          <w:rFonts w:hint="eastAsia" w:cs="宋体"/>
          <w:lang/>
        </w:rPr>
        <w:t>保险</w:t>
      </w:r>
      <w:r>
        <w:rPr>
          <w:lang/>
        </w:rPr>
        <w:tab/>
      </w:r>
      <w:r>
        <w:rPr>
          <w:lang/>
        </w:rPr>
        <w:fldChar w:fldCharType="begin"/>
      </w:r>
      <w:r>
        <w:rPr>
          <w:lang/>
        </w:rPr>
        <w:instrText xml:space="preserve"> PAGEREF _Toc59203248 \h </w:instrText>
      </w:r>
      <w:r>
        <w:rPr>
          <w:lang/>
        </w:rPr>
        <w:fldChar w:fldCharType="separate"/>
      </w:r>
      <w:r>
        <w:rPr>
          <w:lang/>
        </w:rPr>
        <w:t>88</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"_Toc59203249"</w:instrText>
      </w:r>
      <w:r>
        <w:rPr>
          <w:rStyle w:val="97"/>
          <w:lang/>
        </w:rPr>
        <w:instrText xml:space="preserve"> </w:instrText>
      </w:r>
      <w:r>
        <w:rPr>
          <w:rStyle w:val="97"/>
          <w:lang/>
        </w:rPr>
        <w:fldChar w:fldCharType="separate"/>
      </w:r>
      <w:r>
        <w:rPr>
          <w:rStyle w:val="97"/>
          <w:rFonts w:hint="eastAsia" w:cs="宋体"/>
          <w:lang/>
        </w:rPr>
        <w:t>第</w:t>
      </w:r>
      <w:r>
        <w:rPr>
          <w:rStyle w:val="97"/>
          <w:rFonts w:cs="宋体"/>
          <w:lang/>
        </w:rPr>
        <w:t>20</w:t>
      </w:r>
      <w:r>
        <w:rPr>
          <w:rStyle w:val="97"/>
          <w:rFonts w:hint="eastAsia" w:cs="宋体"/>
          <w:lang/>
        </w:rPr>
        <w:t>条</w:t>
      </w:r>
      <w:r>
        <w:rPr>
          <w:rStyle w:val="97"/>
          <w:rFonts w:cs="宋体"/>
          <w:lang/>
        </w:rPr>
        <w:t xml:space="preserve"> </w:t>
      </w:r>
      <w:r>
        <w:rPr>
          <w:rStyle w:val="97"/>
          <w:rFonts w:hint="eastAsia" w:cs="宋体"/>
          <w:lang/>
        </w:rPr>
        <w:t>争议解决</w:t>
      </w:r>
      <w:r>
        <w:rPr>
          <w:lang/>
        </w:rPr>
        <w:tab/>
      </w:r>
      <w:r>
        <w:rPr>
          <w:lang/>
        </w:rPr>
        <w:fldChar w:fldCharType="begin"/>
      </w:r>
      <w:r>
        <w:rPr>
          <w:lang/>
        </w:rPr>
        <w:instrText xml:space="preserve"> PAGEREF _Toc59203249 \h </w:instrText>
      </w:r>
      <w:r>
        <w:rPr>
          <w:lang/>
        </w:rPr>
        <w:fldChar w:fldCharType="separate"/>
      </w:r>
      <w:r>
        <w:rPr>
          <w:lang/>
        </w:rPr>
        <w:t>89</w:t>
      </w:r>
      <w:r>
        <w:rPr>
          <w:lang/>
        </w:rPr>
        <w:fldChar w:fldCharType="end"/>
      </w:r>
      <w:r>
        <w:rPr>
          <w:rStyle w:val="97"/>
          <w:lang/>
        </w:rPr>
        <w:fldChar w:fldCharType="end"/>
      </w:r>
    </w:p>
    <w:p>
      <w:pPr>
        <w:pStyle w:val="55"/>
        <w:tabs>
          <w:tab w:val="right" w:leader="dot" w:pos="9629"/>
        </w:tabs>
        <w:rPr>
          <w:rFonts w:ascii="Calibri" w:hAnsi="Calibri"/>
          <w:b w:val="0"/>
          <w:bCs w:val="0"/>
          <w:caps w:val="0"/>
          <w:sz w:val="21"/>
          <w:szCs w:val="22"/>
          <w:lang/>
        </w:rPr>
      </w:pPr>
      <w:r>
        <w:rPr>
          <w:rStyle w:val="97"/>
          <w:lang/>
        </w:rPr>
        <w:fldChar w:fldCharType="begin"/>
      </w:r>
      <w:r>
        <w:rPr>
          <w:rStyle w:val="97"/>
          <w:lang/>
        </w:rPr>
        <w:instrText xml:space="preserve"> </w:instrText>
      </w:r>
      <w:r>
        <w:rPr>
          <w:lang/>
        </w:rPr>
        <w:instrText xml:space="preserve">HYPERLINK \l "_Toc59203250"</w:instrText>
      </w:r>
      <w:r>
        <w:rPr>
          <w:rStyle w:val="97"/>
          <w:lang/>
        </w:rPr>
        <w:instrText xml:space="preserve"> </w:instrText>
      </w:r>
      <w:r>
        <w:rPr>
          <w:rStyle w:val="97"/>
          <w:lang/>
        </w:rPr>
        <w:fldChar w:fldCharType="separate"/>
      </w:r>
      <w:r>
        <w:rPr>
          <w:rStyle w:val="97"/>
          <w:rFonts w:hint="eastAsia" w:cs="宋体"/>
          <w:lang/>
        </w:rPr>
        <w:t>专用合同条件附件</w:t>
      </w:r>
      <w:r>
        <w:rPr>
          <w:lang/>
        </w:rPr>
        <w:tab/>
      </w:r>
      <w:r>
        <w:rPr>
          <w:lang/>
        </w:rPr>
        <w:fldChar w:fldCharType="begin"/>
      </w:r>
      <w:r>
        <w:rPr>
          <w:lang/>
        </w:rPr>
        <w:instrText xml:space="preserve"> PAGEREF _Toc59203250 \h </w:instrText>
      </w:r>
      <w:r>
        <w:rPr>
          <w:lang/>
        </w:rPr>
        <w:fldChar w:fldCharType="separate"/>
      </w:r>
      <w:r>
        <w:rPr>
          <w:lang/>
        </w:rPr>
        <w:t>90</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"_Toc59203251"</w:instrText>
      </w:r>
      <w:r>
        <w:rPr>
          <w:rStyle w:val="97"/>
          <w:lang/>
        </w:rPr>
        <w:instrText xml:space="preserve"> </w:instrText>
      </w:r>
      <w:r>
        <w:rPr>
          <w:rStyle w:val="97"/>
          <w:lang/>
        </w:rPr>
        <w:fldChar w:fldCharType="separate"/>
      </w:r>
      <w:r>
        <w:rPr>
          <w:rStyle w:val="97"/>
          <w:rFonts w:hint="eastAsia" w:ascii="宋体" w:hAnsi="宋体" w:cs="宋体"/>
          <w:lang/>
        </w:rPr>
        <w:t>附件</w:t>
      </w:r>
      <w:r>
        <w:rPr>
          <w:rStyle w:val="97"/>
          <w:rFonts w:ascii="宋体" w:hAnsi="宋体" w:cs="宋体"/>
          <w:lang/>
        </w:rPr>
        <w:t xml:space="preserve">1 </w:t>
      </w:r>
      <w:r>
        <w:rPr>
          <w:rStyle w:val="97"/>
          <w:rFonts w:hint="eastAsia" w:ascii="宋体" w:hAnsi="宋体" w:cs="宋体"/>
          <w:lang/>
        </w:rPr>
        <w:t>《发包人要求》</w:t>
      </w:r>
      <w:r>
        <w:rPr>
          <w:lang/>
        </w:rPr>
        <w:tab/>
      </w:r>
      <w:r>
        <w:rPr>
          <w:lang/>
        </w:rPr>
        <w:fldChar w:fldCharType="begin"/>
      </w:r>
      <w:r>
        <w:rPr>
          <w:lang/>
        </w:rPr>
        <w:instrText xml:space="preserve"> PAGEREF _Toc59203251 \h </w:instrText>
      </w:r>
      <w:r>
        <w:rPr>
          <w:lang/>
        </w:rPr>
        <w:fldChar w:fldCharType="separate"/>
      </w:r>
      <w:r>
        <w:rPr>
          <w:lang/>
        </w:rPr>
        <w:t>91</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"_Toc59203252"</w:instrText>
      </w:r>
      <w:r>
        <w:rPr>
          <w:rStyle w:val="97"/>
          <w:lang/>
        </w:rPr>
        <w:instrText xml:space="preserve"> </w:instrText>
      </w:r>
      <w:r>
        <w:rPr>
          <w:rStyle w:val="97"/>
          <w:lang/>
        </w:rPr>
        <w:fldChar w:fldCharType="separate"/>
      </w:r>
      <w:r>
        <w:rPr>
          <w:rStyle w:val="97"/>
          <w:rFonts w:hint="eastAsia"/>
          <w:lang/>
        </w:rPr>
        <w:t>附件</w:t>
      </w:r>
      <w:r>
        <w:rPr>
          <w:rStyle w:val="97"/>
          <w:lang/>
        </w:rPr>
        <w:t xml:space="preserve">2 </w:t>
      </w:r>
      <w:r>
        <w:rPr>
          <w:rStyle w:val="97"/>
          <w:rFonts w:hint="eastAsia"/>
          <w:lang/>
        </w:rPr>
        <w:t>发包人提供的材料设备一览表</w:t>
      </w:r>
      <w:r>
        <w:rPr>
          <w:lang/>
        </w:rPr>
        <w:tab/>
      </w:r>
      <w:r>
        <w:rPr>
          <w:lang/>
        </w:rPr>
        <w:fldChar w:fldCharType="begin"/>
      </w:r>
      <w:r>
        <w:rPr>
          <w:lang/>
        </w:rPr>
        <w:instrText xml:space="preserve"> PAGEREF _Toc59203252 \h </w:instrText>
      </w:r>
      <w:r>
        <w:rPr>
          <w:lang/>
        </w:rPr>
        <w:fldChar w:fldCharType="separate"/>
      </w:r>
      <w:r>
        <w:rPr>
          <w:lang/>
        </w:rPr>
        <w:t>93</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"_Toc59203253"</w:instrText>
      </w:r>
      <w:r>
        <w:rPr>
          <w:rStyle w:val="97"/>
          <w:lang/>
        </w:rPr>
        <w:instrText xml:space="preserve"> </w:instrText>
      </w:r>
      <w:r>
        <w:rPr>
          <w:rStyle w:val="97"/>
          <w:lang/>
        </w:rPr>
        <w:fldChar w:fldCharType="separate"/>
      </w:r>
      <w:r>
        <w:rPr>
          <w:rStyle w:val="97"/>
          <w:rFonts w:hint="eastAsia"/>
          <w:lang/>
        </w:rPr>
        <w:t>附件</w:t>
      </w:r>
      <w:r>
        <w:rPr>
          <w:rStyle w:val="97"/>
          <w:lang/>
        </w:rPr>
        <w:t xml:space="preserve">3          </w:t>
      </w:r>
      <w:r>
        <w:rPr>
          <w:rStyle w:val="97"/>
          <w:rFonts w:hint="eastAsia"/>
          <w:lang/>
        </w:rPr>
        <w:t>工程质量保修书（房屋建筑工程）</w:t>
      </w:r>
      <w:r>
        <w:rPr>
          <w:lang/>
        </w:rPr>
        <w:tab/>
      </w:r>
      <w:r>
        <w:rPr>
          <w:lang/>
        </w:rPr>
        <w:fldChar w:fldCharType="begin"/>
      </w:r>
      <w:r>
        <w:rPr>
          <w:lang/>
        </w:rPr>
        <w:instrText xml:space="preserve"> PAGEREF _Toc59203253 \h </w:instrText>
      </w:r>
      <w:r>
        <w:rPr>
          <w:lang/>
        </w:rPr>
        <w:fldChar w:fldCharType="separate"/>
      </w:r>
      <w:r>
        <w:rPr>
          <w:lang/>
        </w:rPr>
        <w:t>94</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"_Toc59203254"</w:instrText>
      </w:r>
      <w:r>
        <w:rPr>
          <w:rStyle w:val="97"/>
          <w:lang/>
        </w:rPr>
        <w:instrText xml:space="preserve"> </w:instrText>
      </w:r>
      <w:r>
        <w:rPr>
          <w:rStyle w:val="97"/>
          <w:lang/>
        </w:rPr>
        <w:fldChar w:fldCharType="separate"/>
      </w:r>
      <w:r>
        <w:rPr>
          <w:rStyle w:val="97"/>
          <w:rFonts w:hint="eastAsia"/>
          <w:lang/>
        </w:rPr>
        <w:t>附件</w:t>
      </w:r>
      <w:r>
        <w:rPr>
          <w:rStyle w:val="97"/>
          <w:lang/>
        </w:rPr>
        <w:t xml:space="preserve">3          </w:t>
      </w:r>
      <w:r>
        <w:rPr>
          <w:rStyle w:val="97"/>
          <w:rFonts w:hint="eastAsia"/>
          <w:lang/>
        </w:rPr>
        <w:t>工程质量保修书（市政公用工程）</w:t>
      </w:r>
      <w:r>
        <w:rPr>
          <w:lang/>
        </w:rPr>
        <w:tab/>
      </w:r>
      <w:r>
        <w:rPr>
          <w:lang/>
        </w:rPr>
        <w:fldChar w:fldCharType="begin"/>
      </w:r>
      <w:r>
        <w:rPr>
          <w:lang/>
        </w:rPr>
        <w:instrText xml:space="preserve"> PAGEREF _Toc59203254 \h </w:instrText>
      </w:r>
      <w:r>
        <w:rPr>
          <w:lang/>
        </w:rPr>
        <w:fldChar w:fldCharType="separate"/>
      </w:r>
      <w:r>
        <w:rPr>
          <w:lang/>
        </w:rPr>
        <w:t>96</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"_Toc59203255"</w:instrText>
      </w:r>
      <w:r>
        <w:rPr>
          <w:rStyle w:val="97"/>
          <w:lang/>
        </w:rPr>
        <w:instrText xml:space="preserve"> </w:instrText>
      </w:r>
      <w:r>
        <w:rPr>
          <w:rStyle w:val="97"/>
          <w:lang/>
        </w:rPr>
        <w:fldChar w:fldCharType="separate"/>
      </w:r>
      <w:r>
        <w:rPr>
          <w:rStyle w:val="97"/>
          <w:rFonts w:hint="eastAsia"/>
          <w:lang/>
        </w:rPr>
        <w:t>附件</w:t>
      </w:r>
      <w:r>
        <w:rPr>
          <w:rStyle w:val="97"/>
          <w:lang/>
        </w:rPr>
        <w:t xml:space="preserve">4           </w:t>
      </w:r>
      <w:r>
        <w:rPr>
          <w:rStyle w:val="97"/>
          <w:rFonts w:hint="eastAsia"/>
          <w:lang/>
        </w:rPr>
        <w:t>承包人主要管理人员表</w:t>
      </w:r>
      <w:r>
        <w:rPr>
          <w:lang/>
        </w:rPr>
        <w:tab/>
      </w:r>
      <w:r>
        <w:rPr>
          <w:lang/>
        </w:rPr>
        <w:fldChar w:fldCharType="begin"/>
      </w:r>
      <w:r>
        <w:rPr>
          <w:lang/>
        </w:rPr>
        <w:instrText xml:space="preserve"> PAGEREF _Toc59203255 \h </w:instrText>
      </w:r>
      <w:r>
        <w:rPr>
          <w:lang/>
        </w:rPr>
        <w:fldChar w:fldCharType="separate"/>
      </w:r>
      <w:r>
        <w:rPr>
          <w:lang/>
        </w:rPr>
        <w:t>98</w:t>
      </w:r>
      <w:r>
        <w:rPr>
          <w:lang/>
        </w:rPr>
        <w:fldChar w:fldCharType="end"/>
      </w:r>
      <w:r>
        <w:rPr>
          <w:rStyle w:val="97"/>
          <w:lang/>
        </w:rPr>
        <w:fldChar w:fldCharType="end"/>
      </w:r>
    </w:p>
    <w:p>
      <w:pPr>
        <w:pStyle w:val="69"/>
        <w:tabs>
          <w:tab w:val="right" w:leader="dot" w:pos="9629"/>
        </w:tabs>
        <w:rPr>
          <w:rFonts w:ascii="Calibri" w:hAnsi="Calibri"/>
          <w:smallCaps w:val="0"/>
          <w:sz w:val="21"/>
          <w:szCs w:val="22"/>
          <w:lang/>
        </w:rPr>
      </w:pPr>
      <w:r>
        <w:rPr>
          <w:rStyle w:val="97"/>
          <w:lang/>
        </w:rPr>
        <w:fldChar w:fldCharType="begin"/>
      </w:r>
      <w:r>
        <w:rPr>
          <w:rStyle w:val="97"/>
          <w:lang/>
        </w:rPr>
        <w:instrText xml:space="preserve"> </w:instrText>
      </w:r>
      <w:r>
        <w:rPr>
          <w:lang/>
        </w:rPr>
        <w:instrText xml:space="preserve">HYPERLINK \l "_Toc59203256"</w:instrText>
      </w:r>
      <w:r>
        <w:rPr>
          <w:rStyle w:val="97"/>
          <w:lang/>
        </w:rPr>
        <w:instrText xml:space="preserve"> </w:instrText>
      </w:r>
      <w:r>
        <w:rPr>
          <w:rStyle w:val="97"/>
          <w:lang/>
        </w:rPr>
        <w:fldChar w:fldCharType="separate"/>
      </w:r>
      <w:r>
        <w:rPr>
          <w:rStyle w:val="97"/>
          <w:rFonts w:hint="eastAsia"/>
          <w:lang/>
        </w:rPr>
        <w:t>附件</w:t>
      </w:r>
      <w:r>
        <w:rPr>
          <w:rStyle w:val="97"/>
          <w:lang/>
        </w:rPr>
        <w:t xml:space="preserve">5              </w:t>
      </w:r>
      <w:r>
        <w:rPr>
          <w:rStyle w:val="97"/>
          <w:rFonts w:hint="eastAsia"/>
          <w:lang/>
        </w:rPr>
        <w:t>价格指数权重表</w:t>
      </w:r>
      <w:r>
        <w:rPr>
          <w:lang/>
        </w:rPr>
        <w:tab/>
      </w:r>
      <w:r>
        <w:rPr>
          <w:lang/>
        </w:rPr>
        <w:fldChar w:fldCharType="begin"/>
      </w:r>
      <w:r>
        <w:rPr>
          <w:lang/>
        </w:rPr>
        <w:instrText xml:space="preserve"> PAGEREF _Toc59203256 \h </w:instrText>
      </w:r>
      <w:r>
        <w:rPr>
          <w:lang/>
        </w:rPr>
        <w:fldChar w:fldCharType="separate"/>
      </w:r>
      <w:r>
        <w:rPr>
          <w:lang/>
        </w:rPr>
        <w:t>99</w:t>
      </w:r>
      <w:r>
        <w:rPr>
          <w:lang/>
        </w:rPr>
        <w:fldChar w:fldCharType="end"/>
      </w:r>
      <w:r>
        <w:rPr>
          <w:rStyle w:val="97"/>
          <w:lang/>
        </w:rPr>
        <w:fldChar w:fldCharType="end"/>
      </w:r>
    </w:p>
    <w:p>
      <w:pPr>
        <w:pStyle w:val="55"/>
        <w:tabs>
          <w:tab w:val="right" w:leader="dot" w:pos="9629"/>
        </w:tabs>
        <w:rPr>
          <w:rFonts w:ascii="Calibri" w:hAnsi="Calibri"/>
          <w:b w:val="0"/>
          <w:bCs w:val="0"/>
          <w:caps w:val="0"/>
          <w:sz w:val="21"/>
          <w:szCs w:val="22"/>
          <w:lang/>
        </w:rPr>
      </w:pPr>
      <w:r>
        <w:rPr>
          <w:rStyle w:val="97"/>
          <w:lang/>
        </w:rPr>
        <w:fldChar w:fldCharType="begin"/>
      </w:r>
      <w:r>
        <w:rPr>
          <w:rStyle w:val="97"/>
          <w:lang/>
        </w:rPr>
        <w:instrText xml:space="preserve"> </w:instrText>
      </w:r>
      <w:r>
        <w:rPr>
          <w:lang/>
        </w:rPr>
        <w:instrText xml:space="preserve">HYPERLINK \l "_Toc59203257"</w:instrText>
      </w:r>
      <w:r>
        <w:rPr>
          <w:rStyle w:val="97"/>
          <w:lang/>
        </w:rPr>
        <w:instrText xml:space="preserve"> </w:instrText>
      </w:r>
      <w:r>
        <w:rPr>
          <w:rStyle w:val="97"/>
          <w:lang/>
        </w:rPr>
        <w:fldChar w:fldCharType="separate"/>
      </w:r>
      <w:r>
        <w:rPr>
          <w:rStyle w:val="97"/>
          <w:rFonts w:hint="eastAsia"/>
          <w:lang/>
        </w:rPr>
        <w:t>第五章 发包人要求</w:t>
      </w:r>
      <w:r>
        <w:rPr>
          <w:lang/>
        </w:rPr>
        <w:tab/>
      </w:r>
      <w:r>
        <w:rPr>
          <w:lang/>
        </w:rPr>
        <w:fldChar w:fldCharType="begin"/>
      </w:r>
      <w:r>
        <w:rPr>
          <w:lang/>
        </w:rPr>
        <w:instrText xml:space="preserve"> PAGEREF _Toc59203257 \h </w:instrText>
      </w:r>
      <w:r>
        <w:rPr>
          <w:lang/>
        </w:rPr>
        <w:fldChar w:fldCharType="separate"/>
      </w:r>
      <w:r>
        <w:rPr>
          <w:lang/>
        </w:rPr>
        <w:t>109</w:t>
      </w:r>
      <w:r>
        <w:rPr>
          <w:lang/>
        </w:rPr>
        <w:fldChar w:fldCharType="end"/>
      </w:r>
      <w:r>
        <w:rPr>
          <w:rStyle w:val="97"/>
          <w:lang/>
        </w:rPr>
        <w:fldChar w:fldCharType="end"/>
      </w:r>
    </w:p>
    <w:p>
      <w:pPr>
        <w:pStyle w:val="55"/>
        <w:tabs>
          <w:tab w:val="right" w:leader="dot" w:pos="9629"/>
        </w:tabs>
        <w:rPr>
          <w:rFonts w:ascii="Calibri" w:hAnsi="Calibri"/>
          <w:b w:val="0"/>
          <w:bCs w:val="0"/>
          <w:caps w:val="0"/>
          <w:sz w:val="21"/>
          <w:szCs w:val="22"/>
          <w:lang/>
        </w:rPr>
      </w:pPr>
      <w:r>
        <w:rPr>
          <w:rStyle w:val="97"/>
          <w:lang/>
        </w:rPr>
        <w:fldChar w:fldCharType="begin"/>
      </w:r>
      <w:r>
        <w:rPr>
          <w:rStyle w:val="97"/>
          <w:lang/>
        </w:rPr>
        <w:instrText xml:space="preserve"> </w:instrText>
      </w:r>
      <w:r>
        <w:rPr>
          <w:lang/>
        </w:rPr>
        <w:instrText xml:space="preserve">HYPERLINK \l "_Toc59203258"</w:instrText>
      </w:r>
      <w:r>
        <w:rPr>
          <w:rStyle w:val="97"/>
          <w:lang/>
        </w:rPr>
        <w:instrText xml:space="preserve"> </w:instrText>
      </w:r>
      <w:r>
        <w:rPr>
          <w:rStyle w:val="97"/>
          <w:lang/>
        </w:rPr>
        <w:fldChar w:fldCharType="separate"/>
      </w:r>
      <w:r>
        <w:rPr>
          <w:rStyle w:val="97"/>
          <w:rFonts w:hint="eastAsia"/>
          <w:lang/>
        </w:rPr>
        <w:t>第六章 工程量清单及招标控制价</w:t>
      </w:r>
      <w:r>
        <w:rPr>
          <w:lang/>
        </w:rPr>
        <w:tab/>
      </w:r>
      <w:r>
        <w:rPr>
          <w:lang/>
        </w:rPr>
        <w:fldChar w:fldCharType="begin"/>
      </w:r>
      <w:r>
        <w:rPr>
          <w:lang/>
        </w:rPr>
        <w:instrText xml:space="preserve"> PAGEREF _Toc59203258 \h </w:instrText>
      </w:r>
      <w:r>
        <w:rPr>
          <w:lang/>
        </w:rPr>
        <w:fldChar w:fldCharType="separate"/>
      </w:r>
      <w:r>
        <w:rPr>
          <w:lang/>
        </w:rPr>
        <w:t>111</w:t>
      </w:r>
      <w:r>
        <w:rPr>
          <w:lang/>
        </w:rPr>
        <w:fldChar w:fldCharType="end"/>
      </w:r>
      <w:r>
        <w:rPr>
          <w:rStyle w:val="97"/>
          <w:lang/>
        </w:rPr>
        <w:fldChar w:fldCharType="end"/>
      </w:r>
    </w:p>
    <w:p>
      <w:pPr>
        <w:pStyle w:val="55"/>
        <w:tabs>
          <w:tab w:val="right" w:leader="dot" w:pos="9629"/>
        </w:tabs>
        <w:rPr>
          <w:rFonts w:ascii="Calibri" w:hAnsi="Calibri"/>
          <w:b w:val="0"/>
          <w:bCs w:val="0"/>
          <w:caps w:val="0"/>
          <w:sz w:val="21"/>
          <w:szCs w:val="22"/>
          <w:lang/>
        </w:rPr>
      </w:pPr>
      <w:r>
        <w:rPr>
          <w:rStyle w:val="97"/>
          <w:lang/>
        </w:rPr>
        <w:fldChar w:fldCharType="begin"/>
      </w:r>
      <w:r>
        <w:rPr>
          <w:rStyle w:val="97"/>
          <w:lang/>
        </w:rPr>
        <w:instrText xml:space="preserve"> </w:instrText>
      </w:r>
      <w:r>
        <w:rPr>
          <w:lang/>
        </w:rPr>
        <w:instrText xml:space="preserve">HYPERLINK \l "_Toc59203259"</w:instrText>
      </w:r>
      <w:r>
        <w:rPr>
          <w:rStyle w:val="97"/>
          <w:lang/>
        </w:rPr>
        <w:instrText xml:space="preserve"> </w:instrText>
      </w:r>
      <w:r>
        <w:rPr>
          <w:rStyle w:val="97"/>
          <w:lang/>
        </w:rPr>
        <w:fldChar w:fldCharType="separate"/>
      </w:r>
      <w:r>
        <w:rPr>
          <w:rStyle w:val="97"/>
          <w:rFonts w:hint="eastAsia"/>
          <w:lang/>
        </w:rPr>
        <w:t>第七章 投标文件格式</w:t>
      </w:r>
      <w:r>
        <w:rPr>
          <w:lang/>
        </w:rPr>
        <w:tab/>
      </w:r>
      <w:r>
        <w:rPr>
          <w:lang/>
        </w:rPr>
        <w:fldChar w:fldCharType="begin"/>
      </w:r>
      <w:r>
        <w:rPr>
          <w:lang/>
        </w:rPr>
        <w:instrText xml:space="preserve"> PAGEREF _Toc59203259 \h </w:instrText>
      </w:r>
      <w:r>
        <w:rPr>
          <w:lang/>
        </w:rPr>
        <w:fldChar w:fldCharType="separate"/>
      </w:r>
      <w:r>
        <w:rPr>
          <w:lang/>
        </w:rPr>
        <w:t>144</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"_Toc59203260"</w:instrText>
      </w:r>
      <w:r>
        <w:rPr>
          <w:rStyle w:val="97"/>
          <w:lang/>
        </w:rPr>
        <w:instrText xml:space="preserve"> </w:instrText>
      </w:r>
      <w:r>
        <w:rPr>
          <w:rStyle w:val="97"/>
          <w:lang/>
        </w:rPr>
        <w:fldChar w:fldCharType="separate"/>
      </w:r>
      <w:r>
        <w:rPr>
          <w:rStyle w:val="97"/>
          <w:lang/>
        </w:rPr>
        <w:t>1</w:t>
      </w:r>
      <w:r>
        <w:rPr>
          <w:rStyle w:val="97"/>
          <w:rFonts w:hint="eastAsia"/>
          <w:lang/>
        </w:rPr>
        <w:t>、专职投标员身份证原件扫描件</w:t>
      </w:r>
      <w:r>
        <w:rPr>
          <w:lang/>
        </w:rPr>
        <w:tab/>
      </w:r>
      <w:r>
        <w:rPr>
          <w:lang/>
        </w:rPr>
        <w:fldChar w:fldCharType="begin"/>
      </w:r>
      <w:r>
        <w:rPr>
          <w:lang/>
        </w:rPr>
        <w:instrText xml:space="preserve"> PAGEREF _Toc59203260 \h </w:instrText>
      </w:r>
      <w:r>
        <w:rPr>
          <w:lang/>
        </w:rPr>
        <w:fldChar w:fldCharType="separate"/>
      </w:r>
      <w:r>
        <w:rPr>
          <w:lang/>
        </w:rPr>
        <w:t>146</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"_Toc59203261"</w:instrText>
      </w:r>
      <w:r>
        <w:rPr>
          <w:rStyle w:val="97"/>
          <w:lang/>
        </w:rPr>
        <w:instrText xml:space="preserve"> </w:instrText>
      </w:r>
      <w:r>
        <w:rPr>
          <w:rStyle w:val="97"/>
          <w:lang/>
        </w:rPr>
        <w:fldChar w:fldCharType="separate"/>
      </w:r>
      <w:r>
        <w:rPr>
          <w:rStyle w:val="97"/>
          <w:lang/>
        </w:rPr>
        <w:t>2</w:t>
      </w:r>
      <w:r>
        <w:rPr>
          <w:rStyle w:val="97"/>
          <w:rFonts w:hint="eastAsia"/>
          <w:lang/>
        </w:rPr>
        <w:t>、联合体协议书（联合体投标人适用）</w:t>
      </w:r>
      <w:r>
        <w:rPr>
          <w:lang/>
        </w:rPr>
        <w:tab/>
      </w:r>
      <w:r>
        <w:rPr>
          <w:lang/>
        </w:rPr>
        <w:fldChar w:fldCharType="begin"/>
      </w:r>
      <w:r>
        <w:rPr>
          <w:lang/>
        </w:rPr>
        <w:instrText xml:space="preserve"> PAGEREF _Toc59203261 \h </w:instrText>
      </w:r>
      <w:r>
        <w:rPr>
          <w:lang/>
        </w:rPr>
        <w:fldChar w:fldCharType="separate"/>
      </w:r>
      <w:r>
        <w:rPr>
          <w:lang/>
        </w:rPr>
        <w:t>147</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"_Toc59203262"</w:instrText>
      </w:r>
      <w:r>
        <w:rPr>
          <w:rStyle w:val="97"/>
          <w:lang/>
        </w:rPr>
        <w:instrText xml:space="preserve"> </w:instrText>
      </w:r>
      <w:r>
        <w:rPr>
          <w:rStyle w:val="97"/>
          <w:lang/>
        </w:rPr>
        <w:fldChar w:fldCharType="separate"/>
      </w:r>
      <w:r>
        <w:rPr>
          <w:rStyle w:val="97"/>
          <w:lang/>
        </w:rPr>
        <w:t>3</w:t>
      </w:r>
      <w:r>
        <w:rPr>
          <w:rStyle w:val="97"/>
          <w:rFonts w:hint="eastAsia"/>
          <w:lang/>
        </w:rPr>
        <w:t>、投标人基本情况表（包含联合体各方）</w:t>
      </w:r>
      <w:r>
        <w:rPr>
          <w:lang/>
        </w:rPr>
        <w:tab/>
      </w:r>
      <w:r>
        <w:rPr>
          <w:lang/>
        </w:rPr>
        <w:fldChar w:fldCharType="begin"/>
      </w:r>
      <w:r>
        <w:rPr>
          <w:lang/>
        </w:rPr>
        <w:instrText xml:space="preserve"> PAGEREF _Toc59203262 \h </w:instrText>
      </w:r>
      <w:r>
        <w:rPr>
          <w:lang/>
        </w:rPr>
        <w:fldChar w:fldCharType="separate"/>
      </w:r>
      <w:r>
        <w:rPr>
          <w:lang/>
        </w:rPr>
        <w:t>148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"_Toc59203263"</w:instrText>
      </w:r>
      <w:r>
        <w:rPr>
          <w:rStyle w:val="97"/>
          <w:lang/>
        </w:rPr>
        <w:instrText xml:space="preserve"> </w:instrText>
      </w:r>
      <w:r>
        <w:rPr>
          <w:rStyle w:val="97"/>
          <w:lang/>
        </w:rPr>
        <w:fldChar w:fldCharType="separate"/>
      </w:r>
      <w:r>
        <w:rPr>
          <w:rStyle w:val="97"/>
          <w:lang/>
        </w:rPr>
        <w:t>4</w:t>
      </w:r>
      <w:r>
        <w:rPr>
          <w:rStyle w:val="97"/>
          <w:rFonts w:hint="eastAsia"/>
          <w:lang/>
        </w:rPr>
        <w:t>、投标保证金证明文件</w:t>
      </w:r>
      <w:r>
        <w:rPr>
          <w:lang/>
        </w:rPr>
        <w:tab/>
      </w:r>
      <w:r>
        <w:rPr>
          <w:lang/>
        </w:rPr>
        <w:fldChar w:fldCharType="begin"/>
      </w:r>
      <w:r>
        <w:rPr>
          <w:lang/>
        </w:rPr>
        <w:instrText xml:space="preserve"> PAGEREF _Toc59203263 \h </w:instrText>
      </w:r>
      <w:r>
        <w:rPr>
          <w:lang/>
        </w:rPr>
        <w:fldChar w:fldCharType="separate"/>
      </w:r>
      <w:r>
        <w:rPr>
          <w:lang/>
        </w:rPr>
        <w:t>149</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"_Toc59203264"</w:instrText>
      </w:r>
      <w:r>
        <w:rPr>
          <w:rStyle w:val="97"/>
          <w:lang/>
        </w:rPr>
        <w:instrText xml:space="preserve"> </w:instrText>
      </w:r>
      <w:r>
        <w:rPr>
          <w:rStyle w:val="97"/>
          <w:lang/>
        </w:rPr>
        <w:fldChar w:fldCharType="separate"/>
      </w:r>
      <w:r>
        <w:rPr>
          <w:rStyle w:val="97"/>
          <w:lang/>
        </w:rPr>
        <w:t>5</w:t>
      </w:r>
      <w:r>
        <w:rPr>
          <w:rStyle w:val="97"/>
          <w:rFonts w:hint="eastAsia"/>
          <w:lang/>
        </w:rPr>
        <w:t>、建设工程项目管理承诺书</w:t>
      </w:r>
      <w:r>
        <w:rPr>
          <w:lang/>
        </w:rPr>
        <w:tab/>
      </w:r>
      <w:r>
        <w:rPr>
          <w:lang/>
        </w:rPr>
        <w:fldChar w:fldCharType="begin"/>
      </w:r>
      <w:r>
        <w:rPr>
          <w:lang/>
        </w:rPr>
        <w:instrText xml:space="preserve"> PAGEREF _Toc59203264 \h </w:instrText>
      </w:r>
      <w:r>
        <w:rPr>
          <w:lang/>
        </w:rPr>
        <w:fldChar w:fldCharType="separate"/>
      </w:r>
      <w:r>
        <w:rPr>
          <w:lang/>
        </w:rPr>
        <w:t>150</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"_Toc59203265"</w:instrText>
      </w:r>
      <w:r>
        <w:rPr>
          <w:rStyle w:val="97"/>
          <w:lang/>
        </w:rPr>
        <w:instrText xml:space="preserve"> </w:instrText>
      </w:r>
      <w:r>
        <w:rPr>
          <w:rStyle w:val="97"/>
          <w:lang/>
        </w:rPr>
        <w:fldChar w:fldCharType="separate"/>
      </w:r>
      <w:r>
        <w:rPr>
          <w:rStyle w:val="97"/>
          <w:lang/>
        </w:rPr>
        <w:t>6</w:t>
      </w:r>
      <w:r>
        <w:rPr>
          <w:rStyle w:val="97"/>
          <w:rFonts w:hint="eastAsia"/>
          <w:lang/>
        </w:rPr>
        <w:t>、管理机构配备情况表、拟投入本工程的主要施工设备表、拟配备本工程的试验和检测仪器设备表</w:t>
      </w:r>
      <w:r>
        <w:rPr>
          <w:lang/>
        </w:rPr>
        <w:tab/>
      </w:r>
      <w:r>
        <w:rPr>
          <w:lang/>
        </w:rPr>
        <w:fldChar w:fldCharType="begin"/>
      </w:r>
      <w:r>
        <w:rPr>
          <w:lang/>
        </w:rPr>
        <w:instrText xml:space="preserve"> PAGEREF _Toc59203265 \h </w:instrText>
      </w:r>
      <w:r>
        <w:rPr>
          <w:lang/>
        </w:rPr>
        <w:fldChar w:fldCharType="separate"/>
      </w:r>
      <w:r>
        <w:rPr>
          <w:lang/>
        </w:rPr>
        <w:t>153</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"_Toc59203266"</w:instrText>
      </w:r>
      <w:r>
        <w:rPr>
          <w:rStyle w:val="97"/>
          <w:lang/>
        </w:rPr>
        <w:instrText xml:space="preserve"> </w:instrText>
      </w:r>
      <w:r>
        <w:rPr>
          <w:rStyle w:val="97"/>
          <w:lang/>
        </w:rPr>
        <w:fldChar w:fldCharType="separate"/>
      </w:r>
      <w:r>
        <w:rPr>
          <w:rStyle w:val="97"/>
          <w:lang/>
        </w:rPr>
        <w:t>7</w:t>
      </w:r>
      <w:r>
        <w:rPr>
          <w:rStyle w:val="97"/>
          <w:rFonts w:hint="eastAsia"/>
          <w:lang/>
        </w:rPr>
        <w:t>、资格审查需要的其他材料</w:t>
      </w:r>
      <w:r>
        <w:rPr>
          <w:lang/>
        </w:rPr>
        <w:tab/>
      </w:r>
      <w:r>
        <w:rPr>
          <w:lang/>
        </w:rPr>
        <w:fldChar w:fldCharType="begin"/>
      </w:r>
      <w:r>
        <w:rPr>
          <w:lang/>
        </w:rPr>
        <w:instrText xml:space="preserve"> PAGEREF _Toc59203266 \h </w:instrText>
      </w:r>
      <w:r>
        <w:rPr>
          <w:lang/>
        </w:rPr>
        <w:fldChar w:fldCharType="separate"/>
      </w:r>
      <w:r>
        <w:rPr>
          <w:lang/>
        </w:rPr>
        <w:t>157</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"_Toc59203267"</w:instrText>
      </w:r>
      <w:r>
        <w:rPr>
          <w:rStyle w:val="97"/>
          <w:lang/>
        </w:rPr>
        <w:instrText xml:space="preserve"> </w:instrText>
      </w:r>
      <w:r>
        <w:rPr>
          <w:rStyle w:val="97"/>
          <w:lang/>
        </w:rPr>
        <w:fldChar w:fldCharType="separate"/>
      </w:r>
      <w:r>
        <w:rPr>
          <w:rStyle w:val="97"/>
          <w:lang/>
        </w:rPr>
        <w:t>1</w:t>
      </w:r>
      <w:r>
        <w:rPr>
          <w:rStyle w:val="97"/>
          <w:rFonts w:hint="eastAsia"/>
          <w:lang/>
        </w:rPr>
        <w:t>、投标函（非联合体格式）</w:t>
      </w:r>
      <w:r>
        <w:rPr>
          <w:lang/>
        </w:rPr>
        <w:tab/>
      </w:r>
      <w:r>
        <w:rPr>
          <w:lang/>
        </w:rPr>
        <w:fldChar w:fldCharType="begin"/>
      </w:r>
      <w:r>
        <w:rPr>
          <w:lang/>
        </w:rPr>
        <w:instrText xml:space="preserve"> PAGEREF _Toc59203267 \h </w:instrText>
      </w:r>
      <w:r>
        <w:rPr>
          <w:lang/>
        </w:rPr>
        <w:fldChar w:fldCharType="separate"/>
      </w:r>
      <w:r>
        <w:rPr>
          <w:lang/>
        </w:rPr>
        <w:t>160</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"_Toc59203268"</w:instrText>
      </w:r>
      <w:r>
        <w:rPr>
          <w:rStyle w:val="97"/>
          <w:lang/>
        </w:rPr>
        <w:instrText xml:space="preserve"> </w:instrText>
      </w:r>
      <w:r>
        <w:rPr>
          <w:rStyle w:val="97"/>
          <w:lang/>
        </w:rPr>
        <w:fldChar w:fldCharType="separate"/>
      </w:r>
      <w:r>
        <w:rPr>
          <w:rStyle w:val="97"/>
          <w:lang/>
        </w:rPr>
        <w:t>1</w:t>
      </w:r>
      <w:r>
        <w:rPr>
          <w:rStyle w:val="97"/>
          <w:rFonts w:hint="eastAsia"/>
          <w:lang/>
        </w:rPr>
        <w:t>、投标函（联合体格式）</w:t>
      </w:r>
      <w:r>
        <w:rPr>
          <w:lang/>
        </w:rPr>
        <w:tab/>
      </w:r>
      <w:r>
        <w:rPr>
          <w:lang/>
        </w:rPr>
        <w:fldChar w:fldCharType="begin"/>
      </w:r>
      <w:r>
        <w:rPr>
          <w:lang/>
        </w:rPr>
        <w:instrText xml:space="preserve"> PAGEREF _Toc59203268 \h </w:instrText>
      </w:r>
      <w:r>
        <w:rPr>
          <w:lang/>
        </w:rPr>
        <w:fldChar w:fldCharType="separate"/>
      </w:r>
      <w:r>
        <w:rPr>
          <w:lang/>
        </w:rPr>
        <w:t>161</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"_Toc59203269"</w:instrText>
      </w:r>
      <w:r>
        <w:rPr>
          <w:rStyle w:val="97"/>
          <w:lang/>
        </w:rPr>
        <w:instrText xml:space="preserve"> </w:instrText>
      </w:r>
      <w:r>
        <w:rPr>
          <w:rStyle w:val="97"/>
          <w:lang/>
        </w:rPr>
        <w:fldChar w:fldCharType="separate"/>
      </w:r>
      <w:r>
        <w:rPr>
          <w:rStyle w:val="97"/>
          <w:lang/>
        </w:rPr>
        <w:t>2</w:t>
      </w:r>
      <w:r>
        <w:rPr>
          <w:rStyle w:val="97"/>
          <w:rFonts w:hint="eastAsia"/>
          <w:lang/>
        </w:rPr>
        <w:t>、投标函附录</w:t>
      </w:r>
      <w:r>
        <w:rPr>
          <w:lang/>
        </w:rPr>
        <w:tab/>
      </w:r>
      <w:r>
        <w:rPr>
          <w:lang/>
        </w:rPr>
        <w:fldChar w:fldCharType="begin"/>
      </w:r>
      <w:r>
        <w:rPr>
          <w:lang/>
        </w:rPr>
        <w:instrText xml:space="preserve"> PAGEREF _Toc59203269 \h </w:instrText>
      </w:r>
      <w:r>
        <w:rPr>
          <w:lang/>
        </w:rPr>
        <w:fldChar w:fldCharType="separate"/>
      </w:r>
      <w:r>
        <w:rPr>
          <w:lang/>
        </w:rPr>
        <w:t>162</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"_Toc59203270"</w:instrText>
      </w:r>
      <w:r>
        <w:rPr>
          <w:rStyle w:val="97"/>
          <w:lang/>
        </w:rPr>
        <w:instrText xml:space="preserve"> </w:instrText>
      </w:r>
      <w:r>
        <w:rPr>
          <w:rStyle w:val="97"/>
          <w:lang/>
        </w:rPr>
        <w:fldChar w:fldCharType="separate"/>
      </w:r>
      <w:r>
        <w:rPr>
          <w:rStyle w:val="97"/>
          <w:lang/>
        </w:rPr>
        <w:t>3</w:t>
      </w:r>
      <w:r>
        <w:rPr>
          <w:rStyle w:val="97"/>
          <w:rFonts w:hint="eastAsia"/>
          <w:lang/>
        </w:rPr>
        <w:t>、投标报价要求</w:t>
      </w:r>
      <w:r>
        <w:rPr>
          <w:lang/>
        </w:rPr>
        <w:tab/>
      </w:r>
      <w:r>
        <w:rPr>
          <w:lang/>
        </w:rPr>
        <w:fldChar w:fldCharType="begin"/>
      </w:r>
      <w:r>
        <w:rPr>
          <w:lang/>
        </w:rPr>
        <w:instrText xml:space="preserve"> PAGEREF _Toc59203270 \h </w:instrText>
      </w:r>
      <w:r>
        <w:rPr>
          <w:lang/>
        </w:rPr>
        <w:fldChar w:fldCharType="separate"/>
      </w:r>
      <w:r>
        <w:rPr>
          <w:lang/>
        </w:rPr>
        <w:t>163</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"_Toc59203271"</w:instrText>
      </w:r>
      <w:r>
        <w:rPr>
          <w:rStyle w:val="97"/>
          <w:lang/>
        </w:rPr>
        <w:instrText xml:space="preserve"> </w:instrText>
      </w:r>
      <w:r>
        <w:rPr>
          <w:rStyle w:val="97"/>
          <w:lang/>
        </w:rPr>
        <w:fldChar w:fldCharType="separate"/>
      </w:r>
      <w:r>
        <w:rPr>
          <w:rStyle w:val="97"/>
          <w:lang/>
        </w:rPr>
        <w:t>4</w:t>
      </w:r>
      <w:r>
        <w:rPr>
          <w:rStyle w:val="97"/>
          <w:rFonts w:hint="eastAsia"/>
          <w:lang/>
        </w:rPr>
        <w:t>、投标报价一览表</w:t>
      </w:r>
      <w:r>
        <w:rPr>
          <w:lang/>
        </w:rPr>
        <w:tab/>
      </w:r>
      <w:r>
        <w:rPr>
          <w:lang/>
        </w:rPr>
        <w:fldChar w:fldCharType="begin"/>
      </w:r>
      <w:r>
        <w:rPr>
          <w:lang/>
        </w:rPr>
        <w:instrText xml:space="preserve"> PAGEREF _Toc59203271 \h </w:instrText>
      </w:r>
      <w:r>
        <w:rPr>
          <w:lang/>
        </w:rPr>
        <w:fldChar w:fldCharType="separate"/>
      </w:r>
      <w:r>
        <w:rPr>
          <w:lang/>
        </w:rPr>
        <w:t>164</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"_Toc59203272"</w:instrText>
      </w:r>
      <w:r>
        <w:rPr>
          <w:rStyle w:val="97"/>
          <w:lang/>
        </w:rPr>
        <w:instrText xml:space="preserve"> </w:instrText>
      </w:r>
      <w:r>
        <w:rPr>
          <w:rStyle w:val="97"/>
          <w:lang/>
        </w:rPr>
        <w:fldChar w:fldCharType="separate"/>
      </w:r>
      <w:r>
        <w:rPr>
          <w:rStyle w:val="97"/>
          <w:lang/>
        </w:rPr>
        <w:t>5</w:t>
      </w:r>
      <w:r>
        <w:rPr>
          <w:rStyle w:val="97"/>
          <w:rFonts w:hint="eastAsia"/>
          <w:lang/>
        </w:rPr>
        <w:t>、投标人认为应提交的其他投标资料</w:t>
      </w:r>
      <w:r>
        <w:rPr>
          <w:lang/>
        </w:rPr>
        <w:tab/>
      </w:r>
      <w:r>
        <w:rPr>
          <w:lang/>
        </w:rPr>
        <w:fldChar w:fldCharType="begin"/>
      </w:r>
      <w:r>
        <w:rPr>
          <w:lang/>
        </w:rPr>
        <w:instrText xml:space="preserve"> PAGEREF _Toc59203272 \h </w:instrText>
      </w:r>
      <w:r>
        <w:rPr>
          <w:lang/>
        </w:rPr>
        <w:fldChar w:fldCharType="separate"/>
      </w:r>
      <w:r>
        <w:rPr>
          <w:lang/>
        </w:rPr>
        <w:t>166</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"_Toc59203273"</w:instrText>
      </w:r>
      <w:r>
        <w:rPr>
          <w:rStyle w:val="97"/>
          <w:lang/>
        </w:rPr>
        <w:instrText xml:space="preserve"> </w:instrText>
      </w:r>
      <w:r>
        <w:rPr>
          <w:rStyle w:val="97"/>
          <w:lang/>
        </w:rPr>
        <w:fldChar w:fldCharType="separate"/>
      </w:r>
      <w:r>
        <w:rPr>
          <w:rStyle w:val="97"/>
          <w:rFonts w:hint="eastAsia"/>
          <w:lang/>
        </w:rPr>
        <w:t>技术标（暗标）</w:t>
      </w:r>
      <w:r>
        <w:rPr>
          <w:lang/>
        </w:rPr>
        <w:tab/>
      </w:r>
      <w:r>
        <w:rPr>
          <w:lang/>
        </w:rPr>
        <w:fldChar w:fldCharType="begin"/>
      </w:r>
      <w:r>
        <w:rPr>
          <w:lang/>
        </w:rPr>
        <w:instrText xml:space="preserve"> PAGEREF _Toc59203273 \h </w:instrText>
      </w:r>
      <w:r>
        <w:rPr>
          <w:lang/>
        </w:rPr>
        <w:fldChar w:fldCharType="separate"/>
      </w:r>
      <w:r>
        <w:rPr>
          <w:lang/>
        </w:rPr>
        <w:t>168</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"_Toc59203274"</w:instrText>
      </w:r>
      <w:r>
        <w:rPr>
          <w:rStyle w:val="97"/>
          <w:lang/>
        </w:rPr>
        <w:instrText xml:space="preserve"> </w:instrText>
      </w:r>
      <w:r>
        <w:rPr>
          <w:rStyle w:val="97"/>
          <w:lang/>
        </w:rPr>
        <w:fldChar w:fldCharType="separate"/>
      </w:r>
      <w:r>
        <w:rPr>
          <w:rStyle w:val="97"/>
          <w:rFonts w:hint="eastAsia"/>
          <w:lang/>
        </w:rPr>
        <w:t>设计标</w:t>
      </w:r>
      <w:r>
        <w:rPr>
          <w:rStyle w:val="97"/>
          <w:lang/>
        </w:rPr>
        <w:t xml:space="preserve"> </w:t>
      </w:r>
      <w:r>
        <w:rPr>
          <w:rStyle w:val="97"/>
          <w:rFonts w:hint="eastAsia"/>
          <w:lang/>
        </w:rPr>
        <w:t>（暗标）</w:t>
      </w:r>
      <w:r>
        <w:rPr>
          <w:lang/>
        </w:rPr>
        <w:tab/>
      </w:r>
      <w:r>
        <w:rPr>
          <w:lang/>
        </w:rPr>
        <w:fldChar w:fldCharType="begin"/>
      </w:r>
      <w:r>
        <w:rPr>
          <w:lang/>
        </w:rPr>
        <w:instrText xml:space="preserve"> PAGEREF _Toc59203274 \h </w:instrText>
      </w:r>
      <w:r>
        <w:rPr>
          <w:lang/>
        </w:rPr>
        <w:fldChar w:fldCharType="separate"/>
      </w:r>
      <w:r>
        <w:rPr>
          <w:lang/>
        </w:rPr>
        <w:t>173</w:t>
      </w:r>
      <w:r>
        <w:rPr>
          <w:lang/>
        </w:rPr>
        <w:fldChar w:fldCharType="end"/>
      </w:r>
      <w:r>
        <w:rPr>
          <w:rStyle w:val="97"/>
          <w:lang/>
        </w:rPr>
        <w:fldChar w:fldCharType="end"/>
      </w:r>
    </w:p>
    <w:p>
      <w:pPr>
        <w:pStyle w:val="41"/>
        <w:tabs>
          <w:tab w:val="right" w:leader="dot" w:pos="9629"/>
        </w:tabs>
        <w:rPr>
          <w:rFonts w:ascii="Calibri" w:hAnsi="Calibri"/>
          <w:i w:val="0"/>
          <w:iCs w:val="0"/>
          <w:sz w:val="21"/>
          <w:szCs w:val="22"/>
          <w:lang/>
        </w:rPr>
      </w:pPr>
      <w:r>
        <w:rPr>
          <w:rStyle w:val="97"/>
          <w:lang/>
        </w:rPr>
        <w:fldChar w:fldCharType="begin"/>
      </w:r>
      <w:r>
        <w:rPr>
          <w:rStyle w:val="97"/>
          <w:lang/>
        </w:rPr>
        <w:instrText xml:space="preserve"> </w:instrText>
      </w:r>
      <w:r>
        <w:rPr>
          <w:lang/>
        </w:rPr>
        <w:instrText xml:space="preserve">HYPERLINK \l "_Toc59203275"</w:instrText>
      </w:r>
      <w:r>
        <w:rPr>
          <w:rStyle w:val="97"/>
          <w:lang/>
        </w:rPr>
        <w:instrText xml:space="preserve"> </w:instrText>
      </w:r>
      <w:r>
        <w:rPr>
          <w:rStyle w:val="97"/>
          <w:lang/>
        </w:rPr>
        <w:fldChar w:fldCharType="separate"/>
      </w:r>
      <w:r>
        <w:rPr>
          <w:rStyle w:val="97"/>
          <w:rFonts w:hint="eastAsia"/>
          <w:lang/>
        </w:rPr>
        <w:t>资信业绩</w:t>
      </w:r>
      <w:r>
        <w:rPr>
          <w:lang/>
        </w:rPr>
        <w:tab/>
      </w:r>
      <w:r>
        <w:rPr>
          <w:lang/>
        </w:rPr>
        <w:fldChar w:fldCharType="begin"/>
      </w:r>
      <w:r>
        <w:rPr>
          <w:lang/>
        </w:rPr>
        <w:instrText xml:space="preserve"> PAGEREF _Toc59203275 \h </w:instrText>
      </w:r>
      <w:r>
        <w:rPr>
          <w:lang/>
        </w:rPr>
        <w:fldChar w:fldCharType="separate"/>
      </w:r>
      <w:r>
        <w:rPr>
          <w:lang/>
        </w:rPr>
        <w:t>176</w:t>
      </w:r>
      <w:r>
        <w:rPr>
          <w:lang/>
        </w:rPr>
        <w:fldChar w:fldCharType="end"/>
      </w:r>
      <w:r>
        <w:rPr>
          <w:rStyle w:val="97"/>
          <w:lang/>
        </w:rPr>
        <w:fldChar w:fldCharType="end"/>
      </w:r>
    </w:p>
    <w:p>
      <w:pPr>
        <w:tabs>
          <w:tab w:val="left" w:pos="1080"/>
        </w:tabs>
        <w:spacing w:line="420" w:lineRule="exact"/>
        <w:ind w:firstLine="480" w:firstLineChars="200"/>
        <w:rPr>
          <w:rFonts w:hint="eastAsia" w:ascii="宋体"/>
          <w:b/>
          <w:color w:val="000000"/>
          <w:sz w:val="32"/>
          <w:szCs w:val="32"/>
        </w:rPr>
      </w:pPr>
      <w:r>
        <w:rPr>
          <w:rFonts w:ascii="宋体" w:hAnsi="宋体"/>
          <w:color w:val="000000"/>
          <w:sz w:val="24"/>
        </w:rPr>
        <w:fldChar w:fldCharType="end"/>
      </w:r>
    </w:p>
    <w:p>
      <w:pPr>
        <w:rPr>
          <w:rFonts w:hint="eastAsia"/>
          <w:color w:val="000000"/>
          <w:szCs w:val="21"/>
        </w:rPr>
      </w:pPr>
      <w:bookmarkStart w:id="0" w:name="_Toc282843651"/>
      <w:bookmarkEnd w:id="0"/>
      <w:bookmarkStart w:id="1" w:name="_Toc283196391"/>
      <w:bookmarkEnd w:id="1"/>
      <w:bookmarkStart w:id="2" w:name="_Toc390874899"/>
      <w:bookmarkEnd w:id="2"/>
      <w:bookmarkStart w:id="3" w:name="_Toc282823836"/>
      <w:bookmarkEnd w:id="3"/>
    </w:p>
    <w:p>
      <w:pPr>
        <w:rPr>
          <w:color w:val="000000"/>
          <w:szCs w:val="21"/>
        </w:rPr>
        <w:sectPr>
          <w:pgSz w:w="11907" w:h="16840"/>
          <w:pgMar w:top="1418" w:right="1134" w:bottom="1418" w:left="1134" w:header="851" w:footer="851" w:gutter="0"/>
          <w:pgNumType w:fmt="upperRoman" w:start="1"/>
          <w:cols w:space="720" w:num="1"/>
          <w:docGrid w:linePitch="312" w:charSpace="0"/>
        </w:sectPr>
      </w:pPr>
    </w:p>
    <w:p>
      <w:pPr>
        <w:rPr>
          <w:rFonts w:hint="eastAsia"/>
          <w:color w:val="000000"/>
          <w:szCs w:val="21"/>
        </w:rPr>
      </w:pPr>
    </w:p>
    <w:p>
      <w:pPr>
        <w:pStyle w:val="2"/>
        <w:jc w:val="center"/>
        <w:rPr>
          <w:rFonts w:hint="eastAsia"/>
          <w:color w:val="000000"/>
        </w:rPr>
      </w:pPr>
      <w:bookmarkStart w:id="4" w:name="_Toc419321109"/>
      <w:bookmarkStart w:id="5" w:name="_Toc389065120"/>
      <w:bookmarkStart w:id="6" w:name="_Toc419364200"/>
      <w:bookmarkStart w:id="7" w:name="_Toc59202979"/>
      <w:bookmarkStart w:id="8" w:name="_Toc419320073"/>
      <w:bookmarkStart w:id="9" w:name="_Toc419363476"/>
      <w:bookmarkStart w:id="10" w:name="_Toc395382352"/>
      <w:bookmarkStart w:id="11" w:name="_Toc433988542"/>
      <w:r>
        <w:rPr>
          <w:color w:val="000000"/>
        </w:rPr>
        <w:t xml:space="preserve">第一章 </w:t>
      </w:r>
      <w:r>
        <w:rPr>
          <w:rFonts w:hint="eastAsia"/>
          <w:color w:val="000000"/>
        </w:rPr>
        <w:t xml:space="preserve"> </w:t>
      </w:r>
      <w:r>
        <w:rPr>
          <w:color w:val="000000"/>
        </w:rPr>
        <w:t>招标公告</w:t>
      </w:r>
      <w:bookmarkEnd w:id="4"/>
      <w:bookmarkEnd w:id="5"/>
      <w:bookmarkEnd w:id="6"/>
      <w:bookmarkEnd w:id="7"/>
      <w:bookmarkEnd w:id="8"/>
      <w:bookmarkEnd w:id="9"/>
      <w:bookmarkEnd w:id="10"/>
      <w:bookmarkEnd w:id="11"/>
    </w:p>
    <w:p>
      <w:pPr>
        <w:rPr>
          <w:rFonts w:hint="eastAsia"/>
          <w:color w:val="000000"/>
        </w:rPr>
      </w:pPr>
    </w:p>
    <w:p>
      <w:pPr>
        <w:ind w:firstLine="2642" w:firstLineChars="940"/>
        <w:rPr>
          <w:rFonts w:hint="eastAsia" w:ascii="宋体" w:hAnsi="宋体"/>
          <w:b/>
          <w:color w:val="000000"/>
          <w:sz w:val="28"/>
          <w:szCs w:val="28"/>
        </w:rPr>
      </w:pPr>
      <w:bookmarkStart w:id="12" w:name="_Toc389065121"/>
      <w:r>
        <w:rPr>
          <w:rFonts w:hint="eastAsia" w:ascii="宋体" w:hAnsi="宋体"/>
          <w:b/>
          <w:color w:val="000000"/>
          <w:sz w:val="28"/>
          <w:szCs w:val="28"/>
          <w:u w:val="single"/>
        </w:rPr>
        <w:t xml:space="preserve"> </w:t>
      </w:r>
      <w:r>
        <w:rPr>
          <w:rFonts w:ascii="宋体" w:hAnsi="宋体"/>
          <w:b/>
          <w:color w:val="000000"/>
          <w:sz w:val="28"/>
          <w:szCs w:val="28"/>
          <w:u w:val="single"/>
        </w:rPr>
        <w:t xml:space="preserve">              </w:t>
      </w:r>
      <w:bookmarkEnd w:id="12"/>
      <w:r>
        <w:rPr>
          <w:rFonts w:hint="eastAsia" w:ascii="宋体" w:hAnsi="宋体"/>
          <w:b/>
          <w:color w:val="000000"/>
          <w:sz w:val="28"/>
          <w:szCs w:val="28"/>
        </w:rPr>
        <w:t>工程总承包</w:t>
      </w:r>
      <w:r>
        <w:rPr>
          <w:rFonts w:ascii="宋体" w:hAnsi="宋体"/>
          <w:b/>
          <w:color w:val="000000"/>
          <w:sz w:val="28"/>
          <w:szCs w:val="28"/>
        </w:rPr>
        <w:t>招标公告</w:t>
      </w:r>
    </w:p>
    <w:p>
      <w:pPr>
        <w:rPr>
          <w:rFonts w:hint="eastAsia"/>
          <w:color w:val="000000"/>
        </w:rPr>
      </w:pPr>
    </w:p>
    <w:p>
      <w:pPr>
        <w:pStyle w:val="3"/>
        <w:spacing w:line="360" w:lineRule="auto"/>
        <w:rPr>
          <w:rFonts w:ascii="宋体" w:hAnsi="宋体" w:eastAsia="宋体"/>
          <w:color w:val="000000"/>
          <w:sz w:val="24"/>
          <w:szCs w:val="24"/>
        </w:rPr>
      </w:pPr>
      <w:bookmarkStart w:id="13" w:name="_Toc389065122"/>
      <w:bookmarkStart w:id="14" w:name="_Toc395382353"/>
      <w:bookmarkStart w:id="15" w:name="_Toc419320074"/>
      <w:bookmarkStart w:id="16" w:name="_Toc419364201"/>
      <w:bookmarkStart w:id="17" w:name="_Toc433988543"/>
      <w:bookmarkStart w:id="18" w:name="_Toc419321110"/>
      <w:bookmarkStart w:id="19" w:name="_Toc419363477"/>
      <w:bookmarkStart w:id="20" w:name="_Toc59202980"/>
      <w:r>
        <w:rPr>
          <w:rFonts w:ascii="宋体" w:hAnsi="宋体" w:eastAsia="宋体"/>
          <w:color w:val="000000"/>
          <w:sz w:val="24"/>
          <w:szCs w:val="24"/>
        </w:rPr>
        <w:t>1. 招标条件</w:t>
      </w:r>
      <w:bookmarkEnd w:id="13"/>
      <w:bookmarkEnd w:id="14"/>
      <w:bookmarkEnd w:id="15"/>
      <w:bookmarkEnd w:id="16"/>
      <w:bookmarkEnd w:id="17"/>
      <w:bookmarkEnd w:id="18"/>
      <w:bookmarkEnd w:id="19"/>
      <w:bookmarkEnd w:id="20"/>
    </w:p>
    <w:p>
      <w:pPr>
        <w:spacing w:line="360" w:lineRule="auto"/>
        <w:ind w:firstLine="420" w:firstLineChars="200"/>
        <w:rPr>
          <w:color w:val="000000"/>
        </w:rPr>
      </w:pPr>
      <w:r>
        <w:rPr>
          <w:color w:val="000000"/>
        </w:rPr>
        <w:t>本招标项目</w:t>
      </w:r>
      <w:r>
        <w:rPr>
          <w:color w:val="000000"/>
          <w:u w:val="single"/>
        </w:rPr>
        <w:t xml:space="preserve">                   </w:t>
      </w:r>
      <w:r>
        <w:rPr>
          <w:color w:val="000000"/>
        </w:rPr>
        <w:t xml:space="preserve"> （项目名称）</w:t>
      </w:r>
      <w:r>
        <w:rPr>
          <w:rFonts w:hint="eastAsia"/>
          <w:color w:val="000000"/>
        </w:rPr>
        <w:t>工程</w:t>
      </w:r>
      <w:r>
        <w:rPr>
          <w:color w:val="000000"/>
        </w:rPr>
        <w:t>已由</w:t>
      </w:r>
      <w:r>
        <w:rPr>
          <w:color w:val="000000"/>
          <w:u w:val="single"/>
        </w:rPr>
        <w:t xml:space="preserve">                 </w:t>
      </w:r>
      <w:r>
        <w:rPr>
          <w:color w:val="000000"/>
        </w:rPr>
        <w:t xml:space="preserve"> （项目审批、核准或备案机关名称）以</w:t>
      </w:r>
      <w:r>
        <w:rPr>
          <w:color w:val="000000"/>
          <w:u w:val="single"/>
        </w:rPr>
        <w:t xml:space="preserve">               </w:t>
      </w:r>
      <w:r>
        <w:rPr>
          <w:color w:val="000000"/>
        </w:rPr>
        <w:t xml:space="preserve"> （批文名称</w:t>
      </w:r>
      <w:r>
        <w:rPr>
          <w:rFonts w:hint="eastAsia"/>
          <w:color w:val="000000"/>
        </w:rPr>
        <w:t>、文号、项目代码</w:t>
      </w:r>
      <w:r>
        <w:rPr>
          <w:color w:val="000000"/>
        </w:rPr>
        <w:t>）批准建设，招标人（项目业主）为</w:t>
      </w:r>
      <w:r>
        <w:rPr>
          <w:color w:val="000000"/>
          <w:u w:val="single"/>
        </w:rPr>
        <w:t xml:space="preserve">                 </w:t>
      </w:r>
      <w:r>
        <w:rPr>
          <w:color w:val="000000"/>
        </w:rPr>
        <w:t>，建设资金来自</w:t>
      </w:r>
      <w:r>
        <w:rPr>
          <w:color w:val="000000"/>
          <w:u w:val="single"/>
        </w:rPr>
        <w:t xml:space="preserve">             </w:t>
      </w:r>
      <w:r>
        <w:rPr>
          <w:color w:val="000000"/>
        </w:rPr>
        <w:t xml:space="preserve"> （资金来源），项目出资比例为</w:t>
      </w:r>
      <w:r>
        <w:rPr>
          <w:color w:val="000000"/>
          <w:u w:val="single"/>
        </w:rPr>
        <w:t xml:space="preserve">         </w:t>
      </w:r>
      <w:r>
        <w:rPr>
          <w:color w:val="000000"/>
        </w:rPr>
        <w:t>。项目已具备招标条件，</w:t>
      </w:r>
      <w:r>
        <w:rPr>
          <w:rFonts w:ascii="宋体" w:hAnsi="宋体"/>
          <w:color w:val="000000"/>
          <w:szCs w:val="21"/>
        </w:rPr>
        <w:t>现对该项目的□</w:t>
      </w:r>
      <w:r>
        <w:rPr>
          <w:rFonts w:hint="eastAsia" w:ascii="宋体" w:hAnsi="宋体"/>
          <w:color w:val="000000"/>
          <w:szCs w:val="21"/>
        </w:rPr>
        <w:t>设计、采购（指永久专用设备的采购）、施工或□设计、施工</w:t>
      </w:r>
      <w:r>
        <w:rPr>
          <w:rFonts w:ascii="宋体" w:hAnsi="宋体"/>
          <w:color w:val="000000"/>
          <w:szCs w:val="21"/>
        </w:rPr>
        <w:t>进行</w:t>
      </w:r>
      <w:r>
        <w:rPr>
          <w:rFonts w:hint="eastAsia" w:ascii="宋体" w:hAnsi="宋体"/>
          <w:color w:val="000000"/>
          <w:szCs w:val="21"/>
        </w:rPr>
        <w:t>公开</w:t>
      </w:r>
      <w:r>
        <w:rPr>
          <w:rFonts w:ascii="宋体" w:hAnsi="宋体"/>
          <w:color w:val="000000"/>
          <w:szCs w:val="21"/>
        </w:rPr>
        <w:t>招标。</w:t>
      </w:r>
    </w:p>
    <w:p>
      <w:pPr>
        <w:pStyle w:val="3"/>
        <w:spacing w:line="360" w:lineRule="auto"/>
        <w:rPr>
          <w:rFonts w:ascii="宋体" w:hAnsi="宋体" w:eastAsia="宋体"/>
          <w:color w:val="000000"/>
          <w:sz w:val="24"/>
          <w:szCs w:val="24"/>
        </w:rPr>
      </w:pPr>
      <w:bookmarkStart w:id="21" w:name="_Toc389065123"/>
      <w:bookmarkStart w:id="22" w:name="_Toc419363478"/>
      <w:bookmarkStart w:id="23" w:name="_Toc433988544"/>
      <w:bookmarkStart w:id="24" w:name="_Toc395382354"/>
      <w:bookmarkStart w:id="25" w:name="_Toc419320075"/>
      <w:bookmarkStart w:id="26" w:name="_Toc59202981"/>
      <w:bookmarkStart w:id="27" w:name="_Toc419321111"/>
      <w:bookmarkStart w:id="28" w:name="_Toc419364202"/>
      <w:r>
        <w:rPr>
          <w:rFonts w:ascii="宋体" w:hAnsi="宋体" w:eastAsia="宋体"/>
          <w:color w:val="000000"/>
          <w:sz w:val="24"/>
          <w:szCs w:val="24"/>
        </w:rPr>
        <w:t>2. 项目概况与招标范围</w:t>
      </w:r>
      <w:bookmarkEnd w:id="21"/>
      <w:bookmarkEnd w:id="22"/>
      <w:bookmarkEnd w:id="23"/>
      <w:bookmarkEnd w:id="24"/>
      <w:bookmarkEnd w:id="25"/>
      <w:bookmarkEnd w:id="26"/>
      <w:bookmarkEnd w:id="27"/>
      <w:bookmarkEnd w:id="28"/>
    </w:p>
    <w:p>
      <w:pPr>
        <w:spacing w:line="360" w:lineRule="auto"/>
        <w:ind w:firstLine="420" w:firstLineChars="200"/>
        <w:rPr>
          <w:rFonts w:hint="eastAsia"/>
          <w:color w:val="000000"/>
        </w:rPr>
      </w:pPr>
      <w:r>
        <w:rPr>
          <w:rFonts w:hint="eastAsia"/>
          <w:color w:val="000000"/>
        </w:rPr>
        <w:t>2.1项目概况</w:t>
      </w:r>
    </w:p>
    <w:p>
      <w:pPr>
        <w:spacing w:line="360" w:lineRule="auto"/>
        <w:ind w:firstLine="420" w:firstLineChars="200"/>
        <w:rPr>
          <w:rFonts w:hint="eastAsia"/>
          <w:color w:val="000000"/>
          <w:u w:val="single"/>
        </w:rPr>
      </w:pPr>
      <w:r>
        <w:rPr>
          <w:color w:val="000000"/>
        </w:rPr>
        <w:t>建设地点：</w:t>
      </w:r>
      <w:r>
        <w:rPr>
          <w:color w:val="000000"/>
          <w:u w:val="single"/>
        </w:rPr>
        <w:t xml:space="preserve">                                 </w:t>
      </w:r>
    </w:p>
    <w:p>
      <w:pPr>
        <w:spacing w:line="360" w:lineRule="auto"/>
        <w:ind w:firstLine="420" w:firstLineChars="200"/>
        <w:rPr>
          <w:color w:val="000000"/>
          <w:u w:val="single"/>
        </w:rPr>
      </w:pPr>
      <w:r>
        <w:rPr>
          <w:color w:val="000000"/>
        </w:rPr>
        <w:t>建设规模：</w:t>
      </w:r>
      <w:r>
        <w:rPr>
          <w:color w:val="000000"/>
          <w:u w:val="single"/>
        </w:rPr>
        <w:t xml:space="preserve">                                 </w:t>
      </w:r>
    </w:p>
    <w:p>
      <w:pPr>
        <w:spacing w:line="360" w:lineRule="auto"/>
        <w:ind w:firstLine="420" w:firstLineChars="200"/>
        <w:rPr>
          <w:rFonts w:hint="eastAsia"/>
          <w:color w:val="000000"/>
          <w:u w:val="single"/>
        </w:rPr>
      </w:pPr>
      <w:r>
        <w:rPr>
          <w:rFonts w:hint="eastAsia"/>
          <w:color w:val="000000"/>
        </w:rPr>
        <w:t>本项目（□估算价□概算价）</w:t>
      </w:r>
      <w:r>
        <w:rPr>
          <w:color w:val="000000"/>
        </w:rPr>
        <w:t>：</w:t>
      </w:r>
      <w:r>
        <w:rPr>
          <w:color w:val="000000"/>
          <w:u w:val="single"/>
        </w:rPr>
        <w:t xml:space="preserve">                               </w:t>
      </w:r>
    </w:p>
    <w:p>
      <w:pPr>
        <w:spacing w:line="360" w:lineRule="auto"/>
        <w:ind w:firstLine="420" w:firstLineChars="200"/>
        <w:rPr>
          <w:b/>
          <w:color w:val="000000"/>
        </w:rPr>
      </w:pPr>
      <w:r>
        <w:rPr>
          <w:rFonts w:hint="eastAsia" w:ascii="宋体" w:hAnsi="宋体"/>
          <w:color w:val="000000"/>
        </w:rPr>
        <w:t>计划工期：本项目总工期为</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u w:val="single"/>
        </w:rPr>
        <w:t xml:space="preserve">  </w:t>
      </w:r>
      <w:r>
        <w:rPr>
          <w:rFonts w:hint="eastAsia" w:ascii="宋体" w:hAnsi="宋体"/>
          <w:color w:val="000000"/>
        </w:rPr>
        <w:t>天（日历天）。</w:t>
      </w:r>
    </w:p>
    <w:p>
      <w:pPr>
        <w:spacing w:line="360" w:lineRule="auto"/>
        <w:ind w:firstLine="420" w:firstLineChars="200"/>
        <w:rPr>
          <w:color w:val="000000"/>
          <w:u w:val="single"/>
        </w:rPr>
      </w:pPr>
      <w:r>
        <w:rPr>
          <w:rFonts w:hint="eastAsia"/>
          <w:color w:val="000000"/>
        </w:rPr>
        <w:t>2.2</w:t>
      </w:r>
      <w:r>
        <w:rPr>
          <w:color w:val="000000"/>
        </w:rPr>
        <w:t xml:space="preserve">招标范围： </w:t>
      </w:r>
      <w:r>
        <w:rPr>
          <w:color w:val="000000"/>
          <w:u w:val="single"/>
        </w:rPr>
        <w:t xml:space="preserve">                                </w:t>
      </w:r>
      <w:r>
        <w:rPr>
          <w:rFonts w:hint="eastAsia"/>
          <w:color w:val="000000"/>
          <w:u w:val="single"/>
        </w:rPr>
        <w:t xml:space="preserve"> </w:t>
      </w:r>
    </w:p>
    <w:p>
      <w:pPr>
        <w:spacing w:line="360" w:lineRule="auto"/>
        <w:ind w:firstLine="420" w:firstLineChars="200"/>
        <w:rPr>
          <w:color w:val="000000"/>
          <w:u w:val="single"/>
        </w:rPr>
      </w:pPr>
      <w:r>
        <w:rPr>
          <w:rFonts w:hint="eastAsia"/>
          <w:color w:val="000000"/>
        </w:rPr>
        <w:t>2.3</w:t>
      </w:r>
      <w:r>
        <w:rPr>
          <w:rFonts w:hint="eastAsia" w:cs="宋体"/>
          <w:color w:val="000000"/>
        </w:rPr>
        <w:t>标段划分：</w:t>
      </w:r>
      <w:r>
        <w:rPr>
          <w:color w:val="000000"/>
        </w:rPr>
        <w:t xml:space="preserve"> </w:t>
      </w:r>
      <w:r>
        <w:rPr>
          <w:color w:val="000000"/>
          <w:u w:val="single"/>
        </w:rPr>
        <w:t xml:space="preserve">                                 </w:t>
      </w:r>
    </w:p>
    <w:p>
      <w:pPr>
        <w:spacing w:line="360" w:lineRule="auto"/>
        <w:ind w:firstLine="420" w:firstLineChars="200"/>
        <w:rPr>
          <w:rFonts w:hint="eastAsia"/>
          <w:color w:val="000000"/>
        </w:rPr>
      </w:pPr>
      <w:r>
        <w:rPr>
          <w:rFonts w:hint="eastAsia"/>
          <w:color w:val="000000"/>
        </w:rPr>
        <w:t xml:space="preserve">2.4 </w:t>
      </w:r>
      <w:r>
        <w:rPr>
          <w:rFonts w:hint="eastAsia" w:ascii="宋体" w:hAnsi="宋体"/>
          <w:color w:val="000000"/>
          <w:szCs w:val="21"/>
        </w:rPr>
        <w:t xml:space="preserve">本项目 </w:t>
      </w:r>
      <w:r>
        <w:rPr>
          <w:rFonts w:hint="eastAsia"/>
          <w:color w:val="000000"/>
        </w:rPr>
        <w:t>□</w:t>
      </w:r>
      <w:r>
        <w:rPr>
          <w:rFonts w:hint="eastAsia" w:ascii="宋体" w:hAnsi="宋体"/>
          <w:color w:val="000000"/>
          <w:szCs w:val="21"/>
        </w:rPr>
        <w:t xml:space="preserve">要求 </w:t>
      </w:r>
      <w:r>
        <w:rPr>
          <w:rFonts w:hint="eastAsia"/>
          <w:color w:val="000000"/>
        </w:rPr>
        <w:t>□不要求采用装配式技术。</w:t>
      </w:r>
    </w:p>
    <w:p>
      <w:pPr>
        <w:spacing w:line="360" w:lineRule="auto"/>
        <w:ind w:firstLine="420" w:firstLineChars="200"/>
        <w:rPr>
          <w:rFonts w:hint="eastAsia"/>
          <w:color w:val="000000"/>
          <w:u w:val="single"/>
        </w:rPr>
      </w:pPr>
      <w:r>
        <w:rPr>
          <w:color w:val="000000"/>
        </w:rPr>
        <w:t xml:space="preserve">2.5 </w:t>
      </w:r>
      <w:r>
        <w:rPr>
          <w:rFonts w:hint="eastAsia" w:ascii="宋体" w:hAnsi="宋体"/>
          <w:color w:val="000000"/>
          <w:szCs w:val="21"/>
        </w:rPr>
        <w:t xml:space="preserve">本项目 </w:t>
      </w:r>
      <w:r>
        <w:rPr>
          <w:rFonts w:hint="eastAsia"/>
          <w:color w:val="000000"/>
        </w:rPr>
        <w:t>□</w:t>
      </w:r>
      <w:r>
        <w:rPr>
          <w:rFonts w:hint="eastAsia" w:ascii="宋体" w:hAnsi="宋体"/>
          <w:color w:val="000000"/>
          <w:szCs w:val="21"/>
        </w:rPr>
        <w:t xml:space="preserve">要求 </w:t>
      </w:r>
      <w:r>
        <w:rPr>
          <w:rFonts w:hint="eastAsia"/>
          <w:color w:val="000000"/>
        </w:rPr>
        <w:t>□不要求采用建筑信息模型（BIM）技术。</w:t>
      </w:r>
    </w:p>
    <w:p>
      <w:pPr>
        <w:pStyle w:val="3"/>
        <w:spacing w:line="360" w:lineRule="auto"/>
        <w:rPr>
          <w:rFonts w:ascii="宋体" w:hAnsi="宋体" w:eastAsia="宋体"/>
          <w:color w:val="000000"/>
          <w:sz w:val="24"/>
          <w:szCs w:val="24"/>
        </w:rPr>
      </w:pPr>
      <w:bookmarkStart w:id="29" w:name="_Toc419320076"/>
      <w:bookmarkStart w:id="30" w:name="_Toc433988545"/>
      <w:bookmarkStart w:id="31" w:name="_Toc59202982"/>
      <w:bookmarkStart w:id="32" w:name="_Toc395382355"/>
      <w:bookmarkStart w:id="33" w:name="_Toc419364203"/>
      <w:bookmarkStart w:id="34" w:name="_Toc389065124"/>
      <w:bookmarkStart w:id="35" w:name="_Toc419321112"/>
      <w:bookmarkStart w:id="36" w:name="_Toc419363479"/>
      <w:r>
        <w:rPr>
          <w:rFonts w:ascii="宋体" w:hAnsi="宋体" w:eastAsia="宋体"/>
          <w:color w:val="000000"/>
          <w:sz w:val="24"/>
          <w:szCs w:val="24"/>
        </w:rPr>
        <w:t>3. 投标人资格要求</w:t>
      </w:r>
      <w:bookmarkEnd w:id="29"/>
      <w:bookmarkEnd w:id="30"/>
      <w:bookmarkEnd w:id="31"/>
      <w:bookmarkEnd w:id="32"/>
      <w:bookmarkEnd w:id="33"/>
      <w:bookmarkEnd w:id="34"/>
      <w:bookmarkEnd w:id="35"/>
      <w:bookmarkEnd w:id="36"/>
    </w:p>
    <w:p>
      <w:pPr>
        <w:spacing w:line="360" w:lineRule="auto"/>
        <w:ind w:left="105" w:leftChars="50" w:firstLine="315" w:firstLineChars="150"/>
        <w:rPr>
          <w:rFonts w:ascii="宋体" w:hAnsi="宋体"/>
          <w:color w:val="000000"/>
          <w:szCs w:val="21"/>
          <w:u w:val="single"/>
        </w:rPr>
      </w:pPr>
      <w:r>
        <w:rPr>
          <w:color w:val="000000"/>
        </w:rPr>
        <w:t>3.1本次招标要求投标人</w:t>
      </w:r>
      <w:r>
        <w:rPr>
          <w:rFonts w:hint="eastAsia"/>
          <w:color w:val="000000"/>
          <w:szCs w:val="21"/>
        </w:rPr>
        <w:t>同时具</w:t>
      </w:r>
      <w:r>
        <w:rPr>
          <w:color w:val="000000"/>
        </w:rPr>
        <w:t>备</w:t>
      </w:r>
      <w:r>
        <w:rPr>
          <w:rFonts w:hint="eastAsia" w:ascii="宋体" w:hAnsi="宋体"/>
          <w:color w:val="000000"/>
          <w:szCs w:val="21"/>
          <w:u w:val="single"/>
        </w:rPr>
        <w:t xml:space="preserve">   </w:t>
      </w:r>
      <w:r>
        <w:rPr>
          <w:rFonts w:hint="eastAsia" w:ascii="宋体" w:hAnsi="宋体"/>
          <w:color w:val="000000"/>
          <w:szCs w:val="21"/>
        </w:rPr>
        <w:t>工程设计</w:t>
      </w:r>
      <w:r>
        <w:rPr>
          <w:rFonts w:hint="eastAsia" w:ascii="宋体" w:hAnsi="宋体"/>
          <w:color w:val="000000"/>
          <w:szCs w:val="21"/>
          <w:u w:val="single"/>
        </w:rPr>
        <w:t xml:space="preserve">   </w:t>
      </w:r>
      <w:r>
        <w:rPr>
          <w:rFonts w:hint="eastAsia" w:ascii="宋体" w:hAnsi="宋体"/>
          <w:color w:val="000000"/>
          <w:szCs w:val="21"/>
        </w:rPr>
        <w:t>级及以上资质</w:t>
      </w:r>
      <w:r>
        <w:rPr>
          <w:rFonts w:hint="eastAsia"/>
          <w:color w:val="000000"/>
        </w:rPr>
        <w:t>和</w:t>
      </w:r>
      <w:r>
        <w:rPr>
          <w:rFonts w:hint="eastAsia" w:ascii="宋体" w:hAnsi="宋体"/>
          <w:color w:val="000000"/>
          <w:szCs w:val="21"/>
          <w:u w:val="single"/>
        </w:rPr>
        <w:t xml:space="preserve">   </w:t>
      </w:r>
      <w:r>
        <w:rPr>
          <w:rFonts w:hint="eastAsia" w:ascii="宋体" w:hAnsi="宋体"/>
          <w:color w:val="000000"/>
          <w:szCs w:val="21"/>
        </w:rPr>
        <w:t>施工总承包</w:t>
      </w:r>
      <w:r>
        <w:rPr>
          <w:rFonts w:hint="eastAsia" w:ascii="宋体" w:hAnsi="宋体"/>
          <w:color w:val="000000"/>
          <w:szCs w:val="21"/>
          <w:u w:val="single"/>
        </w:rPr>
        <w:t xml:space="preserve">    级</w:t>
      </w:r>
      <w:r>
        <w:rPr>
          <w:rFonts w:hint="eastAsia" w:ascii="宋体" w:hAnsi="宋体"/>
          <w:color w:val="000000"/>
          <w:szCs w:val="21"/>
        </w:rPr>
        <w:t>及以上资质</w:t>
      </w:r>
      <w:r>
        <w:rPr>
          <w:color w:val="000000"/>
          <w:kern w:val="0"/>
          <w:sz w:val="24"/>
        </w:rPr>
        <w:t>，</w:t>
      </w:r>
      <w:r>
        <w:rPr>
          <w:rFonts w:hint="eastAsia"/>
          <w:color w:val="000000"/>
        </w:rPr>
        <w:t>具有有效的安全生产许可证，</w:t>
      </w:r>
      <w:r>
        <w:rPr>
          <w:color w:val="000000"/>
        </w:rPr>
        <w:t>并在人员、设备、资金等方面具</w:t>
      </w:r>
      <w:r>
        <w:rPr>
          <w:rFonts w:hint="eastAsia"/>
          <w:color w:val="000000"/>
        </w:rPr>
        <w:t>备相</w:t>
      </w:r>
      <w:r>
        <w:rPr>
          <w:color w:val="000000"/>
        </w:rPr>
        <w:t>应的</w:t>
      </w:r>
      <w:r>
        <w:rPr>
          <w:rFonts w:hint="eastAsia"/>
          <w:color w:val="000000"/>
        </w:rPr>
        <w:t>履约</w:t>
      </w:r>
      <w:r>
        <w:rPr>
          <w:color w:val="000000"/>
        </w:rPr>
        <w:t>能力。投标人</w:t>
      </w:r>
      <w:r>
        <w:rPr>
          <w:rFonts w:hint="eastAsia"/>
          <w:color w:val="000000"/>
        </w:rPr>
        <w:t>（如为联合体投标的要求其联合体中施工单位）已录入广西建筑业企业诚信信息库并处于有效状态。</w:t>
      </w:r>
      <w:r>
        <w:rPr>
          <w:color w:val="000000"/>
        </w:rPr>
        <w:t xml:space="preserve"> </w:t>
      </w:r>
    </w:p>
    <w:p>
      <w:pPr>
        <w:spacing w:line="360" w:lineRule="auto"/>
        <w:ind w:firstLine="420" w:firstLineChars="200"/>
        <w:rPr>
          <w:color w:val="000000"/>
        </w:rPr>
      </w:pPr>
      <w:r>
        <w:rPr>
          <w:color w:val="000000"/>
        </w:rPr>
        <w:t>3.</w:t>
      </w:r>
      <w:r>
        <w:rPr>
          <w:rFonts w:hint="eastAsia"/>
          <w:color w:val="000000"/>
        </w:rPr>
        <w:t>2</w:t>
      </w:r>
      <w:r>
        <w:rPr>
          <w:color w:val="000000"/>
        </w:rPr>
        <w:t>主要负责人</w:t>
      </w:r>
      <w:r>
        <w:rPr>
          <w:rFonts w:hint="eastAsia"/>
          <w:color w:val="000000"/>
        </w:rPr>
        <w:t>员</w:t>
      </w:r>
      <w:r>
        <w:rPr>
          <w:color w:val="000000"/>
        </w:rPr>
        <w:t>要求：</w:t>
      </w:r>
    </w:p>
    <w:p>
      <w:pPr>
        <w:spacing w:line="360" w:lineRule="auto"/>
        <w:ind w:firstLine="405"/>
        <w:rPr>
          <w:rFonts w:hint="eastAsia" w:eastAsia="楷体_GB2312"/>
          <w:b/>
          <w:color w:val="000000"/>
          <w:szCs w:val="21"/>
        </w:rPr>
      </w:pPr>
      <w:r>
        <w:rPr>
          <w:rFonts w:hint="eastAsia"/>
          <w:color w:val="000000"/>
          <w:szCs w:val="21"/>
        </w:rPr>
        <w:t>3.2.1</w:t>
      </w:r>
      <w:r>
        <w:rPr>
          <w:rFonts w:ascii="宋体" w:hAnsi="宋体"/>
          <w:color w:val="000000"/>
          <w:szCs w:val="21"/>
        </w:rPr>
        <w:t>工程总承包项目经理：</w:t>
      </w:r>
      <w:r>
        <w:rPr>
          <w:rFonts w:hint="eastAsia" w:ascii="宋体" w:hAnsi="宋体"/>
          <w:color w:val="000000"/>
          <w:szCs w:val="21"/>
          <w:u w:val="single"/>
        </w:rPr>
        <w:t>具有    工程专业   级注册建筑师或注册结构工程师或注册建造师或注册监理工程师和    级及以上职称（</w:t>
      </w:r>
      <w:r>
        <w:rPr>
          <w:rFonts w:hint="eastAsia" w:ascii="宋体" w:hAnsi="宋体"/>
          <w:b/>
          <w:color w:val="000000"/>
          <w:szCs w:val="21"/>
          <w:u w:val="single"/>
        </w:rPr>
        <w:t>联合</w:t>
      </w:r>
      <w:r>
        <w:rPr>
          <w:rFonts w:ascii="宋体" w:hAnsi="宋体"/>
          <w:b/>
          <w:color w:val="000000"/>
          <w:szCs w:val="21"/>
          <w:u w:val="single"/>
        </w:rPr>
        <w:t>体投标的，需</w:t>
      </w:r>
      <w:r>
        <w:rPr>
          <w:rFonts w:hint="eastAsia" w:ascii="宋体" w:hAnsi="宋体"/>
          <w:b/>
          <w:color w:val="000000"/>
          <w:szCs w:val="21"/>
          <w:u w:val="single"/>
        </w:rPr>
        <w:t>为</w:t>
      </w:r>
      <w:r>
        <w:rPr>
          <w:rFonts w:ascii="宋体" w:hAnsi="宋体"/>
          <w:b/>
          <w:color w:val="000000"/>
          <w:szCs w:val="21"/>
          <w:u w:val="single"/>
        </w:rPr>
        <w:t>牵</w:t>
      </w:r>
      <w:r>
        <w:rPr>
          <w:rFonts w:hint="eastAsia" w:ascii="宋体" w:hAnsi="宋体"/>
          <w:b/>
          <w:color w:val="000000"/>
          <w:szCs w:val="21"/>
          <w:u w:val="single"/>
        </w:rPr>
        <w:t>头</w:t>
      </w:r>
      <w:r>
        <w:rPr>
          <w:rFonts w:ascii="宋体" w:hAnsi="宋体"/>
          <w:b/>
          <w:color w:val="000000"/>
          <w:szCs w:val="21"/>
          <w:u w:val="single"/>
        </w:rPr>
        <w:t>单位</w:t>
      </w:r>
      <w:r>
        <w:rPr>
          <w:rFonts w:hint="eastAsia" w:ascii="宋体" w:hAnsi="宋体"/>
          <w:b/>
          <w:color w:val="000000"/>
          <w:szCs w:val="21"/>
          <w:u w:val="single"/>
        </w:rPr>
        <w:t>员工）</w:t>
      </w:r>
      <w:r>
        <w:rPr>
          <w:rFonts w:ascii="宋体" w:hAnsi="宋体"/>
          <w:color w:val="000000"/>
          <w:szCs w:val="21"/>
          <w:u w:val="single"/>
        </w:rPr>
        <w:t>，</w:t>
      </w:r>
      <w:r>
        <w:rPr>
          <w:rFonts w:hint="eastAsia" w:ascii="宋体" w:hAnsi="宋体"/>
          <w:color w:val="000000"/>
          <w:szCs w:val="21"/>
          <w:u w:val="single"/>
        </w:rPr>
        <w:t>已录入广西建筑业企业诚信信息库并处于有效状态，不得同时在两个或者两个以上工程项目担任施工项目经理或工程总承包项目经理或项目总监理工程师，不接受有在建、已中标未开工或已列为其他项目中标候选人第一名的施工项目经理或工程总承包项目经理或项目总监理工程师作为工程总承包项目经理（符合《广西壮族自治区建筑市场诚信卡管理暂行办法》第十六条第一款及桂建管</w:t>
      </w:r>
      <w:r>
        <w:rPr>
          <w:color w:val="000000"/>
          <w:szCs w:val="21"/>
        </w:rPr>
        <w:t>﹝</w:t>
      </w:r>
      <w:r>
        <w:rPr>
          <w:rFonts w:hint="eastAsia"/>
          <w:color w:val="000000"/>
          <w:kern w:val="0"/>
          <w:szCs w:val="21"/>
        </w:rPr>
        <w:t>2016</w:t>
      </w:r>
      <w:r>
        <w:rPr>
          <w:color w:val="000000"/>
          <w:szCs w:val="21"/>
        </w:rPr>
        <w:t>﹞</w:t>
      </w:r>
      <w:r>
        <w:rPr>
          <w:rFonts w:hint="eastAsia" w:ascii="宋体" w:hAnsi="宋体"/>
          <w:color w:val="000000"/>
          <w:szCs w:val="21"/>
          <w:u w:val="single"/>
        </w:rPr>
        <w:t>70号文除外）。</w:t>
      </w:r>
      <w:r>
        <w:rPr>
          <w:rFonts w:hint="eastAsia"/>
          <w:color w:val="000000"/>
          <w:szCs w:val="21"/>
        </w:rPr>
        <w:t>要求</w:t>
      </w:r>
      <w:r>
        <w:rPr>
          <w:rFonts w:hint="eastAsia" w:ascii="宋体" w:hAnsi="宋体"/>
          <w:color w:val="000000"/>
          <w:szCs w:val="21"/>
          <w:u w:val="single"/>
        </w:rPr>
        <w:t>担任过与拟建项目相类似的工程总承包项目经理、设计项目负责人、施工项目经理或者项目总监理工程师。</w:t>
      </w:r>
    </w:p>
    <w:p>
      <w:pPr>
        <w:spacing w:line="360" w:lineRule="auto"/>
        <w:ind w:firstLine="405"/>
        <w:rPr>
          <w:rFonts w:hint="eastAsia" w:ascii="宋体" w:hAnsi="宋体"/>
          <w:color w:val="000000"/>
          <w:szCs w:val="21"/>
        </w:rPr>
      </w:pPr>
      <w:r>
        <w:rPr>
          <w:rFonts w:hint="eastAsia"/>
          <w:color w:val="000000"/>
          <w:szCs w:val="21"/>
        </w:rPr>
        <w:t>3.2.2项目</w:t>
      </w:r>
      <w:r>
        <w:rPr>
          <w:rFonts w:ascii="宋体" w:hAnsi="宋体"/>
          <w:color w:val="000000"/>
          <w:szCs w:val="21"/>
        </w:rPr>
        <w:t>设计负责人：具有</w:t>
      </w:r>
      <w:r>
        <w:rPr>
          <w:rFonts w:hint="eastAsia" w:ascii="宋体" w:hAnsi="宋体"/>
          <w:color w:val="000000"/>
          <w:szCs w:val="21"/>
          <w:u w:val="single"/>
        </w:rPr>
        <w:t xml:space="preserve">  </w:t>
      </w:r>
      <w:r>
        <w:rPr>
          <w:rFonts w:ascii="宋体" w:hAnsi="宋体"/>
          <w:color w:val="000000"/>
          <w:szCs w:val="21"/>
        </w:rPr>
        <w:t>级注册</w:t>
      </w:r>
      <w:r>
        <w:rPr>
          <w:rFonts w:hint="eastAsia" w:ascii="宋体" w:hAnsi="宋体"/>
          <w:color w:val="000000"/>
          <w:szCs w:val="21"/>
        </w:rPr>
        <w:t>建筑师证书</w:t>
      </w:r>
      <w:r>
        <w:rPr>
          <w:rFonts w:ascii="宋体" w:hAnsi="宋体"/>
          <w:color w:val="000000"/>
          <w:szCs w:val="21"/>
        </w:rPr>
        <w:t>和</w:t>
      </w:r>
      <w:r>
        <w:rPr>
          <w:rFonts w:hint="eastAsia" w:ascii="宋体" w:hAnsi="宋体"/>
          <w:color w:val="000000"/>
          <w:szCs w:val="21"/>
          <w:u w:val="single"/>
        </w:rPr>
        <w:t xml:space="preserve">    </w:t>
      </w:r>
      <w:r>
        <w:rPr>
          <w:rFonts w:hint="eastAsia" w:ascii="宋体" w:hAnsi="宋体"/>
          <w:color w:val="000000"/>
          <w:szCs w:val="21"/>
        </w:rPr>
        <w:t>专业</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rPr>
        <w:t>级职称</w:t>
      </w:r>
      <w:r>
        <w:rPr>
          <w:rFonts w:hint="eastAsia" w:ascii="宋体" w:hAnsi="宋体"/>
          <w:color w:val="000000"/>
          <w:szCs w:val="21"/>
        </w:rPr>
        <w:t>。【备注：涉及市政道桥专业等尚未实行注册制的设相关专业高级职称要求即可】</w:t>
      </w:r>
    </w:p>
    <w:p>
      <w:pPr>
        <w:spacing w:line="360" w:lineRule="auto"/>
        <w:ind w:firstLine="420" w:firstLineChars="200"/>
        <w:rPr>
          <w:rFonts w:hint="eastAsia" w:ascii="宋体" w:hAnsi="宋体"/>
          <w:color w:val="000000"/>
          <w:szCs w:val="21"/>
        </w:rPr>
      </w:pPr>
      <w:r>
        <w:rPr>
          <w:rFonts w:hint="eastAsia"/>
          <w:color w:val="000000"/>
          <w:szCs w:val="21"/>
        </w:rPr>
        <w:t>3.2.</w:t>
      </w:r>
      <w:r>
        <w:rPr>
          <w:color w:val="000000"/>
          <w:szCs w:val="21"/>
        </w:rPr>
        <w:t>3</w:t>
      </w:r>
      <w:r>
        <w:rPr>
          <w:rFonts w:hint="eastAsia"/>
          <w:color w:val="000000"/>
          <w:szCs w:val="21"/>
        </w:rPr>
        <w:t>施工</w:t>
      </w:r>
      <w:r>
        <w:rPr>
          <w:rFonts w:hint="eastAsia" w:ascii="宋体" w:hAnsi="宋体"/>
          <w:color w:val="000000"/>
          <w:szCs w:val="21"/>
        </w:rPr>
        <w:t>项目经理</w:t>
      </w:r>
      <w:r>
        <w:rPr>
          <w:rFonts w:ascii="宋体" w:hAnsi="宋体"/>
          <w:color w:val="000000"/>
          <w:szCs w:val="21"/>
        </w:rPr>
        <w:t>：具有</w:t>
      </w:r>
      <w:r>
        <w:rPr>
          <w:rFonts w:hint="eastAsia" w:ascii="宋体" w:hAnsi="宋体"/>
          <w:color w:val="000000"/>
          <w:szCs w:val="21"/>
          <w:u w:val="single"/>
        </w:rPr>
        <w:t xml:space="preserve">    </w:t>
      </w:r>
      <w:r>
        <w:rPr>
          <w:rFonts w:ascii="宋体" w:hAnsi="宋体"/>
          <w:color w:val="000000"/>
          <w:szCs w:val="21"/>
        </w:rPr>
        <w:t>专业的</w:t>
      </w:r>
      <w:r>
        <w:rPr>
          <w:rFonts w:hint="eastAsia" w:ascii="宋体" w:hAnsi="宋体"/>
          <w:color w:val="000000"/>
          <w:szCs w:val="21"/>
          <w:u w:val="single"/>
        </w:rPr>
        <w:t xml:space="preserve">  </w:t>
      </w:r>
      <w:r>
        <w:rPr>
          <w:rFonts w:ascii="宋体" w:hAnsi="宋体"/>
          <w:color w:val="000000"/>
          <w:szCs w:val="21"/>
        </w:rPr>
        <w:t>级以上（含</w:t>
      </w:r>
      <w:r>
        <w:rPr>
          <w:rFonts w:hint="eastAsia" w:ascii="宋体" w:hAnsi="宋体"/>
          <w:color w:val="000000"/>
          <w:szCs w:val="21"/>
          <w:u w:val="single"/>
        </w:rPr>
        <w:t xml:space="preserve">  </w:t>
      </w:r>
      <w:r>
        <w:rPr>
          <w:rFonts w:ascii="宋体" w:hAnsi="宋体"/>
          <w:color w:val="000000"/>
          <w:szCs w:val="21"/>
        </w:rPr>
        <w:t>级）注册建造师</w:t>
      </w:r>
      <w:r>
        <w:rPr>
          <w:rFonts w:hint="eastAsia" w:ascii="宋体" w:hAnsi="宋体"/>
          <w:color w:val="000000"/>
          <w:szCs w:val="21"/>
        </w:rPr>
        <w:t>证书</w:t>
      </w:r>
      <w:r>
        <w:rPr>
          <w:rFonts w:ascii="宋体" w:hAnsi="宋体"/>
          <w:color w:val="000000"/>
          <w:szCs w:val="21"/>
        </w:rPr>
        <w:t>和</w:t>
      </w:r>
      <w:r>
        <w:rPr>
          <w:rFonts w:hint="eastAsia" w:ascii="宋体" w:hAnsi="宋体"/>
          <w:color w:val="000000"/>
          <w:szCs w:val="21"/>
          <w:u w:val="single"/>
        </w:rPr>
        <w:t xml:space="preserve">  </w:t>
      </w:r>
      <w:r>
        <w:rPr>
          <w:rFonts w:ascii="宋体" w:hAnsi="宋体"/>
          <w:color w:val="000000"/>
          <w:szCs w:val="21"/>
        </w:rPr>
        <w:t>级及以上职称</w:t>
      </w:r>
      <w:r>
        <w:rPr>
          <w:rFonts w:hint="eastAsia" w:ascii="宋体" w:hAnsi="宋体"/>
          <w:color w:val="000000"/>
          <w:szCs w:val="21"/>
        </w:rPr>
        <w:t>，已录入广西建筑业企业诚信信息库并处于有效状态，具备有效的安全生产考核合格证书（B类）。不接受有在建、已中标未开工或已列为其他项目中标候选人第一名的施工项目经理、工程总承包项目经理作为施工项目经理（符合《广西壮族自治区建筑市场诚信卡管理暂行办法》第十六条第一款及桂建管</w:t>
      </w:r>
      <w:r>
        <w:rPr>
          <w:color w:val="000000"/>
          <w:szCs w:val="21"/>
        </w:rPr>
        <w:t>﹝</w:t>
      </w:r>
      <w:r>
        <w:rPr>
          <w:rFonts w:hint="eastAsia"/>
          <w:color w:val="000000"/>
          <w:kern w:val="0"/>
          <w:szCs w:val="21"/>
        </w:rPr>
        <w:t>2016</w:t>
      </w:r>
      <w:r>
        <w:rPr>
          <w:color w:val="000000"/>
          <w:szCs w:val="21"/>
        </w:rPr>
        <w:t>﹞</w:t>
      </w:r>
      <w:r>
        <w:rPr>
          <w:rFonts w:hint="eastAsia" w:ascii="宋体" w:hAnsi="宋体"/>
          <w:color w:val="000000"/>
          <w:szCs w:val="21"/>
        </w:rPr>
        <w:t>70号文除外）。</w:t>
      </w:r>
    </w:p>
    <w:p>
      <w:pPr>
        <w:spacing w:line="360" w:lineRule="auto"/>
        <w:ind w:firstLine="525" w:firstLineChars="250"/>
        <w:rPr>
          <w:color w:val="000000"/>
        </w:rPr>
      </w:pPr>
      <w:r>
        <w:rPr>
          <w:rFonts w:hint="eastAsia" w:ascii="宋体" w:hAnsi="宋体"/>
          <w:color w:val="000000"/>
          <w:szCs w:val="21"/>
        </w:rPr>
        <w:t>3.2.</w:t>
      </w:r>
      <w:r>
        <w:rPr>
          <w:rFonts w:ascii="宋体" w:hAnsi="宋体"/>
          <w:color w:val="000000"/>
          <w:szCs w:val="21"/>
        </w:rPr>
        <w:t>4</w:t>
      </w:r>
      <w:r>
        <w:rPr>
          <w:rFonts w:hint="eastAsia" w:ascii="宋体" w:hAnsi="宋体"/>
          <w:color w:val="000000"/>
          <w:szCs w:val="21"/>
        </w:rPr>
        <w:t xml:space="preserve"> 项目施工专职安全生产管理人员：</w:t>
      </w:r>
      <w:r>
        <w:rPr>
          <w:rFonts w:hint="eastAsia"/>
          <w:color w:val="000000"/>
        </w:rPr>
        <w:t>已录入广西建筑业企业诚信信息库并处于有效状态，具备有效的专职安全生产管理人员安全生产考核合格证书（C类）。</w:t>
      </w:r>
    </w:p>
    <w:p>
      <w:pPr>
        <w:spacing w:line="360" w:lineRule="auto"/>
        <w:ind w:firstLine="525" w:firstLineChars="250"/>
        <w:rPr>
          <w:rFonts w:hint="eastAsia"/>
          <w:color w:val="000000"/>
          <w:szCs w:val="21"/>
        </w:rPr>
      </w:pPr>
      <w:r>
        <w:rPr>
          <w:rFonts w:hint="eastAsia"/>
          <w:color w:val="000000"/>
          <w:szCs w:val="21"/>
        </w:rPr>
        <w:t>3.</w:t>
      </w:r>
      <w:r>
        <w:rPr>
          <w:color w:val="000000"/>
          <w:szCs w:val="21"/>
        </w:rPr>
        <w:t>3</w:t>
      </w:r>
      <w:r>
        <w:rPr>
          <w:rFonts w:hint="eastAsia"/>
          <w:color w:val="000000"/>
          <w:szCs w:val="21"/>
        </w:rPr>
        <w:t xml:space="preserve"> 业绩要求：□无要求  □有要求，要求</w:t>
      </w:r>
      <w:r>
        <w:rPr>
          <w:rFonts w:hint="eastAsia"/>
          <w:color w:val="000000"/>
          <w:szCs w:val="21"/>
          <w:u w:val="single"/>
        </w:rPr>
        <w:t xml:space="preserve">    </w:t>
      </w:r>
      <w:r>
        <w:rPr>
          <w:rFonts w:hint="eastAsia"/>
          <w:color w:val="000000"/>
          <w:szCs w:val="21"/>
        </w:rPr>
        <w:t>年（应填写年份）以来□完成过质量合格的类似工程业绩 □承接过类似工程业绩，类似工程指：</w:t>
      </w:r>
      <w:r>
        <w:rPr>
          <w:rFonts w:hint="eastAsia"/>
          <w:color w:val="000000"/>
          <w:szCs w:val="21"/>
          <w:u w:val="single"/>
        </w:rPr>
        <w:t xml:space="preserve">                    </w:t>
      </w:r>
      <w:r>
        <w:rPr>
          <w:rFonts w:hint="eastAsia"/>
          <w:color w:val="000000"/>
          <w:szCs w:val="21"/>
        </w:rPr>
        <w:t>。</w:t>
      </w:r>
    </w:p>
    <w:p>
      <w:pPr>
        <w:spacing w:line="360" w:lineRule="auto"/>
        <w:ind w:firstLine="420" w:firstLineChars="200"/>
        <w:rPr>
          <w:color w:val="000000"/>
        </w:rPr>
      </w:pPr>
      <w:r>
        <w:rPr>
          <w:color w:val="000000"/>
        </w:rPr>
        <w:t>3.4 本次招标接受联合体投标</w:t>
      </w:r>
      <w:r>
        <w:rPr>
          <w:rFonts w:hint="eastAsia"/>
          <w:color w:val="000000"/>
          <w:szCs w:val="21"/>
        </w:rPr>
        <w:t>。</w:t>
      </w:r>
      <w:r>
        <w:rPr>
          <w:color w:val="000000"/>
        </w:rPr>
        <w:t>联合体投标的，应满足下列要求：</w:t>
      </w:r>
    </w:p>
    <w:p>
      <w:pPr>
        <w:spacing w:after="120" w:afterLines="50" w:line="380" w:lineRule="exact"/>
        <w:ind w:firstLine="420" w:firstLineChars="200"/>
        <w:rPr>
          <w:rFonts w:ascii="宋体" w:hAnsi="宋体"/>
          <w:color w:val="000000"/>
          <w:szCs w:val="21"/>
        </w:rPr>
      </w:pPr>
      <w:r>
        <w:rPr>
          <w:rFonts w:hint="eastAsia"/>
          <w:color w:val="000000"/>
          <w:szCs w:val="21"/>
        </w:rPr>
        <w:t>3.</w:t>
      </w:r>
      <w:r>
        <w:rPr>
          <w:color w:val="000000"/>
          <w:szCs w:val="21"/>
        </w:rPr>
        <w:t>4</w:t>
      </w:r>
      <w:r>
        <w:rPr>
          <w:rFonts w:hint="eastAsia"/>
          <w:color w:val="000000"/>
          <w:szCs w:val="21"/>
        </w:rPr>
        <w:t>.1本项目接受联合体投标。</w:t>
      </w:r>
      <w:r>
        <w:rPr>
          <w:rFonts w:ascii="宋体" w:hAnsi="宋体"/>
          <w:color w:val="000000"/>
          <w:szCs w:val="21"/>
        </w:rPr>
        <w:t>联合体成员</w:t>
      </w:r>
      <w:r>
        <w:rPr>
          <w:rFonts w:hint="eastAsia" w:ascii="宋体" w:hAnsi="宋体"/>
          <w:color w:val="000000"/>
          <w:szCs w:val="21"/>
        </w:rPr>
        <w:t>可</w:t>
      </w:r>
      <w:r>
        <w:rPr>
          <w:rFonts w:ascii="宋体" w:hAnsi="宋体"/>
          <w:color w:val="000000"/>
          <w:szCs w:val="21"/>
        </w:rPr>
        <w:t>由</w:t>
      </w:r>
      <w:r>
        <w:rPr>
          <w:rFonts w:hint="eastAsia" w:ascii="宋体" w:hAnsi="宋体"/>
          <w:color w:val="000000"/>
          <w:szCs w:val="21"/>
        </w:rPr>
        <w:t>设计单位和施工单位</w:t>
      </w:r>
      <w:r>
        <w:rPr>
          <w:rFonts w:ascii="宋体" w:hAnsi="宋体"/>
          <w:color w:val="000000"/>
          <w:szCs w:val="21"/>
        </w:rPr>
        <w:t>组成，联合体各方均应符合</w:t>
      </w:r>
      <w:r>
        <w:rPr>
          <w:rFonts w:hint="eastAsia" w:ascii="宋体" w:hAnsi="宋体"/>
          <w:color w:val="000000"/>
          <w:szCs w:val="21"/>
        </w:rPr>
        <w:t>“具有独立法人资格”、</w:t>
      </w:r>
      <w:r>
        <w:rPr>
          <w:rFonts w:ascii="宋体" w:hAnsi="宋体"/>
          <w:color w:val="000000"/>
          <w:szCs w:val="21"/>
        </w:rPr>
        <w:t>“具有独立承担民事责任的能力”的条件</w:t>
      </w:r>
      <w:r>
        <w:rPr>
          <w:rFonts w:hint="eastAsia" w:ascii="宋体" w:hAnsi="宋体"/>
          <w:color w:val="000000"/>
          <w:szCs w:val="21"/>
        </w:rPr>
        <w:t>，其中施工单位须具备有效的安全生产许可证。</w:t>
      </w:r>
    </w:p>
    <w:p>
      <w:pPr>
        <w:spacing w:line="360" w:lineRule="auto"/>
        <w:ind w:firstLine="420" w:firstLineChars="200"/>
        <w:rPr>
          <w:color w:val="000000"/>
          <w:szCs w:val="21"/>
        </w:rPr>
      </w:pPr>
      <w:r>
        <w:rPr>
          <w:rFonts w:hint="eastAsia"/>
          <w:color w:val="000000"/>
          <w:szCs w:val="21"/>
        </w:rPr>
        <w:t>3.</w:t>
      </w:r>
      <w:r>
        <w:rPr>
          <w:color w:val="000000"/>
          <w:szCs w:val="21"/>
        </w:rPr>
        <w:t>4</w:t>
      </w:r>
      <w:r>
        <w:rPr>
          <w:rFonts w:hint="eastAsia"/>
          <w:color w:val="000000"/>
          <w:szCs w:val="21"/>
        </w:rPr>
        <w:t>.2联合体各方应当签订联合体协议书，其中联合体牵头人代表联合体各方成员负责投标和合同实施阶段的主办、协调工作，但联合体其他成员在投标、签约与履行合同过程中，负有连带的和各自的法律责任。</w:t>
      </w:r>
    </w:p>
    <w:p>
      <w:pPr>
        <w:spacing w:line="360" w:lineRule="auto"/>
        <w:ind w:firstLine="420" w:firstLineChars="200"/>
        <w:rPr>
          <w:color w:val="000000"/>
          <w:szCs w:val="21"/>
        </w:rPr>
      </w:pPr>
      <w:r>
        <w:rPr>
          <w:rFonts w:hint="eastAsia"/>
          <w:color w:val="000000"/>
          <w:szCs w:val="21"/>
        </w:rPr>
        <w:t>3.</w:t>
      </w:r>
      <w:r>
        <w:rPr>
          <w:color w:val="000000"/>
          <w:szCs w:val="21"/>
        </w:rPr>
        <w:t>4</w:t>
      </w:r>
      <w:r>
        <w:rPr>
          <w:rFonts w:hint="eastAsia"/>
          <w:color w:val="000000"/>
          <w:szCs w:val="21"/>
        </w:rPr>
        <w:t>.3组成联合体进行投标的设计或施工单位不得再以自己的名义单独参与同一标段的投标，也不得组成新的联合体参与同一标段的投标。</w:t>
      </w:r>
    </w:p>
    <w:p>
      <w:pPr>
        <w:spacing w:line="360" w:lineRule="auto"/>
        <w:ind w:firstLine="420" w:firstLineChars="200"/>
        <w:rPr>
          <w:rFonts w:ascii="宋体" w:hAnsi="宋体"/>
          <w:color w:val="000000"/>
          <w:szCs w:val="21"/>
        </w:rPr>
      </w:pPr>
      <w:r>
        <w:rPr>
          <w:rFonts w:hint="eastAsia"/>
          <w:color w:val="000000"/>
          <w:szCs w:val="21"/>
        </w:rPr>
        <w:t>3.</w:t>
      </w:r>
      <w:r>
        <w:rPr>
          <w:color w:val="000000"/>
          <w:szCs w:val="21"/>
        </w:rPr>
        <w:t>4</w:t>
      </w:r>
      <w:r>
        <w:rPr>
          <w:rFonts w:hint="eastAsia"/>
          <w:color w:val="000000"/>
          <w:szCs w:val="21"/>
        </w:rPr>
        <w:t>.4</w:t>
      </w:r>
      <w:r>
        <w:rPr>
          <w:rFonts w:hint="eastAsia" w:ascii="宋体" w:hAnsi="宋体"/>
          <w:color w:val="000000"/>
          <w:szCs w:val="21"/>
        </w:rPr>
        <w:t>联合体各方应分别在人员、设备、资金等方面具有承担本项目联合体协议书分工职责范围内的履约能力。</w:t>
      </w:r>
    </w:p>
    <w:p>
      <w:pPr>
        <w:spacing w:line="360" w:lineRule="auto"/>
        <w:ind w:firstLine="420" w:firstLineChars="200"/>
        <w:rPr>
          <w:rFonts w:hint="eastAsia" w:ascii="宋体" w:hAnsi="宋体"/>
          <w:color w:val="000000"/>
          <w:szCs w:val="21"/>
        </w:rPr>
      </w:pPr>
      <w:r>
        <w:rPr>
          <w:rFonts w:hint="eastAsia"/>
          <w:color w:val="000000"/>
          <w:szCs w:val="21"/>
        </w:rPr>
        <w:t>3.</w:t>
      </w:r>
      <w:r>
        <w:rPr>
          <w:color w:val="000000"/>
          <w:szCs w:val="21"/>
        </w:rPr>
        <w:t>4</w:t>
      </w:r>
      <w:r>
        <w:rPr>
          <w:rFonts w:hint="eastAsia"/>
          <w:color w:val="000000"/>
          <w:szCs w:val="21"/>
        </w:rPr>
        <w:t>.5</w:t>
      </w:r>
      <w:r>
        <w:rPr>
          <w:rFonts w:hint="eastAsia" w:ascii="宋体" w:hAnsi="宋体"/>
          <w:color w:val="000000"/>
          <w:szCs w:val="21"/>
        </w:rPr>
        <w:t>联合体中有同类资质的企业按照联合体协议书分工承担相同工作的，应当按照资质等级较低的企业确定联合体资质等级，并按照企业信誉实力评分较低的企业确定企业信誉实力分。</w:t>
      </w:r>
    </w:p>
    <w:p>
      <w:pPr>
        <w:spacing w:line="360" w:lineRule="auto"/>
        <w:ind w:firstLine="420" w:firstLineChars="200"/>
        <w:rPr>
          <w:color w:val="000000"/>
        </w:rPr>
      </w:pPr>
      <w:r>
        <w:rPr>
          <w:color w:val="000000"/>
        </w:rPr>
        <w:t>3.5 各投标人可就本招标项目的所有标段进行投标，并允许中标</w:t>
      </w:r>
      <w:r>
        <w:rPr>
          <w:rFonts w:hint="eastAsia"/>
          <w:color w:val="000000"/>
        </w:rPr>
        <w:t>其中</w:t>
      </w:r>
      <w:r>
        <w:rPr>
          <w:rFonts w:hint="eastAsia" w:hAnsi="宋体"/>
          <w:color w:val="000000"/>
          <w:szCs w:val="21"/>
        </w:rPr>
        <w:t>□</w:t>
      </w:r>
      <w:r>
        <w:rPr>
          <w:rFonts w:hint="eastAsia" w:hAnsi="宋体"/>
          <w:color w:val="000000"/>
          <w:szCs w:val="21"/>
          <w:u w:val="single"/>
        </w:rPr>
        <w:t>一个/□多个/□所有</w:t>
      </w:r>
      <w:r>
        <w:rPr>
          <w:rFonts w:hint="eastAsia" w:hAnsi="宋体"/>
          <w:color w:val="000000"/>
          <w:szCs w:val="21"/>
        </w:rPr>
        <w:t>标段（由招标人事先确定）</w:t>
      </w:r>
      <w:r>
        <w:rPr>
          <w:color w:val="000000"/>
        </w:rPr>
        <w:t>。但投标人应就</w:t>
      </w:r>
      <w:r>
        <w:rPr>
          <w:color w:val="000000"/>
          <w:szCs w:val="21"/>
        </w:rPr>
        <w:t>不同标段派出不同的</w:t>
      </w:r>
      <w:r>
        <w:rPr>
          <w:rFonts w:hint="eastAsia"/>
          <w:color w:val="000000"/>
          <w:szCs w:val="21"/>
        </w:rPr>
        <w:t>工程总承包项目经理、施工项目经理</w:t>
      </w:r>
      <w:r>
        <w:rPr>
          <w:color w:val="000000"/>
          <w:szCs w:val="21"/>
        </w:rPr>
        <w:t>和项目</w:t>
      </w:r>
      <w:r>
        <w:rPr>
          <w:rFonts w:hint="eastAsia"/>
          <w:color w:val="000000"/>
          <w:szCs w:val="21"/>
        </w:rPr>
        <w:t>施工</w:t>
      </w:r>
      <w:r>
        <w:rPr>
          <w:color w:val="000000"/>
          <w:szCs w:val="21"/>
        </w:rPr>
        <w:t>专职安全生产管理人员，否则同一</w:t>
      </w:r>
      <w:r>
        <w:rPr>
          <w:rFonts w:hint="eastAsia"/>
          <w:color w:val="000000"/>
          <w:szCs w:val="21"/>
        </w:rPr>
        <w:t>工程总承包项目经理、施工项目经理</w:t>
      </w:r>
      <w:r>
        <w:rPr>
          <w:color w:val="000000"/>
          <w:szCs w:val="21"/>
        </w:rPr>
        <w:t>或项目</w:t>
      </w:r>
      <w:r>
        <w:rPr>
          <w:rFonts w:hint="eastAsia"/>
          <w:color w:val="000000"/>
          <w:szCs w:val="21"/>
        </w:rPr>
        <w:t>施工</w:t>
      </w:r>
      <w:r>
        <w:rPr>
          <w:color w:val="000000"/>
          <w:szCs w:val="21"/>
        </w:rPr>
        <w:t>专职安全生产管理人员所</w:t>
      </w:r>
      <w:r>
        <w:rPr>
          <w:rFonts w:hint="eastAsia"/>
          <w:color w:val="000000"/>
          <w:szCs w:val="21"/>
        </w:rPr>
        <w:t>参与</w:t>
      </w:r>
      <w:r>
        <w:rPr>
          <w:color w:val="000000"/>
          <w:szCs w:val="21"/>
        </w:rPr>
        <w:t>其它标段作否决投标处理</w:t>
      </w:r>
      <w:r>
        <w:rPr>
          <w:color w:val="000000"/>
        </w:rPr>
        <w:t>（符合桂建管</w:t>
      </w:r>
      <w:r>
        <w:rPr>
          <w:color w:val="000000"/>
          <w:szCs w:val="21"/>
        </w:rPr>
        <w:t>﹝2013﹞</w:t>
      </w:r>
      <w:r>
        <w:rPr>
          <w:color w:val="000000"/>
        </w:rPr>
        <w:t>17号</w:t>
      </w:r>
      <w:r>
        <w:rPr>
          <w:rFonts w:hint="eastAsia"/>
          <w:color w:val="000000"/>
          <w:kern w:val="0"/>
          <w:szCs w:val="21"/>
        </w:rPr>
        <w:t>、</w:t>
      </w:r>
      <w:r>
        <w:rPr>
          <w:color w:val="000000"/>
        </w:rPr>
        <w:t>桂建管</w:t>
      </w:r>
      <w:r>
        <w:rPr>
          <w:color w:val="000000"/>
          <w:szCs w:val="21"/>
        </w:rPr>
        <w:t>﹝2014﹞</w:t>
      </w:r>
      <w:r>
        <w:rPr>
          <w:color w:val="000000"/>
        </w:rPr>
        <w:t>25号</w:t>
      </w:r>
      <w:r>
        <w:rPr>
          <w:color w:val="000000"/>
          <w:kern w:val="0"/>
          <w:szCs w:val="21"/>
        </w:rPr>
        <w:t>文</w:t>
      </w:r>
      <w:r>
        <w:rPr>
          <w:rFonts w:hint="eastAsia"/>
          <w:color w:val="000000"/>
          <w:kern w:val="0"/>
          <w:szCs w:val="21"/>
        </w:rPr>
        <w:t>及桂建管</w:t>
      </w:r>
      <w:r>
        <w:rPr>
          <w:color w:val="000000"/>
          <w:szCs w:val="21"/>
        </w:rPr>
        <w:t>﹝</w:t>
      </w:r>
      <w:r>
        <w:rPr>
          <w:rFonts w:hint="eastAsia"/>
          <w:color w:val="000000"/>
          <w:kern w:val="0"/>
          <w:szCs w:val="21"/>
        </w:rPr>
        <w:t>2016</w:t>
      </w:r>
      <w:r>
        <w:rPr>
          <w:color w:val="000000"/>
          <w:szCs w:val="21"/>
        </w:rPr>
        <w:t>﹞</w:t>
      </w:r>
      <w:r>
        <w:rPr>
          <w:rFonts w:hint="eastAsia"/>
          <w:color w:val="000000"/>
          <w:kern w:val="0"/>
          <w:szCs w:val="21"/>
        </w:rPr>
        <w:t>70号文</w:t>
      </w:r>
      <w:r>
        <w:rPr>
          <w:color w:val="000000"/>
          <w:kern w:val="0"/>
          <w:szCs w:val="21"/>
        </w:rPr>
        <w:t>除外</w:t>
      </w:r>
      <w:r>
        <w:rPr>
          <w:color w:val="000000"/>
        </w:rPr>
        <w:t>）。</w:t>
      </w:r>
    </w:p>
    <w:p>
      <w:pPr>
        <w:spacing w:line="360" w:lineRule="auto"/>
        <w:ind w:firstLine="420" w:firstLineChars="200"/>
        <w:rPr>
          <w:rFonts w:hint="eastAsia"/>
          <w:color w:val="000000"/>
          <w:szCs w:val="21"/>
        </w:rPr>
      </w:pPr>
      <w:r>
        <w:rPr>
          <w:color w:val="000000"/>
        </w:rPr>
        <w:t>3.6</w:t>
      </w:r>
      <w:r>
        <w:rPr>
          <w:color w:val="000000"/>
          <w:szCs w:val="21"/>
        </w:rPr>
        <w:t>投标人</w:t>
      </w:r>
      <w:r>
        <w:rPr>
          <w:rFonts w:hint="eastAsia"/>
          <w:color w:val="000000"/>
        </w:rPr>
        <w:t>（如为联合体投标的要求其联合体中施工单位）</w:t>
      </w:r>
      <w:r>
        <w:rPr>
          <w:color w:val="000000"/>
          <w:szCs w:val="21"/>
        </w:rPr>
        <w:t>信息以广西建筑业企业诚信信息库为准。</w:t>
      </w:r>
    </w:p>
    <w:p>
      <w:pPr>
        <w:pStyle w:val="3"/>
        <w:spacing w:line="360" w:lineRule="auto"/>
        <w:rPr>
          <w:rFonts w:ascii="宋体" w:hAnsi="宋体" w:eastAsia="宋体"/>
          <w:color w:val="000000"/>
          <w:sz w:val="24"/>
          <w:szCs w:val="24"/>
        </w:rPr>
      </w:pPr>
      <w:bookmarkStart w:id="37" w:name="_Toc395382357"/>
      <w:bookmarkStart w:id="38" w:name="_Toc419321114"/>
      <w:bookmarkStart w:id="39" w:name="_Toc419364205"/>
      <w:bookmarkStart w:id="40" w:name="_Toc433988547"/>
      <w:bookmarkStart w:id="41" w:name="_Toc389065126"/>
      <w:bookmarkStart w:id="42" w:name="_Toc419363481"/>
      <w:bookmarkStart w:id="43" w:name="_Toc59202983"/>
      <w:bookmarkStart w:id="44" w:name="_Toc419320078"/>
      <w:r>
        <w:rPr>
          <w:rFonts w:ascii="宋体" w:hAnsi="宋体" w:eastAsia="宋体"/>
          <w:color w:val="000000"/>
          <w:sz w:val="24"/>
          <w:szCs w:val="24"/>
        </w:rPr>
        <w:t>4. 招标文件的获取</w:t>
      </w:r>
      <w:bookmarkEnd w:id="37"/>
      <w:bookmarkEnd w:id="38"/>
      <w:bookmarkEnd w:id="39"/>
      <w:bookmarkEnd w:id="40"/>
      <w:bookmarkEnd w:id="41"/>
      <w:bookmarkEnd w:id="42"/>
      <w:bookmarkEnd w:id="43"/>
      <w:bookmarkEnd w:id="44"/>
    </w:p>
    <w:p>
      <w:pPr>
        <w:spacing w:line="360" w:lineRule="auto"/>
        <w:ind w:firstLine="420" w:firstLineChars="200"/>
        <w:rPr>
          <w:color w:val="000000"/>
        </w:rPr>
      </w:pP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w:t>
      </w:r>
      <w:r>
        <w:rPr>
          <w:rFonts w:hint="eastAsia"/>
          <w:color w:val="000000"/>
          <w:u w:val="single"/>
        </w:rPr>
        <w:t xml:space="preserve">     </w:t>
      </w:r>
      <w:r>
        <w:rPr>
          <w:rFonts w:hint="eastAsia"/>
          <w:color w:val="000000"/>
        </w:rPr>
        <w:t>时</w:t>
      </w:r>
      <w:r>
        <w:rPr>
          <w:rFonts w:hint="eastAsia"/>
          <w:color w:val="000000"/>
          <w:u w:val="single"/>
        </w:rPr>
        <w:t xml:space="preserve">    </w:t>
      </w:r>
      <w:r>
        <w:rPr>
          <w:rFonts w:hint="eastAsia"/>
          <w:color w:val="000000"/>
        </w:rPr>
        <w:t>分至投标文件递交的截止时间止（不少于30日），由潜在投标人登录</w:t>
      </w:r>
      <w:r>
        <w:rPr>
          <w:rFonts w:hint="eastAsia"/>
          <w:color w:val="000000"/>
          <w:u w:val="single"/>
        </w:rPr>
        <w:t xml:space="preserve">             （广西壮族自治区公共资源交易平台系统网站）</w:t>
      </w:r>
      <w:r>
        <w:rPr>
          <w:rFonts w:hint="eastAsia"/>
          <w:color w:val="000000"/>
        </w:rPr>
        <w:t>免费下载招标文件</w:t>
      </w:r>
      <w:r>
        <w:rPr>
          <w:color w:val="000000"/>
        </w:rPr>
        <w:t>。</w:t>
      </w:r>
    </w:p>
    <w:p>
      <w:pPr>
        <w:pStyle w:val="3"/>
        <w:spacing w:line="360" w:lineRule="auto"/>
        <w:rPr>
          <w:rFonts w:ascii="宋体" w:hAnsi="宋体" w:eastAsia="宋体"/>
          <w:color w:val="000000"/>
          <w:sz w:val="24"/>
          <w:szCs w:val="24"/>
        </w:rPr>
      </w:pPr>
      <w:bookmarkStart w:id="45" w:name="_Toc419320079"/>
      <w:bookmarkStart w:id="46" w:name="_Toc389065127"/>
      <w:bookmarkStart w:id="47" w:name="_Toc395382358"/>
      <w:bookmarkStart w:id="48" w:name="_Toc419321115"/>
      <w:bookmarkStart w:id="49" w:name="_Toc433988548"/>
      <w:bookmarkStart w:id="50" w:name="_Toc59202984"/>
      <w:bookmarkStart w:id="51" w:name="_Toc419364206"/>
      <w:bookmarkStart w:id="52" w:name="_Toc419363482"/>
      <w:r>
        <w:rPr>
          <w:rFonts w:ascii="宋体" w:hAnsi="宋体" w:eastAsia="宋体"/>
          <w:color w:val="000000"/>
          <w:sz w:val="24"/>
          <w:szCs w:val="24"/>
        </w:rPr>
        <w:t>5. 投标文件的递交</w:t>
      </w:r>
      <w:bookmarkEnd w:id="45"/>
      <w:bookmarkEnd w:id="46"/>
      <w:bookmarkEnd w:id="47"/>
      <w:bookmarkEnd w:id="48"/>
      <w:bookmarkEnd w:id="49"/>
      <w:bookmarkEnd w:id="50"/>
      <w:bookmarkEnd w:id="51"/>
      <w:bookmarkEnd w:id="52"/>
    </w:p>
    <w:p>
      <w:pPr>
        <w:spacing w:line="360" w:lineRule="auto"/>
        <w:ind w:firstLine="420" w:firstLineChars="200"/>
        <w:rPr>
          <w:rFonts w:hint="eastAsia"/>
          <w:color w:val="000000"/>
        </w:rPr>
      </w:pPr>
      <w:r>
        <w:rPr>
          <w:rFonts w:hint="eastAsia"/>
          <w:color w:val="000000"/>
        </w:rPr>
        <w:t>5.1投标文件应通过广西壮族自治区公共资源交易平台系统递交，截止时间（投标截止时间，下同）为</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w:t>
      </w:r>
      <w:r>
        <w:rPr>
          <w:rFonts w:hint="eastAsia"/>
          <w:color w:val="000000"/>
          <w:u w:val="single"/>
        </w:rPr>
        <w:t xml:space="preserve">     </w:t>
      </w:r>
      <w:r>
        <w:rPr>
          <w:rFonts w:hint="eastAsia"/>
          <w:color w:val="000000"/>
        </w:rPr>
        <w:t>时</w:t>
      </w:r>
      <w:r>
        <w:rPr>
          <w:rFonts w:hint="eastAsia"/>
          <w:color w:val="000000"/>
          <w:u w:val="single"/>
        </w:rPr>
        <w:t xml:space="preserve">     </w:t>
      </w:r>
      <w:r>
        <w:rPr>
          <w:rFonts w:hint="eastAsia"/>
          <w:color w:val="000000"/>
        </w:rPr>
        <w:t>分。</w:t>
      </w:r>
    </w:p>
    <w:p>
      <w:pPr>
        <w:spacing w:line="360" w:lineRule="auto"/>
        <w:ind w:firstLine="420" w:firstLineChars="200"/>
        <w:rPr>
          <w:color w:val="000000"/>
        </w:rPr>
      </w:pPr>
      <w:r>
        <w:rPr>
          <w:rFonts w:hint="eastAsia"/>
          <w:color w:val="000000"/>
        </w:rPr>
        <w:t>5.2 投标人须在投标截止前将加密的投标文件通过广西壮族自治区公共资源交易平台系统上传成功，并持专职投标员本人身份件原件（如为法定代表人提交时可持本人身份证原件及本企业任一专职投标员的身份证复印件）通过广西壮族自治区公共资源交易平台系统验证，或者于投标截止前由专职投标员登录广西壮族自治区公共资源交易平台系统网上开标室，输入身份证号签到，并通过广西壮族自治区公共资源交易平台系统验证，否则投标无效。投标单位在制作电子投标文件过程中，须在弹出的输入框中填写拟投入的项目主要管理人员身份证信息。拟投入的工程总承包项目经理</w:t>
      </w:r>
      <w:r>
        <w:rPr>
          <w:color w:val="000000"/>
        </w:rPr>
        <w:t>、</w:t>
      </w:r>
      <w:r>
        <w:rPr>
          <w:rFonts w:hint="eastAsia"/>
          <w:color w:val="000000"/>
        </w:rPr>
        <w:t>施工</w:t>
      </w:r>
      <w:r>
        <w:rPr>
          <w:color w:val="000000"/>
        </w:rPr>
        <w:t>项目经理</w:t>
      </w:r>
      <w:r>
        <w:rPr>
          <w:rFonts w:hint="eastAsia"/>
          <w:color w:val="000000"/>
        </w:rPr>
        <w:t>、项目施工专职安全生产管理人员在投标文件解密环节通过系统自动验证，如验证不通过，则投标无效。投标人拟投入工程总承包项目经理、施工项目经理被标注为注册状态异常的，拟投入的工程总承包项目经理、施工项目经理本人须持本人身份证原件出席开标会现场，否则招标人有权拒绝该投标人投标</w:t>
      </w:r>
      <w:r>
        <w:rPr>
          <w:color w:val="000000"/>
        </w:rPr>
        <w:t>。</w:t>
      </w:r>
    </w:p>
    <w:p>
      <w:pPr>
        <w:pStyle w:val="3"/>
        <w:spacing w:line="360" w:lineRule="auto"/>
        <w:rPr>
          <w:rFonts w:ascii="宋体" w:hAnsi="宋体" w:eastAsia="宋体"/>
          <w:color w:val="000000"/>
          <w:sz w:val="24"/>
          <w:szCs w:val="24"/>
        </w:rPr>
      </w:pPr>
      <w:bookmarkStart w:id="53" w:name="_Toc59202985"/>
      <w:bookmarkStart w:id="54" w:name="_Toc419320080"/>
      <w:bookmarkStart w:id="55" w:name="_Toc419321116"/>
      <w:bookmarkStart w:id="56" w:name="_Toc389065128"/>
      <w:bookmarkStart w:id="57" w:name="_Toc419363483"/>
      <w:bookmarkStart w:id="58" w:name="_Toc419364207"/>
      <w:bookmarkStart w:id="59" w:name="_Toc395382359"/>
      <w:bookmarkStart w:id="60" w:name="_Toc433988549"/>
      <w:r>
        <w:rPr>
          <w:rFonts w:ascii="宋体" w:hAnsi="宋体" w:eastAsia="宋体"/>
          <w:color w:val="000000"/>
          <w:sz w:val="24"/>
          <w:szCs w:val="24"/>
        </w:rPr>
        <w:t>6</w:t>
      </w:r>
      <w:r>
        <w:rPr>
          <w:rFonts w:hint="eastAsia" w:ascii="宋体" w:hAnsi="宋体" w:eastAsia="宋体"/>
          <w:color w:val="000000"/>
          <w:sz w:val="24"/>
          <w:szCs w:val="24"/>
        </w:rPr>
        <w:t>.</w:t>
      </w:r>
      <w:r>
        <w:rPr>
          <w:rFonts w:hint="eastAsia"/>
          <w:color w:val="000000"/>
        </w:rPr>
        <w:t xml:space="preserve"> </w:t>
      </w:r>
      <w:r>
        <w:rPr>
          <w:rFonts w:hint="eastAsia" w:ascii="宋体" w:hAnsi="宋体" w:eastAsia="宋体"/>
          <w:color w:val="000000"/>
          <w:sz w:val="24"/>
          <w:szCs w:val="24"/>
        </w:rPr>
        <w:t>预付款和进度款支付方式</w:t>
      </w:r>
      <w:bookmarkEnd w:id="53"/>
    </w:p>
    <w:bookmarkEnd w:id="54"/>
    <w:bookmarkEnd w:id="55"/>
    <w:bookmarkEnd w:id="56"/>
    <w:bookmarkEnd w:id="57"/>
    <w:bookmarkEnd w:id="58"/>
    <w:bookmarkEnd w:id="59"/>
    <w:bookmarkEnd w:id="60"/>
    <w:p>
      <w:pPr>
        <w:spacing w:line="360" w:lineRule="auto"/>
        <w:ind w:firstLine="420" w:firstLineChars="200"/>
        <w:rPr>
          <w:rFonts w:hint="eastAsia"/>
          <w:color w:val="000000"/>
          <w:u w:val="single"/>
        </w:rPr>
      </w:pPr>
      <w:bookmarkStart w:id="61" w:name="_Toc419363484"/>
      <w:bookmarkStart w:id="62" w:name="_Toc389065130"/>
      <w:bookmarkStart w:id="63" w:name="_Toc395382361"/>
      <w:bookmarkStart w:id="64" w:name="_Toc419320081"/>
      <w:bookmarkStart w:id="65" w:name="_Toc419364208"/>
      <w:bookmarkStart w:id="66" w:name="_Toc419321117"/>
      <w:r>
        <w:rPr>
          <w:color w:val="000000"/>
        </w:rPr>
        <w:t>预付款支付比例或金额：</w:t>
      </w:r>
      <w:r>
        <w:rPr>
          <w:color w:val="000000"/>
          <w:u w:val="single"/>
        </w:rPr>
        <w:t xml:space="preserve">         </w:t>
      </w:r>
      <w:r>
        <w:rPr>
          <w:rFonts w:hint="eastAsia"/>
          <w:color w:val="000000"/>
          <w:u w:val="single"/>
        </w:rPr>
        <w:t>【不低于签约合同价（扣除安全文明施工费、暂列金额）的10%，不宜高于签约合同价（扣除安全文明施工费、暂列金额）的30%】</w:t>
      </w:r>
    </w:p>
    <w:p>
      <w:pPr>
        <w:spacing w:line="360" w:lineRule="auto"/>
        <w:ind w:firstLine="420" w:firstLineChars="200"/>
        <w:rPr>
          <w:color w:val="000000"/>
        </w:rPr>
      </w:pPr>
      <w:r>
        <w:rPr>
          <w:color w:val="000000"/>
        </w:rPr>
        <w:t>进度款支付方式：合同内按工程计量周期内完成工程量的</w:t>
      </w:r>
      <w:r>
        <w:rPr>
          <w:color w:val="000000"/>
          <w:u w:val="single"/>
        </w:rPr>
        <w:t xml:space="preserve">           </w:t>
      </w:r>
      <w:r>
        <w:rPr>
          <w:color w:val="000000"/>
        </w:rPr>
        <w:t>，合同外按工程计量周期完成工程量的</w:t>
      </w:r>
      <w:r>
        <w:rPr>
          <w:color w:val="000000"/>
          <w:u w:val="single"/>
        </w:rPr>
        <w:t xml:space="preserve">                </w:t>
      </w:r>
      <w:r>
        <w:rPr>
          <w:color w:val="000000"/>
        </w:rPr>
        <w:t>。</w:t>
      </w:r>
      <w:r>
        <w:rPr>
          <w:rFonts w:hint="eastAsia"/>
          <w:color w:val="000000"/>
        </w:rPr>
        <w:t>【建议按工程计量周期内完成工程量的</w:t>
      </w:r>
      <w:r>
        <w:rPr>
          <w:color w:val="000000"/>
        </w:rPr>
        <w:t>8</w:t>
      </w:r>
      <w:r>
        <w:rPr>
          <w:rFonts w:hint="eastAsia"/>
          <w:color w:val="000000"/>
        </w:rPr>
        <w:t>0%~90%支付】</w:t>
      </w:r>
    </w:p>
    <w:p>
      <w:pPr>
        <w:pStyle w:val="3"/>
        <w:spacing w:line="360" w:lineRule="auto"/>
        <w:rPr>
          <w:rFonts w:ascii="宋体" w:hAnsi="宋体" w:eastAsia="宋体"/>
          <w:color w:val="000000"/>
          <w:sz w:val="24"/>
          <w:szCs w:val="24"/>
        </w:rPr>
      </w:pPr>
      <w:bookmarkStart w:id="67" w:name="_Toc433988551"/>
      <w:bookmarkStart w:id="68" w:name="_Toc59202986"/>
      <w:r>
        <w:rPr>
          <w:rFonts w:ascii="宋体" w:hAnsi="宋体" w:eastAsia="宋体"/>
          <w:color w:val="000000"/>
          <w:sz w:val="24"/>
          <w:szCs w:val="24"/>
        </w:rPr>
        <w:t>7</w:t>
      </w:r>
      <w:r>
        <w:rPr>
          <w:rFonts w:hint="eastAsia" w:ascii="宋体" w:hAnsi="宋体" w:eastAsia="宋体"/>
          <w:color w:val="000000"/>
          <w:sz w:val="24"/>
          <w:szCs w:val="24"/>
        </w:rPr>
        <w:t xml:space="preserve">. </w:t>
      </w:r>
      <w:r>
        <w:rPr>
          <w:rFonts w:ascii="宋体" w:hAnsi="宋体" w:eastAsia="宋体"/>
          <w:color w:val="000000"/>
          <w:sz w:val="24"/>
          <w:szCs w:val="24"/>
        </w:rPr>
        <w:t>发布公告的媒介</w:t>
      </w:r>
      <w:bookmarkEnd w:id="61"/>
      <w:bookmarkEnd w:id="62"/>
      <w:bookmarkEnd w:id="63"/>
      <w:bookmarkEnd w:id="64"/>
      <w:bookmarkEnd w:id="65"/>
      <w:bookmarkEnd w:id="66"/>
      <w:bookmarkEnd w:id="67"/>
      <w:bookmarkEnd w:id="68"/>
    </w:p>
    <w:p>
      <w:pPr>
        <w:spacing w:line="360" w:lineRule="auto"/>
        <w:ind w:firstLine="420" w:firstLineChars="200"/>
        <w:rPr>
          <w:color w:val="000000"/>
        </w:rPr>
      </w:pPr>
      <w:r>
        <w:rPr>
          <w:color w:val="000000"/>
        </w:rPr>
        <w:t>本</w:t>
      </w:r>
      <w:r>
        <w:rPr>
          <w:rFonts w:hint="eastAsia"/>
          <w:color w:val="000000"/>
        </w:rPr>
        <w:t>次招标公告同时在广西壮族自治区招标投标公共服务平台</w:t>
      </w:r>
      <w:r>
        <w:rPr>
          <w:color w:val="000000"/>
        </w:rPr>
        <w:t>http://zbtb.gxi.gov.cn:9000/</w:t>
      </w:r>
      <w:r>
        <w:rPr>
          <w:rFonts w:hint="eastAsia"/>
          <w:color w:val="000000"/>
        </w:rPr>
        <w:t>、（当地交易中心网站及广西壮族自治区公共资源交易平台系统网站）（公告发布媒介包含但不限于上述媒介）发布。（备注：实行招标投标的政府采购工程项目还应当同时在中国政府采购网www.ccgp.gov.cn、广西壮族自治区政府采购网zfcg.gxzf.gov.cn上发布）。</w:t>
      </w:r>
    </w:p>
    <w:p>
      <w:pPr>
        <w:pStyle w:val="3"/>
        <w:spacing w:line="360" w:lineRule="auto"/>
        <w:rPr>
          <w:rFonts w:ascii="宋体" w:hAnsi="宋体" w:eastAsia="宋体"/>
          <w:color w:val="000000"/>
          <w:sz w:val="24"/>
          <w:szCs w:val="24"/>
        </w:rPr>
      </w:pPr>
      <w:bookmarkStart w:id="69" w:name="_Toc433988552"/>
      <w:bookmarkStart w:id="70" w:name="_Toc59202987"/>
      <w:bookmarkStart w:id="71" w:name="_Toc395382362"/>
      <w:bookmarkStart w:id="72" w:name="_Toc419364209"/>
      <w:bookmarkStart w:id="73" w:name="_Toc419363485"/>
      <w:bookmarkStart w:id="74" w:name="_Toc419320082"/>
      <w:bookmarkStart w:id="75" w:name="_Toc419321118"/>
      <w:r>
        <w:rPr>
          <w:rFonts w:ascii="宋体" w:hAnsi="宋体" w:eastAsia="宋体"/>
          <w:color w:val="000000"/>
          <w:sz w:val="24"/>
          <w:szCs w:val="24"/>
        </w:rPr>
        <w:t>8</w:t>
      </w:r>
      <w:r>
        <w:rPr>
          <w:rFonts w:hint="eastAsia" w:ascii="宋体" w:hAnsi="宋体" w:eastAsia="宋体"/>
          <w:color w:val="000000"/>
          <w:sz w:val="24"/>
          <w:szCs w:val="24"/>
        </w:rPr>
        <w:t>. 交易服务单位</w:t>
      </w:r>
      <w:bookmarkEnd w:id="69"/>
      <w:bookmarkEnd w:id="70"/>
      <w:bookmarkEnd w:id="71"/>
      <w:bookmarkEnd w:id="72"/>
      <w:bookmarkEnd w:id="73"/>
      <w:bookmarkEnd w:id="74"/>
      <w:bookmarkEnd w:id="75"/>
    </w:p>
    <w:p>
      <w:pPr>
        <w:spacing w:line="360" w:lineRule="auto"/>
        <w:ind w:firstLine="420" w:firstLineChars="200"/>
        <w:rPr>
          <w:color w:val="000000"/>
        </w:rPr>
      </w:pPr>
      <w:r>
        <w:rPr>
          <w:rFonts w:hint="eastAsia"/>
          <w:color w:val="000000"/>
          <w:u w:val="single"/>
        </w:rPr>
        <w:t xml:space="preserve">                                  </w:t>
      </w:r>
    </w:p>
    <w:p>
      <w:pPr>
        <w:pStyle w:val="3"/>
        <w:spacing w:line="360" w:lineRule="auto"/>
        <w:rPr>
          <w:rFonts w:ascii="宋体" w:hAnsi="宋体" w:eastAsia="宋体"/>
          <w:color w:val="000000"/>
          <w:sz w:val="24"/>
          <w:szCs w:val="24"/>
        </w:rPr>
      </w:pPr>
      <w:bookmarkStart w:id="76" w:name="_Toc395382363"/>
      <w:bookmarkStart w:id="77" w:name="_Toc419363486"/>
      <w:bookmarkStart w:id="78" w:name="_Toc419320083"/>
      <w:bookmarkStart w:id="79" w:name="_Toc419321119"/>
      <w:bookmarkStart w:id="80" w:name="_Toc59202988"/>
      <w:bookmarkStart w:id="81" w:name="_Toc419364210"/>
      <w:bookmarkStart w:id="82" w:name="_Toc433988553"/>
      <w:r>
        <w:rPr>
          <w:rFonts w:ascii="宋体" w:hAnsi="宋体" w:eastAsia="宋体"/>
          <w:color w:val="000000"/>
          <w:sz w:val="24"/>
          <w:szCs w:val="24"/>
        </w:rPr>
        <w:t>9</w:t>
      </w:r>
      <w:r>
        <w:rPr>
          <w:rFonts w:hint="eastAsia" w:ascii="宋体" w:hAnsi="宋体" w:eastAsia="宋体"/>
          <w:color w:val="000000"/>
          <w:sz w:val="24"/>
          <w:szCs w:val="24"/>
        </w:rPr>
        <w:t>. 监督部门及电话</w:t>
      </w:r>
      <w:bookmarkEnd w:id="76"/>
      <w:bookmarkEnd w:id="77"/>
      <w:bookmarkEnd w:id="78"/>
      <w:bookmarkEnd w:id="79"/>
      <w:bookmarkEnd w:id="80"/>
      <w:bookmarkEnd w:id="81"/>
      <w:bookmarkEnd w:id="82"/>
    </w:p>
    <w:p>
      <w:pPr>
        <w:spacing w:line="360" w:lineRule="auto"/>
        <w:ind w:firstLine="420" w:firstLineChars="200"/>
        <w:rPr>
          <w:color w:val="000000"/>
        </w:rPr>
      </w:pPr>
      <w:r>
        <w:rPr>
          <w:rFonts w:hint="eastAsia"/>
          <w:color w:val="000000"/>
          <w:u w:val="single"/>
        </w:rPr>
        <w:t xml:space="preserve">                                  </w:t>
      </w:r>
    </w:p>
    <w:p>
      <w:pPr>
        <w:spacing w:line="360" w:lineRule="auto"/>
        <w:ind w:firstLine="420" w:firstLineChars="200"/>
        <w:rPr>
          <w:color w:val="000000"/>
          <w:u w:val="single"/>
        </w:rPr>
      </w:pPr>
      <w:r>
        <w:rPr>
          <w:rFonts w:hint="eastAsia"/>
          <w:color w:val="000000"/>
          <w:u w:val="single"/>
        </w:rPr>
        <w:t xml:space="preserve">                                  </w:t>
      </w:r>
    </w:p>
    <w:p>
      <w:pPr>
        <w:pStyle w:val="3"/>
        <w:spacing w:line="360" w:lineRule="auto"/>
        <w:rPr>
          <w:rFonts w:hint="eastAsia" w:ascii="宋体" w:hAnsi="宋体" w:eastAsia="宋体"/>
          <w:color w:val="000000"/>
          <w:sz w:val="24"/>
          <w:szCs w:val="24"/>
        </w:rPr>
      </w:pPr>
      <w:bookmarkStart w:id="83" w:name="_Toc59202989"/>
      <w:r>
        <w:rPr>
          <w:rFonts w:ascii="宋体" w:hAnsi="宋体" w:eastAsia="宋体"/>
          <w:color w:val="000000"/>
          <w:sz w:val="24"/>
          <w:szCs w:val="24"/>
        </w:rPr>
        <w:t>10</w:t>
      </w:r>
      <w:r>
        <w:rPr>
          <w:rFonts w:hint="eastAsia" w:ascii="宋体" w:hAnsi="宋体" w:eastAsia="宋体"/>
          <w:color w:val="000000"/>
          <w:sz w:val="24"/>
          <w:szCs w:val="24"/>
        </w:rPr>
        <w:t>. 注意事项</w:t>
      </w:r>
      <w:bookmarkEnd w:id="83"/>
    </w:p>
    <w:p>
      <w:pPr>
        <w:spacing w:line="360" w:lineRule="auto"/>
        <w:ind w:firstLine="420" w:firstLineChars="200"/>
        <w:rPr>
          <w:rFonts w:hint="eastAsia"/>
          <w:color w:val="000000"/>
        </w:rPr>
      </w:pPr>
      <w:r>
        <w:rPr>
          <w:rFonts w:hint="eastAsia"/>
          <w:color w:val="000000"/>
        </w:rPr>
        <w:t>潜在投标人必须录入广西建筑业企业诚信信息库管理系统，广西建筑业企业诚信信息库管理系统登陆地址：http://ztb.gxzjt.gov.cn:1121/zjthy/。由于广西建筑业企业诚信信息库与自治区招标投标系统的相关信息同步存在时间差（非实时同步，每天晚上同步一次），因此投标人应至少在开标时间2天前将所需投标材料在诚信库内审核通过。</w:t>
      </w:r>
    </w:p>
    <w:p>
      <w:pPr>
        <w:pStyle w:val="3"/>
        <w:spacing w:line="360" w:lineRule="auto"/>
        <w:rPr>
          <w:rFonts w:ascii="宋体" w:hAnsi="宋体" w:eastAsia="宋体"/>
          <w:color w:val="000000"/>
          <w:sz w:val="24"/>
          <w:szCs w:val="24"/>
        </w:rPr>
      </w:pPr>
      <w:bookmarkStart w:id="84" w:name="_Toc433988554"/>
      <w:bookmarkStart w:id="85" w:name="_Toc419320084"/>
      <w:bookmarkStart w:id="86" w:name="_Toc389065131"/>
      <w:bookmarkStart w:id="87" w:name="_Toc419364211"/>
      <w:bookmarkStart w:id="88" w:name="_Toc59202990"/>
      <w:bookmarkStart w:id="89" w:name="_Toc419321120"/>
      <w:bookmarkStart w:id="90" w:name="_Toc395382364"/>
      <w:bookmarkStart w:id="91" w:name="_Toc419363487"/>
      <w:r>
        <w:rPr>
          <w:rFonts w:ascii="宋体" w:hAnsi="宋体" w:eastAsia="宋体"/>
          <w:color w:val="000000"/>
          <w:sz w:val="24"/>
          <w:szCs w:val="24"/>
        </w:rPr>
        <w:t>11.</w:t>
      </w:r>
      <w:r>
        <w:rPr>
          <w:rFonts w:hint="eastAsia" w:ascii="宋体" w:hAnsi="宋体" w:eastAsia="宋体"/>
          <w:color w:val="000000"/>
          <w:sz w:val="24"/>
          <w:szCs w:val="24"/>
        </w:rPr>
        <w:t xml:space="preserve"> </w:t>
      </w:r>
      <w:r>
        <w:rPr>
          <w:rFonts w:ascii="宋体" w:hAnsi="宋体" w:eastAsia="宋体"/>
          <w:color w:val="000000"/>
          <w:sz w:val="24"/>
          <w:szCs w:val="24"/>
        </w:rPr>
        <w:t>联系方式</w:t>
      </w:r>
      <w:bookmarkEnd w:id="84"/>
      <w:bookmarkEnd w:id="85"/>
      <w:bookmarkEnd w:id="86"/>
      <w:bookmarkEnd w:id="87"/>
      <w:bookmarkEnd w:id="88"/>
      <w:bookmarkEnd w:id="89"/>
      <w:bookmarkEnd w:id="90"/>
      <w:bookmarkEnd w:id="91"/>
    </w:p>
    <w:p>
      <w:pPr>
        <w:spacing w:line="360" w:lineRule="auto"/>
        <w:ind w:firstLine="420" w:firstLineChars="200"/>
        <w:rPr>
          <w:color w:val="000000"/>
          <w:u w:val="single"/>
        </w:rPr>
      </w:pPr>
      <w:r>
        <w:rPr>
          <w:color w:val="000000"/>
        </w:rPr>
        <w:t>招 标 人：</w:t>
      </w:r>
      <w:r>
        <w:rPr>
          <w:color w:val="000000"/>
          <w:u w:val="single"/>
        </w:rPr>
        <w:t xml:space="preserve">      </w:t>
      </w:r>
      <w:r>
        <w:rPr>
          <w:rFonts w:hint="eastAsia"/>
          <w:color w:val="000000"/>
          <w:u w:val="single"/>
        </w:rPr>
        <w:t>名称（及盖章）</w:t>
      </w:r>
      <w:r>
        <w:rPr>
          <w:color w:val="000000"/>
          <w:u w:val="single"/>
        </w:rPr>
        <w:t xml:space="preserve">     </w:t>
      </w:r>
      <w:r>
        <w:rPr>
          <w:color w:val="000000"/>
        </w:rPr>
        <w:t xml:space="preserve">   招标代理机构：</w:t>
      </w:r>
      <w:r>
        <w:rPr>
          <w:color w:val="000000"/>
          <w:u w:val="single"/>
        </w:rPr>
        <w:t xml:space="preserve">   </w:t>
      </w:r>
      <w:r>
        <w:rPr>
          <w:rFonts w:hint="eastAsia"/>
          <w:color w:val="000000"/>
          <w:u w:val="single"/>
        </w:rPr>
        <w:t>名称（及盖章）</w:t>
      </w:r>
      <w:r>
        <w:rPr>
          <w:color w:val="000000"/>
          <w:u w:val="single"/>
        </w:rPr>
        <w:t xml:space="preserve">       </w:t>
      </w:r>
    </w:p>
    <w:p>
      <w:pPr>
        <w:spacing w:line="360" w:lineRule="auto"/>
        <w:ind w:firstLine="420" w:firstLineChars="200"/>
        <w:rPr>
          <w:color w:val="000000"/>
          <w:u w:val="single"/>
        </w:rPr>
      </w:pPr>
      <w:r>
        <w:rPr>
          <w:color w:val="000000"/>
        </w:rPr>
        <w:t>地    址：</w:t>
      </w:r>
      <w:r>
        <w:rPr>
          <w:color w:val="000000"/>
          <w:u w:val="single"/>
        </w:rPr>
        <w:t xml:space="preserve">                         </w:t>
      </w:r>
      <w:r>
        <w:rPr>
          <w:color w:val="000000"/>
        </w:rPr>
        <w:t xml:space="preserve">   地    址：</w:t>
      </w:r>
      <w:r>
        <w:rPr>
          <w:color w:val="000000"/>
          <w:u w:val="single"/>
        </w:rPr>
        <w:t xml:space="preserve">                            </w:t>
      </w:r>
    </w:p>
    <w:p>
      <w:pPr>
        <w:spacing w:line="360" w:lineRule="auto"/>
        <w:ind w:firstLine="420" w:firstLineChars="200"/>
        <w:rPr>
          <w:color w:val="000000"/>
        </w:rPr>
      </w:pPr>
      <w:r>
        <w:rPr>
          <w:color w:val="000000"/>
        </w:rPr>
        <w:t>邮    编：</w:t>
      </w:r>
      <w:r>
        <w:rPr>
          <w:color w:val="000000"/>
          <w:u w:val="single"/>
        </w:rPr>
        <w:t xml:space="preserve">                         </w:t>
      </w:r>
      <w:r>
        <w:rPr>
          <w:color w:val="000000"/>
        </w:rPr>
        <w:t xml:space="preserve">   邮    编：</w:t>
      </w:r>
      <w:r>
        <w:rPr>
          <w:color w:val="000000"/>
          <w:u w:val="single"/>
        </w:rPr>
        <w:t xml:space="preserve">                            </w:t>
      </w:r>
    </w:p>
    <w:p>
      <w:pPr>
        <w:spacing w:line="360" w:lineRule="auto"/>
        <w:ind w:firstLine="420" w:firstLineChars="200"/>
        <w:rPr>
          <w:color w:val="000000"/>
        </w:rPr>
      </w:pPr>
      <w:r>
        <w:rPr>
          <w:color w:val="000000"/>
        </w:rPr>
        <w:t>联 系 人：</w:t>
      </w:r>
      <w:r>
        <w:rPr>
          <w:color w:val="000000"/>
          <w:u w:val="single"/>
        </w:rPr>
        <w:t xml:space="preserve">                         </w:t>
      </w:r>
      <w:r>
        <w:rPr>
          <w:color w:val="000000"/>
        </w:rPr>
        <w:t xml:space="preserve">   联 系 人：</w:t>
      </w:r>
      <w:r>
        <w:rPr>
          <w:color w:val="000000"/>
          <w:u w:val="single"/>
        </w:rPr>
        <w:t xml:space="preserve">                            </w:t>
      </w:r>
    </w:p>
    <w:p>
      <w:pPr>
        <w:spacing w:line="360" w:lineRule="auto"/>
        <w:ind w:firstLine="420" w:firstLineChars="200"/>
        <w:rPr>
          <w:color w:val="000000"/>
        </w:rPr>
      </w:pPr>
      <w:r>
        <w:rPr>
          <w:color w:val="000000"/>
        </w:rPr>
        <w:t>电    话：</w:t>
      </w:r>
      <w:r>
        <w:rPr>
          <w:color w:val="000000"/>
          <w:u w:val="single"/>
        </w:rPr>
        <w:t xml:space="preserve">                         </w:t>
      </w:r>
      <w:r>
        <w:rPr>
          <w:color w:val="000000"/>
        </w:rPr>
        <w:t xml:space="preserve">   电    话：</w:t>
      </w:r>
      <w:r>
        <w:rPr>
          <w:color w:val="000000"/>
          <w:u w:val="single"/>
        </w:rPr>
        <w:t xml:space="preserve">                            </w:t>
      </w:r>
    </w:p>
    <w:p>
      <w:pPr>
        <w:spacing w:line="360" w:lineRule="auto"/>
        <w:ind w:firstLine="420" w:firstLineChars="200"/>
        <w:rPr>
          <w:color w:val="000000"/>
        </w:rPr>
      </w:pPr>
      <w:r>
        <w:rPr>
          <w:color w:val="000000"/>
        </w:rPr>
        <w:t>传    真：</w:t>
      </w:r>
      <w:r>
        <w:rPr>
          <w:color w:val="000000"/>
          <w:u w:val="single"/>
        </w:rPr>
        <w:t xml:space="preserve">                         </w:t>
      </w:r>
      <w:r>
        <w:rPr>
          <w:color w:val="000000"/>
        </w:rPr>
        <w:t xml:space="preserve">   传    真：</w:t>
      </w:r>
      <w:r>
        <w:rPr>
          <w:color w:val="000000"/>
          <w:u w:val="single"/>
        </w:rPr>
        <w:t xml:space="preserve">                            </w:t>
      </w:r>
    </w:p>
    <w:p>
      <w:pPr>
        <w:spacing w:line="360" w:lineRule="auto"/>
        <w:ind w:firstLine="420" w:firstLineChars="200"/>
        <w:rPr>
          <w:color w:val="000000"/>
          <w:u w:val="single"/>
        </w:rPr>
      </w:pPr>
      <w:r>
        <w:rPr>
          <w:color w:val="000000"/>
        </w:rPr>
        <w:t>电子邮箱：</w:t>
      </w:r>
      <w:r>
        <w:rPr>
          <w:color w:val="000000"/>
          <w:u w:val="single"/>
        </w:rPr>
        <w:t xml:space="preserve">                            </w:t>
      </w:r>
      <w:r>
        <w:rPr>
          <w:color w:val="000000"/>
        </w:rPr>
        <w:t>电子邮箱：</w:t>
      </w:r>
      <w:r>
        <w:rPr>
          <w:color w:val="000000"/>
          <w:u w:val="single"/>
        </w:rPr>
        <w:t xml:space="preserve">                            </w:t>
      </w:r>
    </w:p>
    <w:p>
      <w:pPr>
        <w:spacing w:line="360" w:lineRule="auto"/>
        <w:ind w:firstLine="420" w:firstLineChars="200"/>
        <w:rPr>
          <w:color w:val="000000"/>
        </w:rPr>
      </w:pPr>
      <w:r>
        <w:rPr>
          <w:rFonts w:hAnsi="宋体"/>
          <w:color w:val="000000"/>
          <w:szCs w:val="21"/>
        </w:rPr>
        <w:t>网</w:t>
      </w:r>
      <w:r>
        <w:rPr>
          <w:color w:val="000000"/>
          <w:szCs w:val="21"/>
        </w:rPr>
        <w:t xml:space="preserve">    </w:t>
      </w:r>
      <w:r>
        <w:rPr>
          <w:rFonts w:hAnsi="宋体"/>
          <w:color w:val="000000"/>
          <w:szCs w:val="21"/>
        </w:rPr>
        <w:t>址：</w:t>
      </w:r>
      <w:r>
        <w:rPr>
          <w:color w:val="000000"/>
          <w:szCs w:val="21"/>
          <w:u w:val="single"/>
        </w:rPr>
        <w:t xml:space="preserve">                         </w:t>
      </w:r>
      <w:r>
        <w:rPr>
          <w:color w:val="000000"/>
        </w:rPr>
        <w:t xml:space="preserve">   </w:t>
      </w:r>
      <w:r>
        <w:rPr>
          <w:rFonts w:hAnsi="宋体"/>
          <w:color w:val="000000"/>
          <w:szCs w:val="21"/>
        </w:rPr>
        <w:t>网</w:t>
      </w:r>
      <w:r>
        <w:rPr>
          <w:color w:val="000000"/>
          <w:szCs w:val="21"/>
        </w:rPr>
        <w:t xml:space="preserve">    </w:t>
      </w:r>
      <w:r>
        <w:rPr>
          <w:rFonts w:hAnsi="宋体"/>
          <w:color w:val="000000"/>
          <w:szCs w:val="21"/>
        </w:rPr>
        <w:t>址：</w:t>
      </w:r>
      <w:r>
        <w:rPr>
          <w:color w:val="000000"/>
          <w:szCs w:val="21"/>
          <w:u w:val="single"/>
        </w:rPr>
        <w:t xml:space="preserve">                         </w:t>
      </w:r>
      <w:r>
        <w:rPr>
          <w:color w:val="000000"/>
        </w:rPr>
        <w:t xml:space="preserve">   </w:t>
      </w:r>
    </w:p>
    <w:p>
      <w:pPr>
        <w:spacing w:line="360" w:lineRule="auto"/>
        <w:ind w:firstLine="420" w:firstLineChars="200"/>
        <w:rPr>
          <w:color w:val="000000"/>
        </w:rPr>
      </w:pPr>
    </w:p>
    <w:p>
      <w:pPr>
        <w:spacing w:line="360" w:lineRule="auto"/>
        <w:ind w:firstLine="420" w:firstLineChars="200"/>
        <w:rPr>
          <w:color w:val="000000"/>
        </w:rPr>
      </w:pPr>
      <w:r>
        <w:rPr>
          <w:color w:val="000000"/>
        </w:rPr>
        <w:t xml:space="preserve">                                     </w:t>
      </w:r>
    </w:p>
    <w:p>
      <w:pPr>
        <w:ind w:firstLine="4725" w:firstLineChars="2250"/>
        <w:rPr>
          <w:color w:val="000000"/>
          <w:szCs w:val="21"/>
        </w:rPr>
      </w:pPr>
      <w:r>
        <w:rPr>
          <w:color w:val="000000"/>
          <w:u w:val="single"/>
        </w:rPr>
        <w:t xml:space="preserve">              </w:t>
      </w:r>
      <w:r>
        <w:rPr>
          <w:color w:val="000000"/>
          <w:szCs w:val="21"/>
        </w:rPr>
        <w:t>年</w:t>
      </w:r>
      <w:r>
        <w:rPr>
          <w:color w:val="000000"/>
          <w:u w:val="single"/>
        </w:rPr>
        <w:t xml:space="preserve">       </w:t>
      </w:r>
      <w:r>
        <w:rPr>
          <w:color w:val="000000"/>
          <w:szCs w:val="21"/>
        </w:rPr>
        <w:t>月</w:t>
      </w:r>
      <w:r>
        <w:rPr>
          <w:color w:val="000000"/>
          <w:u w:val="single"/>
        </w:rPr>
        <w:t xml:space="preserve">       </w:t>
      </w:r>
      <w:r>
        <w:rPr>
          <w:color w:val="000000"/>
          <w:szCs w:val="21"/>
        </w:rPr>
        <w:t>日</w:t>
      </w:r>
    </w:p>
    <w:p>
      <w:pPr>
        <w:rPr>
          <w:rFonts w:hint="eastAsia"/>
          <w:color w:val="000000"/>
        </w:rPr>
      </w:pPr>
      <w:bookmarkStart w:id="92" w:name="_Toc389065132"/>
      <w:bookmarkStart w:id="93" w:name="_Toc395382365"/>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color w:val="000000"/>
        </w:rPr>
      </w:pPr>
    </w:p>
    <w:p>
      <w:pPr>
        <w:rPr>
          <w:rFonts w:hint="eastAsia"/>
          <w:color w:val="000000"/>
        </w:rPr>
      </w:pPr>
    </w:p>
    <w:p>
      <w:pPr>
        <w:rPr>
          <w:rFonts w:hint="eastAsia"/>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rFonts w:hint="eastAsia"/>
          <w:color w:val="000000"/>
        </w:rPr>
      </w:pPr>
    </w:p>
    <w:p>
      <w:pPr>
        <w:rPr>
          <w:color w:val="000000"/>
        </w:rPr>
      </w:pPr>
    </w:p>
    <w:p>
      <w:pPr>
        <w:rPr>
          <w:color w:val="000000"/>
        </w:rPr>
      </w:pPr>
    </w:p>
    <w:p>
      <w:pPr>
        <w:rPr>
          <w:color w:val="000000"/>
        </w:rPr>
      </w:pPr>
    </w:p>
    <w:p>
      <w:pPr>
        <w:rPr>
          <w:rFonts w:hint="eastAsia"/>
          <w:color w:val="000000"/>
        </w:rPr>
      </w:pPr>
    </w:p>
    <w:p>
      <w:pPr>
        <w:rPr>
          <w:rFonts w:hint="eastAsia"/>
          <w:color w:val="000000"/>
        </w:rPr>
      </w:pPr>
    </w:p>
    <w:p>
      <w:pPr>
        <w:pStyle w:val="2"/>
        <w:jc w:val="center"/>
        <w:rPr>
          <w:color w:val="000000"/>
        </w:rPr>
      </w:pPr>
      <w:bookmarkStart w:id="94" w:name="_Toc59202991"/>
      <w:bookmarkStart w:id="95" w:name="_Toc419321121"/>
      <w:bookmarkStart w:id="96" w:name="_Toc419364212"/>
      <w:bookmarkStart w:id="97" w:name="_Toc419320085"/>
      <w:bookmarkStart w:id="98" w:name="_Toc419363488"/>
      <w:bookmarkStart w:id="99" w:name="_Toc433988555"/>
      <w:r>
        <w:rPr>
          <w:color w:val="000000"/>
        </w:rPr>
        <w:t>第一章  投标邀请书（适用于邀请招标）</w:t>
      </w:r>
      <w:bookmarkEnd w:id="92"/>
      <w:bookmarkEnd w:id="93"/>
      <w:bookmarkEnd w:id="94"/>
      <w:bookmarkEnd w:id="95"/>
      <w:bookmarkEnd w:id="96"/>
      <w:bookmarkEnd w:id="97"/>
      <w:bookmarkEnd w:id="98"/>
      <w:bookmarkEnd w:id="99"/>
    </w:p>
    <w:p>
      <w:pPr>
        <w:spacing w:before="120" w:beforeLines="50" w:after="240" w:afterLines="100" w:line="360" w:lineRule="auto"/>
        <w:ind w:firstLine="437"/>
        <w:jc w:val="center"/>
        <w:rPr>
          <w:b/>
          <w:color w:val="000000"/>
          <w:sz w:val="24"/>
        </w:rPr>
      </w:pPr>
      <w:r>
        <w:rPr>
          <w:b/>
          <w:color w:val="000000"/>
          <w:sz w:val="24"/>
          <w:u w:val="single"/>
        </w:rPr>
        <w:t xml:space="preserve">              </w:t>
      </w:r>
      <w:r>
        <w:rPr>
          <w:rFonts w:hint="eastAsia"/>
          <w:b/>
          <w:color w:val="000000"/>
          <w:sz w:val="24"/>
          <w:u w:val="single"/>
        </w:rPr>
        <w:t xml:space="preserve">       </w:t>
      </w:r>
      <w:r>
        <w:rPr>
          <w:b/>
          <w:color w:val="000000"/>
          <w:sz w:val="24"/>
          <w:u w:val="single"/>
        </w:rPr>
        <w:t xml:space="preserve">       </w:t>
      </w:r>
      <w:r>
        <w:rPr>
          <w:rFonts w:hint="eastAsia" w:ascii="宋体" w:hAnsi="宋体"/>
          <w:b/>
          <w:color w:val="000000"/>
          <w:sz w:val="28"/>
          <w:szCs w:val="28"/>
        </w:rPr>
        <w:t>工程总承包</w:t>
      </w:r>
      <w:r>
        <w:rPr>
          <w:b/>
          <w:color w:val="000000"/>
          <w:sz w:val="24"/>
        </w:rPr>
        <w:t>邀请书</w:t>
      </w:r>
    </w:p>
    <w:p>
      <w:pPr>
        <w:spacing w:line="360" w:lineRule="auto"/>
        <w:rPr>
          <w:color w:val="000000"/>
          <w:szCs w:val="21"/>
        </w:rPr>
      </w:pPr>
      <w:r>
        <w:rPr>
          <w:color w:val="000000"/>
          <w:szCs w:val="21"/>
          <w:u w:val="single"/>
        </w:rPr>
        <w:t xml:space="preserve">                                </w:t>
      </w:r>
      <w:r>
        <w:rPr>
          <w:color w:val="000000"/>
          <w:szCs w:val="21"/>
        </w:rPr>
        <w:t xml:space="preserve"> （被邀请单位名称）：</w:t>
      </w:r>
    </w:p>
    <w:p>
      <w:pPr>
        <w:pStyle w:val="3"/>
        <w:spacing w:line="400" w:lineRule="exact"/>
        <w:rPr>
          <w:rFonts w:ascii="宋体" w:hAnsi="宋体" w:eastAsia="宋体"/>
          <w:color w:val="000000"/>
          <w:sz w:val="24"/>
          <w:szCs w:val="24"/>
        </w:rPr>
      </w:pPr>
      <w:bookmarkStart w:id="100" w:name="_Toc419321122"/>
      <w:bookmarkStart w:id="101" w:name="_Toc419364213"/>
      <w:bookmarkStart w:id="102" w:name="_Toc389065133"/>
      <w:bookmarkStart w:id="103" w:name="_Toc395382366"/>
      <w:bookmarkStart w:id="104" w:name="_Toc419320086"/>
      <w:bookmarkStart w:id="105" w:name="_Toc419363489"/>
      <w:bookmarkStart w:id="106" w:name="_Toc433988556"/>
      <w:bookmarkStart w:id="107" w:name="_Toc59202992"/>
      <w:r>
        <w:rPr>
          <w:rFonts w:ascii="宋体" w:hAnsi="宋体" w:eastAsia="宋体"/>
          <w:color w:val="000000"/>
          <w:sz w:val="24"/>
          <w:szCs w:val="24"/>
        </w:rPr>
        <w:t>1. 招标条件</w:t>
      </w:r>
      <w:bookmarkEnd w:id="100"/>
      <w:bookmarkEnd w:id="101"/>
      <w:bookmarkEnd w:id="102"/>
      <w:bookmarkEnd w:id="103"/>
      <w:bookmarkEnd w:id="104"/>
      <w:bookmarkEnd w:id="105"/>
      <w:bookmarkEnd w:id="106"/>
      <w:bookmarkEnd w:id="107"/>
    </w:p>
    <w:p>
      <w:pPr>
        <w:spacing w:line="400" w:lineRule="exact"/>
        <w:ind w:firstLine="420" w:firstLineChars="200"/>
        <w:rPr>
          <w:color w:val="000000"/>
          <w:szCs w:val="21"/>
        </w:rPr>
      </w:pPr>
      <w:r>
        <w:rPr>
          <w:color w:val="000000"/>
        </w:rPr>
        <w:t>本招标项目</w:t>
      </w:r>
      <w:r>
        <w:rPr>
          <w:color w:val="000000"/>
          <w:u w:val="single"/>
        </w:rPr>
        <w:t xml:space="preserve">                   </w:t>
      </w:r>
      <w:r>
        <w:rPr>
          <w:color w:val="000000"/>
        </w:rPr>
        <w:t xml:space="preserve"> （项目名称）</w:t>
      </w:r>
      <w:r>
        <w:rPr>
          <w:rFonts w:hint="eastAsia"/>
          <w:color w:val="000000"/>
        </w:rPr>
        <w:t>工程</w:t>
      </w:r>
      <w:r>
        <w:rPr>
          <w:color w:val="000000"/>
        </w:rPr>
        <w:t>已由</w:t>
      </w:r>
      <w:r>
        <w:rPr>
          <w:color w:val="000000"/>
          <w:u w:val="single"/>
        </w:rPr>
        <w:t xml:space="preserve">                 </w:t>
      </w:r>
      <w:r>
        <w:rPr>
          <w:color w:val="000000"/>
        </w:rPr>
        <w:t xml:space="preserve"> （项目审批、核准或备案机关名称）以</w:t>
      </w:r>
      <w:r>
        <w:rPr>
          <w:color w:val="000000"/>
          <w:u w:val="single"/>
        </w:rPr>
        <w:t xml:space="preserve">               </w:t>
      </w:r>
      <w:r>
        <w:rPr>
          <w:color w:val="000000"/>
        </w:rPr>
        <w:t xml:space="preserve"> （批文名称</w:t>
      </w:r>
      <w:r>
        <w:rPr>
          <w:rFonts w:hint="eastAsia"/>
          <w:color w:val="000000"/>
        </w:rPr>
        <w:t>、文号、项目代码</w:t>
      </w:r>
      <w:r>
        <w:rPr>
          <w:color w:val="000000"/>
        </w:rPr>
        <w:t>）批准建设，招标人（项目业主）为</w:t>
      </w:r>
      <w:r>
        <w:rPr>
          <w:color w:val="000000"/>
          <w:u w:val="single"/>
        </w:rPr>
        <w:t xml:space="preserve">                 </w:t>
      </w:r>
      <w:r>
        <w:rPr>
          <w:color w:val="000000"/>
        </w:rPr>
        <w:t>，建设资金来自</w:t>
      </w:r>
      <w:r>
        <w:rPr>
          <w:color w:val="000000"/>
          <w:u w:val="single"/>
        </w:rPr>
        <w:t xml:space="preserve">             </w:t>
      </w:r>
      <w:r>
        <w:rPr>
          <w:color w:val="000000"/>
        </w:rPr>
        <w:t xml:space="preserve"> （资金来源），项目出资比例为</w:t>
      </w:r>
      <w:r>
        <w:rPr>
          <w:color w:val="000000"/>
          <w:u w:val="single"/>
        </w:rPr>
        <w:t xml:space="preserve">             </w:t>
      </w:r>
      <w:r>
        <w:rPr>
          <w:color w:val="000000"/>
        </w:rPr>
        <w:t>。项目已具备招标条件，</w:t>
      </w:r>
      <w:r>
        <w:rPr>
          <w:rFonts w:ascii="宋体" w:hAnsi="宋体"/>
          <w:color w:val="000000"/>
          <w:szCs w:val="21"/>
        </w:rPr>
        <w:t>现对该项目的</w:t>
      </w:r>
      <w:r>
        <w:rPr>
          <w:rFonts w:hint="eastAsia" w:ascii="宋体" w:hAnsi="宋体"/>
          <w:color w:val="000000"/>
          <w:szCs w:val="21"/>
        </w:rPr>
        <w:t>□设计、采购（指永久专用设备的采购）、施工或□设计、施工</w:t>
      </w:r>
      <w:r>
        <w:rPr>
          <w:rFonts w:ascii="宋体" w:hAnsi="宋体"/>
          <w:color w:val="000000"/>
          <w:szCs w:val="21"/>
        </w:rPr>
        <w:t>进行</w:t>
      </w:r>
      <w:r>
        <w:rPr>
          <w:rFonts w:hint="eastAsia" w:ascii="宋体" w:hAnsi="宋体"/>
          <w:color w:val="000000"/>
          <w:szCs w:val="21"/>
        </w:rPr>
        <w:t>邀请招标</w:t>
      </w:r>
      <w:r>
        <w:rPr>
          <w:rFonts w:ascii="宋体" w:hAnsi="宋体"/>
          <w:color w:val="000000"/>
          <w:szCs w:val="21"/>
        </w:rPr>
        <w:t>。</w:t>
      </w:r>
    </w:p>
    <w:p>
      <w:pPr>
        <w:pStyle w:val="3"/>
        <w:spacing w:line="360" w:lineRule="auto"/>
        <w:rPr>
          <w:rFonts w:ascii="宋体" w:hAnsi="宋体" w:eastAsia="宋体"/>
          <w:color w:val="000000"/>
          <w:sz w:val="24"/>
          <w:szCs w:val="24"/>
        </w:rPr>
      </w:pPr>
      <w:bookmarkStart w:id="108" w:name="_Toc419320087"/>
      <w:bookmarkStart w:id="109" w:name="_Toc433988557"/>
      <w:bookmarkStart w:id="110" w:name="_Toc419321123"/>
      <w:bookmarkStart w:id="111" w:name="_Toc419364214"/>
      <w:bookmarkStart w:id="112" w:name="_Toc419363490"/>
      <w:bookmarkStart w:id="113" w:name="_Toc59202993"/>
      <w:bookmarkStart w:id="114" w:name="_Toc395382367"/>
      <w:bookmarkStart w:id="115" w:name="_Toc389065134"/>
      <w:r>
        <w:rPr>
          <w:rFonts w:ascii="宋体" w:hAnsi="宋体" w:eastAsia="宋体"/>
          <w:color w:val="000000"/>
          <w:sz w:val="24"/>
          <w:szCs w:val="24"/>
        </w:rPr>
        <w:t>2. 项目概况与招标范围</w:t>
      </w:r>
      <w:bookmarkEnd w:id="108"/>
      <w:bookmarkEnd w:id="109"/>
      <w:bookmarkEnd w:id="110"/>
      <w:bookmarkEnd w:id="111"/>
      <w:bookmarkEnd w:id="112"/>
      <w:bookmarkEnd w:id="113"/>
      <w:bookmarkEnd w:id="114"/>
      <w:bookmarkEnd w:id="115"/>
    </w:p>
    <w:p>
      <w:pPr>
        <w:spacing w:line="360" w:lineRule="auto"/>
        <w:ind w:firstLine="420" w:firstLineChars="200"/>
        <w:rPr>
          <w:rFonts w:hint="eastAsia"/>
          <w:color w:val="000000"/>
        </w:rPr>
      </w:pPr>
      <w:r>
        <w:rPr>
          <w:rFonts w:hint="eastAsia"/>
          <w:color w:val="000000"/>
        </w:rPr>
        <w:t>2.1项目概况</w:t>
      </w:r>
    </w:p>
    <w:p>
      <w:pPr>
        <w:spacing w:line="360" w:lineRule="auto"/>
        <w:ind w:firstLine="420" w:firstLineChars="200"/>
        <w:rPr>
          <w:color w:val="000000"/>
          <w:u w:val="single"/>
        </w:rPr>
      </w:pPr>
      <w:r>
        <w:rPr>
          <w:color w:val="000000"/>
        </w:rPr>
        <w:t>建设地点：</w:t>
      </w:r>
      <w:r>
        <w:rPr>
          <w:color w:val="000000"/>
          <w:u w:val="single"/>
        </w:rPr>
        <w:t xml:space="preserve">                                 </w:t>
      </w:r>
    </w:p>
    <w:p>
      <w:pPr>
        <w:spacing w:line="360" w:lineRule="auto"/>
        <w:ind w:firstLine="420" w:firstLineChars="200"/>
        <w:rPr>
          <w:color w:val="000000"/>
          <w:u w:val="single"/>
        </w:rPr>
      </w:pPr>
      <w:r>
        <w:rPr>
          <w:color w:val="000000"/>
        </w:rPr>
        <w:t>建设规模：</w:t>
      </w:r>
      <w:r>
        <w:rPr>
          <w:color w:val="000000"/>
          <w:u w:val="single"/>
        </w:rPr>
        <w:t xml:space="preserve">                                 </w:t>
      </w:r>
    </w:p>
    <w:p>
      <w:pPr>
        <w:spacing w:line="360" w:lineRule="auto"/>
        <w:ind w:firstLine="420" w:firstLineChars="200"/>
        <w:rPr>
          <w:color w:val="000000"/>
          <w:u w:val="single"/>
        </w:rPr>
      </w:pPr>
      <w:r>
        <w:rPr>
          <w:rFonts w:hint="eastAsia"/>
          <w:color w:val="000000"/>
        </w:rPr>
        <w:t>本项目（□估算价 □概算价）：</w:t>
      </w:r>
      <w:r>
        <w:rPr>
          <w:color w:val="000000"/>
          <w:u w:val="single"/>
        </w:rPr>
        <w:t xml:space="preserve">                               </w:t>
      </w:r>
    </w:p>
    <w:p>
      <w:pPr>
        <w:spacing w:line="360" w:lineRule="auto"/>
        <w:ind w:firstLine="420" w:firstLineChars="200"/>
        <w:rPr>
          <w:b/>
          <w:color w:val="000000"/>
        </w:rPr>
      </w:pPr>
      <w:r>
        <w:rPr>
          <w:rFonts w:hint="eastAsia" w:ascii="宋体" w:hAnsi="宋体"/>
          <w:color w:val="000000"/>
        </w:rPr>
        <w:t>计划工期：本项目总工期为     天（日历天）。</w:t>
      </w:r>
    </w:p>
    <w:p>
      <w:pPr>
        <w:spacing w:line="360" w:lineRule="auto"/>
        <w:ind w:firstLine="420" w:firstLineChars="200"/>
        <w:rPr>
          <w:color w:val="000000"/>
          <w:u w:val="single"/>
        </w:rPr>
      </w:pPr>
      <w:r>
        <w:rPr>
          <w:rFonts w:hint="eastAsia"/>
          <w:color w:val="000000"/>
        </w:rPr>
        <w:t>2.2</w:t>
      </w:r>
      <w:r>
        <w:rPr>
          <w:color w:val="000000"/>
        </w:rPr>
        <w:t xml:space="preserve">招标范围： </w:t>
      </w:r>
      <w:r>
        <w:rPr>
          <w:color w:val="000000"/>
          <w:u w:val="single"/>
        </w:rPr>
        <w:t xml:space="preserve">                                </w:t>
      </w:r>
    </w:p>
    <w:p>
      <w:pPr>
        <w:spacing w:line="360" w:lineRule="auto"/>
        <w:ind w:firstLine="420" w:firstLineChars="200"/>
        <w:rPr>
          <w:rFonts w:hint="eastAsia"/>
          <w:color w:val="000000"/>
          <w:u w:val="single"/>
        </w:rPr>
      </w:pPr>
      <w:r>
        <w:rPr>
          <w:rFonts w:hint="eastAsia"/>
          <w:color w:val="000000"/>
        </w:rPr>
        <w:t>2.3</w:t>
      </w:r>
      <w:r>
        <w:rPr>
          <w:rFonts w:hint="eastAsia" w:cs="宋体"/>
          <w:color w:val="000000"/>
        </w:rPr>
        <w:t>标段划分：</w:t>
      </w:r>
      <w:r>
        <w:rPr>
          <w:color w:val="000000"/>
        </w:rPr>
        <w:t xml:space="preserve"> </w:t>
      </w:r>
      <w:r>
        <w:rPr>
          <w:color w:val="000000"/>
          <w:u w:val="single"/>
        </w:rPr>
        <w:t xml:space="preserve">                                </w:t>
      </w:r>
    </w:p>
    <w:p>
      <w:pPr>
        <w:spacing w:line="360" w:lineRule="auto"/>
        <w:ind w:firstLine="420" w:firstLineChars="200"/>
        <w:rPr>
          <w:rFonts w:hint="eastAsia"/>
          <w:color w:val="000000"/>
        </w:rPr>
      </w:pPr>
      <w:r>
        <w:rPr>
          <w:rFonts w:hint="eastAsia"/>
          <w:color w:val="000000"/>
        </w:rPr>
        <w:t>2.</w:t>
      </w:r>
      <w:r>
        <w:rPr>
          <w:color w:val="000000"/>
        </w:rPr>
        <w:t>4</w:t>
      </w:r>
      <w:r>
        <w:rPr>
          <w:rFonts w:hint="eastAsia" w:ascii="宋体" w:hAnsi="宋体"/>
          <w:color w:val="000000"/>
          <w:szCs w:val="21"/>
        </w:rPr>
        <w:t xml:space="preserve"> 本项目 </w:t>
      </w:r>
      <w:r>
        <w:rPr>
          <w:rFonts w:hint="eastAsia"/>
          <w:color w:val="000000"/>
        </w:rPr>
        <w:t>□</w:t>
      </w:r>
      <w:r>
        <w:rPr>
          <w:rFonts w:hint="eastAsia" w:ascii="宋体" w:hAnsi="宋体"/>
          <w:color w:val="000000"/>
          <w:szCs w:val="21"/>
        </w:rPr>
        <w:t xml:space="preserve">要求 </w:t>
      </w:r>
      <w:r>
        <w:rPr>
          <w:rFonts w:hint="eastAsia"/>
          <w:color w:val="000000"/>
        </w:rPr>
        <w:t>□不要求采用装配式技术。</w:t>
      </w:r>
    </w:p>
    <w:p>
      <w:pPr>
        <w:spacing w:line="360" w:lineRule="auto"/>
        <w:ind w:firstLine="420" w:firstLineChars="200"/>
        <w:rPr>
          <w:rFonts w:hint="eastAsia" w:ascii="宋体" w:hAnsi="宋体"/>
          <w:color w:val="000000"/>
          <w:szCs w:val="21"/>
        </w:rPr>
      </w:pPr>
      <w:r>
        <w:rPr>
          <w:rFonts w:hint="eastAsia"/>
          <w:color w:val="000000"/>
        </w:rPr>
        <w:t>2.</w:t>
      </w:r>
      <w:r>
        <w:rPr>
          <w:color w:val="000000"/>
        </w:rPr>
        <w:t>5</w:t>
      </w:r>
      <w:r>
        <w:rPr>
          <w:rFonts w:hint="eastAsia"/>
          <w:color w:val="000000"/>
        </w:rPr>
        <w:t xml:space="preserve"> </w:t>
      </w:r>
      <w:r>
        <w:rPr>
          <w:rFonts w:hint="eastAsia" w:ascii="宋体" w:hAnsi="宋体"/>
          <w:color w:val="000000"/>
          <w:szCs w:val="21"/>
        </w:rPr>
        <w:t xml:space="preserve">本项目 </w:t>
      </w:r>
      <w:r>
        <w:rPr>
          <w:rFonts w:hint="eastAsia"/>
          <w:color w:val="000000"/>
        </w:rPr>
        <w:t>□</w:t>
      </w:r>
      <w:r>
        <w:rPr>
          <w:rFonts w:hint="eastAsia" w:ascii="宋体" w:hAnsi="宋体"/>
          <w:color w:val="000000"/>
          <w:szCs w:val="21"/>
        </w:rPr>
        <w:t xml:space="preserve">要求 </w:t>
      </w:r>
      <w:r>
        <w:rPr>
          <w:rFonts w:hint="eastAsia"/>
          <w:color w:val="000000"/>
        </w:rPr>
        <w:t>□不要求建筑信息模型（BIM）技术。</w:t>
      </w:r>
    </w:p>
    <w:p>
      <w:pPr>
        <w:pStyle w:val="3"/>
        <w:spacing w:line="360" w:lineRule="auto"/>
        <w:rPr>
          <w:rFonts w:ascii="宋体" w:hAnsi="宋体" w:eastAsia="宋体"/>
          <w:color w:val="000000"/>
          <w:sz w:val="24"/>
          <w:szCs w:val="24"/>
        </w:rPr>
      </w:pPr>
      <w:bookmarkStart w:id="116" w:name="_Toc419364215"/>
      <w:bookmarkStart w:id="117" w:name="_Toc433988558"/>
      <w:bookmarkStart w:id="118" w:name="_Toc59202994"/>
      <w:bookmarkStart w:id="119" w:name="_Toc419320088"/>
      <w:bookmarkStart w:id="120" w:name="_Toc389065135"/>
      <w:bookmarkStart w:id="121" w:name="_Toc419363491"/>
      <w:bookmarkStart w:id="122" w:name="_Toc395382368"/>
      <w:bookmarkStart w:id="123" w:name="_Toc419321124"/>
      <w:r>
        <w:rPr>
          <w:rFonts w:ascii="宋体" w:hAnsi="宋体" w:eastAsia="宋体"/>
          <w:color w:val="000000"/>
          <w:sz w:val="24"/>
          <w:szCs w:val="24"/>
        </w:rPr>
        <w:t>3. 投标人资格要求</w:t>
      </w:r>
      <w:bookmarkEnd w:id="116"/>
      <w:bookmarkEnd w:id="117"/>
      <w:bookmarkEnd w:id="118"/>
      <w:bookmarkEnd w:id="119"/>
      <w:bookmarkEnd w:id="120"/>
      <w:bookmarkEnd w:id="121"/>
      <w:bookmarkEnd w:id="122"/>
      <w:bookmarkEnd w:id="123"/>
    </w:p>
    <w:p>
      <w:pPr>
        <w:spacing w:line="360" w:lineRule="auto"/>
        <w:ind w:firstLine="420" w:firstLineChars="200"/>
        <w:rPr>
          <w:color w:val="000000"/>
          <w:u w:val="single"/>
        </w:rPr>
      </w:pPr>
      <w:r>
        <w:rPr>
          <w:rFonts w:hint="eastAsia"/>
          <w:color w:val="000000"/>
        </w:rPr>
        <w:t>3.1本次招标要求投标人同时具备</w:t>
      </w:r>
      <w:r>
        <w:rPr>
          <w:rFonts w:hint="eastAsia"/>
          <w:color w:val="000000"/>
          <w:u w:val="single"/>
        </w:rPr>
        <w:t xml:space="preserve">   </w:t>
      </w:r>
      <w:r>
        <w:rPr>
          <w:rFonts w:hint="eastAsia"/>
          <w:color w:val="000000"/>
        </w:rPr>
        <w:t>工程设计</w:t>
      </w:r>
      <w:r>
        <w:rPr>
          <w:rFonts w:hint="eastAsia"/>
          <w:color w:val="000000"/>
          <w:u w:val="single"/>
        </w:rPr>
        <w:t xml:space="preserve">   </w:t>
      </w:r>
      <w:r>
        <w:rPr>
          <w:rFonts w:hint="eastAsia"/>
          <w:color w:val="000000"/>
        </w:rPr>
        <w:t>级及以上资质和</w:t>
      </w:r>
      <w:r>
        <w:rPr>
          <w:rFonts w:hint="eastAsia"/>
          <w:color w:val="000000"/>
          <w:u w:val="single"/>
        </w:rPr>
        <w:t xml:space="preserve">   </w:t>
      </w:r>
      <w:r>
        <w:rPr>
          <w:rFonts w:hint="eastAsia"/>
          <w:color w:val="000000"/>
        </w:rPr>
        <w:t>施工总承包</w:t>
      </w:r>
      <w:r>
        <w:rPr>
          <w:rFonts w:hint="eastAsia"/>
          <w:color w:val="000000"/>
          <w:u w:val="single"/>
        </w:rPr>
        <w:t xml:space="preserve">    </w:t>
      </w:r>
      <w:r>
        <w:rPr>
          <w:rFonts w:hint="eastAsia"/>
          <w:color w:val="000000"/>
        </w:rPr>
        <w:t>级及以上资质，具有有效的安全生产许可证，并在人员、设备、资金等方面具备相应的履约能力。投标人（如为联合体投标的要求其联合体中施工单位）已录入广西建筑业企业诚信信息库并处于有效状态。</w:t>
      </w:r>
      <w:r>
        <w:rPr>
          <w:color w:val="000000"/>
        </w:rPr>
        <w:t xml:space="preserve"> </w:t>
      </w:r>
    </w:p>
    <w:p>
      <w:pPr>
        <w:spacing w:line="360" w:lineRule="auto"/>
        <w:ind w:firstLine="420" w:firstLineChars="200"/>
        <w:rPr>
          <w:rFonts w:hint="eastAsia"/>
          <w:color w:val="000000"/>
        </w:rPr>
      </w:pPr>
      <w:r>
        <w:rPr>
          <w:color w:val="000000"/>
        </w:rPr>
        <w:t>3.</w:t>
      </w:r>
      <w:r>
        <w:rPr>
          <w:rFonts w:hint="eastAsia"/>
          <w:color w:val="000000"/>
        </w:rPr>
        <w:t>2</w:t>
      </w:r>
      <w:r>
        <w:rPr>
          <w:color w:val="000000"/>
        </w:rPr>
        <w:t>主要负责人</w:t>
      </w:r>
      <w:r>
        <w:rPr>
          <w:rFonts w:hint="eastAsia"/>
          <w:color w:val="000000"/>
        </w:rPr>
        <w:t>员</w:t>
      </w:r>
      <w:r>
        <w:rPr>
          <w:color w:val="000000"/>
        </w:rPr>
        <w:t>要求：</w:t>
      </w:r>
    </w:p>
    <w:p>
      <w:pPr>
        <w:spacing w:line="360" w:lineRule="auto"/>
        <w:ind w:firstLine="315" w:firstLineChars="150"/>
        <w:rPr>
          <w:rFonts w:hint="eastAsia" w:eastAsia="楷体_GB2312"/>
          <w:b/>
          <w:color w:val="000000"/>
          <w:szCs w:val="21"/>
        </w:rPr>
      </w:pPr>
      <w:r>
        <w:rPr>
          <w:rFonts w:hint="eastAsia" w:ascii="宋体" w:hAnsi="宋体"/>
          <w:color w:val="000000"/>
          <w:szCs w:val="21"/>
        </w:rPr>
        <w:t xml:space="preserve"> </w:t>
      </w:r>
      <w:r>
        <w:rPr>
          <w:rFonts w:hint="eastAsia"/>
          <w:color w:val="000000"/>
          <w:szCs w:val="21"/>
        </w:rPr>
        <w:t>3.2.1</w:t>
      </w:r>
      <w:r>
        <w:rPr>
          <w:rFonts w:ascii="宋体" w:hAnsi="宋体"/>
          <w:color w:val="000000"/>
          <w:szCs w:val="21"/>
        </w:rPr>
        <w:t>工程总承包项目经理：</w:t>
      </w:r>
      <w:r>
        <w:rPr>
          <w:rFonts w:hint="eastAsia" w:ascii="宋体" w:hAnsi="宋体"/>
          <w:color w:val="000000"/>
          <w:szCs w:val="21"/>
        </w:rPr>
        <w:t>具有</w:t>
      </w:r>
      <w:r>
        <w:rPr>
          <w:rFonts w:hint="eastAsia" w:ascii="宋体" w:hAnsi="宋体"/>
          <w:color w:val="000000"/>
          <w:szCs w:val="21"/>
          <w:u w:val="single"/>
        </w:rPr>
        <w:t xml:space="preserve">    </w:t>
      </w:r>
      <w:r>
        <w:rPr>
          <w:rFonts w:hint="eastAsia" w:ascii="宋体" w:hAnsi="宋体"/>
          <w:color w:val="000000"/>
          <w:szCs w:val="21"/>
        </w:rPr>
        <w:t>工程专业</w:t>
      </w:r>
      <w:r>
        <w:rPr>
          <w:rFonts w:hint="eastAsia" w:ascii="宋体" w:hAnsi="宋体"/>
          <w:color w:val="000000"/>
          <w:szCs w:val="21"/>
          <w:u w:val="single"/>
        </w:rPr>
        <w:t xml:space="preserve">   </w:t>
      </w:r>
      <w:r>
        <w:rPr>
          <w:rFonts w:hint="eastAsia" w:ascii="宋体" w:hAnsi="宋体"/>
          <w:color w:val="000000"/>
          <w:szCs w:val="21"/>
        </w:rPr>
        <w:t>级注册建筑师</w:t>
      </w:r>
      <w:r>
        <w:rPr>
          <w:rFonts w:hint="eastAsia" w:ascii="宋体" w:hAnsi="宋体"/>
          <w:color w:val="000000"/>
          <w:szCs w:val="21"/>
          <w:u w:val="single"/>
        </w:rPr>
        <w:t>或</w:t>
      </w:r>
      <w:r>
        <w:rPr>
          <w:rFonts w:hint="eastAsia" w:ascii="宋体" w:hAnsi="宋体"/>
          <w:color w:val="000000"/>
          <w:szCs w:val="21"/>
        </w:rPr>
        <w:t>注册结构工程师</w:t>
      </w:r>
      <w:r>
        <w:rPr>
          <w:rFonts w:hint="eastAsia" w:ascii="宋体" w:hAnsi="宋体"/>
          <w:color w:val="000000"/>
          <w:szCs w:val="21"/>
          <w:u w:val="single"/>
        </w:rPr>
        <w:t>或</w:t>
      </w:r>
      <w:r>
        <w:rPr>
          <w:rFonts w:hint="eastAsia" w:ascii="宋体" w:hAnsi="宋体"/>
          <w:color w:val="000000"/>
          <w:szCs w:val="21"/>
        </w:rPr>
        <w:t>注册建造师或注册监理工程师和    级及以上职称（</w:t>
      </w:r>
      <w:r>
        <w:rPr>
          <w:rFonts w:hint="eastAsia" w:ascii="宋体" w:hAnsi="宋体"/>
          <w:b/>
          <w:color w:val="000000"/>
          <w:szCs w:val="21"/>
        </w:rPr>
        <w:t>联合体投标的，需为牵头单位员工）</w:t>
      </w:r>
      <w:r>
        <w:rPr>
          <w:rFonts w:hint="eastAsia" w:ascii="宋体" w:hAnsi="宋体"/>
          <w:color w:val="000000"/>
          <w:szCs w:val="21"/>
        </w:rPr>
        <w:t>，已录入广西建筑业企业诚信信息库并处于有效状态，不得同时在两个或者两个以上工程项目担任施工项目经理</w:t>
      </w:r>
      <w:r>
        <w:rPr>
          <w:rFonts w:hint="eastAsia" w:ascii="宋体" w:hAnsi="宋体"/>
          <w:color w:val="000000"/>
          <w:szCs w:val="21"/>
          <w:u w:val="single"/>
        </w:rPr>
        <w:t>或</w:t>
      </w:r>
      <w:r>
        <w:rPr>
          <w:rFonts w:hint="eastAsia" w:ascii="宋体" w:hAnsi="宋体"/>
          <w:color w:val="000000"/>
          <w:szCs w:val="21"/>
        </w:rPr>
        <w:t>工程总承包项目经理</w:t>
      </w:r>
      <w:r>
        <w:rPr>
          <w:rFonts w:hint="eastAsia" w:ascii="宋体" w:hAnsi="宋体"/>
          <w:color w:val="000000"/>
          <w:szCs w:val="21"/>
          <w:u w:val="single"/>
        </w:rPr>
        <w:t>或</w:t>
      </w:r>
      <w:r>
        <w:rPr>
          <w:rFonts w:hint="eastAsia" w:ascii="宋体" w:hAnsi="宋体"/>
          <w:color w:val="000000"/>
          <w:szCs w:val="21"/>
        </w:rPr>
        <w:t>项目总监理工程师，不接受有在建、已中标未开工或已列为其他项目中标候选人第一名的施工项目经理</w:t>
      </w:r>
      <w:r>
        <w:rPr>
          <w:rFonts w:hint="eastAsia" w:ascii="宋体" w:hAnsi="宋体"/>
          <w:color w:val="000000"/>
          <w:szCs w:val="21"/>
          <w:u w:val="single"/>
        </w:rPr>
        <w:t>或</w:t>
      </w:r>
      <w:r>
        <w:rPr>
          <w:rFonts w:hint="eastAsia" w:ascii="宋体" w:hAnsi="宋体"/>
          <w:color w:val="000000"/>
          <w:szCs w:val="21"/>
        </w:rPr>
        <w:t>工程总承包项目经理</w:t>
      </w:r>
      <w:r>
        <w:rPr>
          <w:rFonts w:hint="eastAsia" w:ascii="宋体" w:hAnsi="宋体"/>
          <w:color w:val="000000"/>
          <w:szCs w:val="21"/>
          <w:u w:val="single"/>
        </w:rPr>
        <w:t>或</w:t>
      </w:r>
      <w:r>
        <w:rPr>
          <w:rFonts w:hint="eastAsia" w:ascii="宋体" w:hAnsi="宋体"/>
          <w:color w:val="000000"/>
          <w:szCs w:val="21"/>
        </w:rPr>
        <w:t>项目总监理工程师作为工程总承包项目经理（符合《广西壮族自治区建筑市场诚信卡管理暂行办法》第十六条第一款及桂建管</w:t>
      </w:r>
      <w:r>
        <w:rPr>
          <w:color w:val="000000"/>
          <w:szCs w:val="21"/>
        </w:rPr>
        <w:t>﹝</w:t>
      </w:r>
      <w:r>
        <w:rPr>
          <w:rFonts w:hint="eastAsia"/>
          <w:color w:val="000000"/>
          <w:kern w:val="0"/>
          <w:szCs w:val="21"/>
        </w:rPr>
        <w:t>2016</w:t>
      </w:r>
      <w:r>
        <w:rPr>
          <w:color w:val="000000"/>
          <w:szCs w:val="21"/>
        </w:rPr>
        <w:t>﹞</w:t>
      </w:r>
      <w:r>
        <w:rPr>
          <w:rFonts w:hint="eastAsia" w:ascii="宋体" w:hAnsi="宋体"/>
          <w:color w:val="000000"/>
          <w:szCs w:val="21"/>
        </w:rPr>
        <w:t>70号文除外）。要求担任过与拟建项目相类似的工程总承包项目经理、设计项目负责人、施工项目经理或者项目总监理工程师。</w:t>
      </w:r>
    </w:p>
    <w:p>
      <w:pPr>
        <w:spacing w:line="360" w:lineRule="auto"/>
        <w:ind w:firstLine="420" w:firstLineChars="200"/>
        <w:rPr>
          <w:rFonts w:ascii="宋体" w:hAnsi="宋体"/>
          <w:color w:val="000000"/>
          <w:szCs w:val="21"/>
        </w:rPr>
      </w:pPr>
      <w:r>
        <w:rPr>
          <w:rFonts w:hint="eastAsia"/>
          <w:color w:val="000000"/>
          <w:szCs w:val="21"/>
        </w:rPr>
        <w:t>3.2.2项目</w:t>
      </w:r>
      <w:r>
        <w:rPr>
          <w:rFonts w:ascii="宋体" w:hAnsi="宋体"/>
          <w:color w:val="000000"/>
          <w:szCs w:val="21"/>
        </w:rPr>
        <w:t>设计负责人：具有</w:t>
      </w:r>
      <w:r>
        <w:rPr>
          <w:rFonts w:hint="eastAsia" w:ascii="宋体" w:hAnsi="宋体"/>
          <w:color w:val="000000"/>
          <w:szCs w:val="21"/>
          <w:u w:val="single"/>
        </w:rPr>
        <w:t xml:space="preserve">  </w:t>
      </w:r>
      <w:r>
        <w:rPr>
          <w:rFonts w:ascii="宋体" w:hAnsi="宋体"/>
          <w:color w:val="000000"/>
          <w:szCs w:val="21"/>
        </w:rPr>
        <w:t>级注册</w:t>
      </w:r>
      <w:r>
        <w:rPr>
          <w:rFonts w:hint="eastAsia" w:ascii="宋体" w:hAnsi="宋体"/>
          <w:color w:val="000000"/>
          <w:szCs w:val="21"/>
        </w:rPr>
        <w:t>建筑师证书</w:t>
      </w:r>
      <w:r>
        <w:rPr>
          <w:rFonts w:ascii="宋体" w:hAnsi="宋体"/>
          <w:color w:val="000000"/>
          <w:szCs w:val="21"/>
        </w:rPr>
        <w:t>和</w:t>
      </w:r>
      <w:r>
        <w:rPr>
          <w:rFonts w:hint="eastAsia" w:ascii="宋体" w:hAnsi="宋体"/>
          <w:color w:val="000000"/>
          <w:szCs w:val="21"/>
          <w:u w:val="single"/>
        </w:rPr>
        <w:t xml:space="preserve">    </w:t>
      </w:r>
      <w:r>
        <w:rPr>
          <w:rFonts w:hint="eastAsia" w:ascii="宋体" w:hAnsi="宋体"/>
          <w:color w:val="000000"/>
          <w:szCs w:val="21"/>
        </w:rPr>
        <w:t>专业</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rPr>
        <w:t>级职称</w:t>
      </w:r>
      <w:r>
        <w:rPr>
          <w:rFonts w:hint="eastAsia" w:ascii="宋体" w:hAnsi="宋体"/>
          <w:color w:val="000000"/>
          <w:szCs w:val="21"/>
        </w:rPr>
        <w:t>。【备注：涉及市政道桥专业等尚未实行注册制的设相关专业高级职称要求即可】</w:t>
      </w:r>
    </w:p>
    <w:p>
      <w:pPr>
        <w:spacing w:line="360" w:lineRule="auto"/>
        <w:ind w:firstLine="420" w:firstLineChars="200"/>
        <w:rPr>
          <w:rFonts w:hint="eastAsia" w:ascii="宋体" w:hAnsi="宋体"/>
          <w:color w:val="000000"/>
          <w:szCs w:val="21"/>
        </w:rPr>
      </w:pPr>
      <w:r>
        <w:rPr>
          <w:rFonts w:hint="eastAsia"/>
          <w:color w:val="000000"/>
          <w:szCs w:val="21"/>
        </w:rPr>
        <w:t>3.2.3施工</w:t>
      </w:r>
      <w:r>
        <w:rPr>
          <w:rFonts w:hint="eastAsia" w:ascii="宋体" w:hAnsi="宋体"/>
          <w:color w:val="000000"/>
          <w:szCs w:val="21"/>
        </w:rPr>
        <w:t>项目经理</w:t>
      </w:r>
      <w:r>
        <w:rPr>
          <w:rFonts w:ascii="宋体" w:hAnsi="宋体"/>
          <w:color w:val="000000"/>
          <w:szCs w:val="21"/>
        </w:rPr>
        <w:t>：具有</w:t>
      </w:r>
      <w:r>
        <w:rPr>
          <w:rFonts w:hint="eastAsia" w:ascii="宋体" w:hAnsi="宋体"/>
          <w:color w:val="000000"/>
          <w:szCs w:val="21"/>
          <w:u w:val="single"/>
        </w:rPr>
        <w:t xml:space="preserve">    </w:t>
      </w:r>
      <w:r>
        <w:rPr>
          <w:rFonts w:ascii="宋体" w:hAnsi="宋体"/>
          <w:color w:val="000000"/>
          <w:szCs w:val="21"/>
        </w:rPr>
        <w:t>专业的</w:t>
      </w:r>
      <w:r>
        <w:rPr>
          <w:rFonts w:hint="eastAsia" w:ascii="宋体" w:hAnsi="宋体"/>
          <w:color w:val="000000"/>
          <w:szCs w:val="21"/>
          <w:u w:val="single"/>
        </w:rPr>
        <w:t xml:space="preserve">  </w:t>
      </w:r>
      <w:r>
        <w:rPr>
          <w:rFonts w:ascii="宋体" w:hAnsi="宋体"/>
          <w:color w:val="000000"/>
          <w:szCs w:val="21"/>
        </w:rPr>
        <w:t>级以上（含</w:t>
      </w:r>
      <w:r>
        <w:rPr>
          <w:rFonts w:hint="eastAsia" w:ascii="宋体" w:hAnsi="宋体"/>
          <w:color w:val="000000"/>
          <w:szCs w:val="21"/>
          <w:u w:val="single"/>
        </w:rPr>
        <w:t xml:space="preserve">  </w:t>
      </w:r>
      <w:r>
        <w:rPr>
          <w:rFonts w:ascii="宋体" w:hAnsi="宋体"/>
          <w:color w:val="000000"/>
          <w:szCs w:val="21"/>
        </w:rPr>
        <w:t>级）注册建造师</w:t>
      </w:r>
      <w:r>
        <w:rPr>
          <w:rFonts w:hint="eastAsia" w:ascii="宋体" w:hAnsi="宋体"/>
          <w:color w:val="000000"/>
          <w:szCs w:val="21"/>
        </w:rPr>
        <w:t>证书</w:t>
      </w:r>
      <w:r>
        <w:rPr>
          <w:rFonts w:ascii="宋体" w:hAnsi="宋体"/>
          <w:color w:val="000000"/>
          <w:szCs w:val="21"/>
        </w:rPr>
        <w:t>和</w:t>
      </w:r>
      <w:r>
        <w:rPr>
          <w:rFonts w:hint="eastAsia" w:ascii="宋体" w:hAnsi="宋体"/>
          <w:color w:val="000000"/>
          <w:szCs w:val="21"/>
        </w:rPr>
        <w:t xml:space="preserve">  </w:t>
      </w:r>
      <w:r>
        <w:rPr>
          <w:rFonts w:ascii="宋体" w:hAnsi="宋体"/>
          <w:color w:val="000000"/>
          <w:szCs w:val="21"/>
        </w:rPr>
        <w:t>级及以上职称</w:t>
      </w:r>
      <w:r>
        <w:rPr>
          <w:rFonts w:hint="eastAsia" w:ascii="宋体" w:hAnsi="宋体"/>
          <w:color w:val="000000"/>
          <w:szCs w:val="21"/>
        </w:rPr>
        <w:t>，已录入广西建筑业企业诚信信息库并处于有效状态，具备有效的安全生产考核合格证书（B类）。本项目不接受有在建、已中标未开工或已列为其他项目中标候选人第一名的施工项目经理、工程总承包项目经理作为施工项目经理（符合《广西壮族自治区建筑市场诚信卡管理暂行办法》第十六条第一款及桂建管</w:t>
      </w:r>
      <w:r>
        <w:rPr>
          <w:color w:val="000000"/>
          <w:szCs w:val="21"/>
        </w:rPr>
        <w:t>﹝</w:t>
      </w:r>
      <w:r>
        <w:rPr>
          <w:rFonts w:hint="eastAsia"/>
          <w:color w:val="000000"/>
          <w:kern w:val="0"/>
          <w:szCs w:val="21"/>
        </w:rPr>
        <w:t>2016</w:t>
      </w:r>
      <w:r>
        <w:rPr>
          <w:color w:val="000000"/>
          <w:szCs w:val="21"/>
        </w:rPr>
        <w:t>﹞</w:t>
      </w:r>
      <w:r>
        <w:rPr>
          <w:rFonts w:hint="eastAsia" w:ascii="宋体" w:hAnsi="宋体"/>
          <w:color w:val="000000"/>
          <w:szCs w:val="21"/>
        </w:rPr>
        <w:t>70号文除外）。</w:t>
      </w:r>
    </w:p>
    <w:p>
      <w:pPr>
        <w:spacing w:line="360" w:lineRule="auto"/>
        <w:ind w:firstLine="525" w:firstLineChars="250"/>
        <w:rPr>
          <w:color w:val="000000"/>
        </w:rPr>
      </w:pPr>
      <w:r>
        <w:rPr>
          <w:rFonts w:hint="eastAsia" w:ascii="宋体" w:hAnsi="宋体"/>
          <w:color w:val="000000"/>
          <w:szCs w:val="21"/>
        </w:rPr>
        <w:t>3</w:t>
      </w:r>
      <w:r>
        <w:rPr>
          <w:rFonts w:hint="eastAsia"/>
          <w:color w:val="000000"/>
          <w:szCs w:val="21"/>
        </w:rPr>
        <w:t>.</w:t>
      </w:r>
      <w:r>
        <w:rPr>
          <w:rFonts w:hint="eastAsia" w:ascii="宋体" w:hAnsi="宋体"/>
          <w:color w:val="000000"/>
          <w:szCs w:val="21"/>
        </w:rPr>
        <w:t>2</w:t>
      </w:r>
      <w:r>
        <w:rPr>
          <w:rFonts w:hint="eastAsia"/>
          <w:color w:val="000000"/>
          <w:szCs w:val="21"/>
        </w:rPr>
        <w:t xml:space="preserve"> .</w:t>
      </w:r>
      <w:r>
        <w:rPr>
          <w:rFonts w:ascii="宋体" w:hAnsi="宋体"/>
          <w:color w:val="000000"/>
          <w:szCs w:val="21"/>
        </w:rPr>
        <w:t>4</w:t>
      </w:r>
      <w:r>
        <w:rPr>
          <w:rFonts w:hint="eastAsia" w:ascii="宋体" w:hAnsi="宋体"/>
          <w:color w:val="000000"/>
          <w:szCs w:val="21"/>
        </w:rPr>
        <w:t xml:space="preserve"> 项目施工专职安全生产管理人员：</w:t>
      </w:r>
      <w:r>
        <w:rPr>
          <w:rFonts w:hint="eastAsia"/>
          <w:color w:val="000000"/>
        </w:rPr>
        <w:t>已录入广西建筑业企业诚信信息库并处于有效状态，具备有效的专职安全生产管理人员安全生产考核合格证书（C类）。</w:t>
      </w:r>
    </w:p>
    <w:p>
      <w:pPr>
        <w:spacing w:line="360" w:lineRule="auto"/>
        <w:ind w:firstLine="525" w:firstLineChars="250"/>
        <w:rPr>
          <w:rFonts w:hint="eastAsia"/>
          <w:color w:val="000000"/>
        </w:rPr>
      </w:pPr>
      <w:r>
        <w:rPr>
          <w:rFonts w:hint="eastAsia"/>
          <w:color w:val="000000"/>
          <w:szCs w:val="21"/>
        </w:rPr>
        <w:t>3.</w:t>
      </w:r>
      <w:r>
        <w:rPr>
          <w:color w:val="000000"/>
          <w:szCs w:val="21"/>
        </w:rPr>
        <w:t>3</w:t>
      </w:r>
      <w:r>
        <w:rPr>
          <w:rFonts w:hint="eastAsia"/>
          <w:color w:val="000000"/>
          <w:szCs w:val="21"/>
        </w:rPr>
        <w:t xml:space="preserve"> 业绩要求：□无要求  □有要求，要求</w:t>
      </w:r>
      <w:r>
        <w:rPr>
          <w:rFonts w:hint="eastAsia"/>
          <w:color w:val="000000"/>
          <w:szCs w:val="21"/>
          <w:u w:val="single"/>
        </w:rPr>
        <w:t xml:space="preserve">    </w:t>
      </w:r>
      <w:r>
        <w:rPr>
          <w:rFonts w:hint="eastAsia"/>
          <w:color w:val="000000"/>
          <w:szCs w:val="21"/>
        </w:rPr>
        <w:t>年（应填写年份）以来□完成过质量合格的类似工程业绩 □承接过类似工程业绩，类似工程指：</w:t>
      </w:r>
      <w:r>
        <w:rPr>
          <w:rFonts w:hint="eastAsia"/>
          <w:color w:val="000000"/>
          <w:szCs w:val="21"/>
          <w:u w:val="single"/>
        </w:rPr>
        <w:t xml:space="preserve">                    </w:t>
      </w:r>
      <w:r>
        <w:rPr>
          <w:rFonts w:hint="eastAsia"/>
          <w:color w:val="000000"/>
          <w:szCs w:val="21"/>
        </w:rPr>
        <w:t>。</w:t>
      </w:r>
    </w:p>
    <w:p>
      <w:pPr>
        <w:spacing w:line="360" w:lineRule="auto"/>
        <w:ind w:firstLine="420" w:firstLineChars="200"/>
        <w:rPr>
          <w:color w:val="000000"/>
        </w:rPr>
      </w:pPr>
      <w:r>
        <w:rPr>
          <w:color w:val="000000"/>
        </w:rPr>
        <w:t>3.4 本次招标接受联合体投标。联合体投标的，应满足下列要求：</w:t>
      </w:r>
    </w:p>
    <w:p>
      <w:pPr>
        <w:spacing w:after="120" w:afterLines="50" w:line="380" w:lineRule="exact"/>
        <w:ind w:firstLine="420" w:firstLineChars="200"/>
        <w:rPr>
          <w:rFonts w:ascii="宋体" w:hAnsi="宋体"/>
          <w:color w:val="000000"/>
          <w:szCs w:val="21"/>
        </w:rPr>
      </w:pPr>
      <w:r>
        <w:rPr>
          <w:rFonts w:hint="eastAsia"/>
          <w:color w:val="000000"/>
          <w:szCs w:val="21"/>
        </w:rPr>
        <w:t>3.</w:t>
      </w:r>
      <w:r>
        <w:rPr>
          <w:color w:val="000000"/>
          <w:szCs w:val="21"/>
        </w:rPr>
        <w:t>4</w:t>
      </w:r>
      <w:r>
        <w:rPr>
          <w:rFonts w:hint="eastAsia"/>
          <w:color w:val="000000"/>
          <w:szCs w:val="21"/>
        </w:rPr>
        <w:t>.1本项目接受联合体投标。</w:t>
      </w:r>
      <w:r>
        <w:rPr>
          <w:rFonts w:ascii="宋体" w:hAnsi="宋体"/>
          <w:color w:val="000000"/>
          <w:szCs w:val="21"/>
        </w:rPr>
        <w:t>联合体成员</w:t>
      </w:r>
      <w:r>
        <w:rPr>
          <w:rFonts w:hint="eastAsia" w:ascii="宋体" w:hAnsi="宋体"/>
          <w:color w:val="000000"/>
          <w:szCs w:val="21"/>
        </w:rPr>
        <w:t>可</w:t>
      </w:r>
      <w:r>
        <w:rPr>
          <w:rFonts w:ascii="宋体" w:hAnsi="宋体"/>
          <w:color w:val="000000"/>
          <w:szCs w:val="21"/>
        </w:rPr>
        <w:t>由</w:t>
      </w:r>
      <w:r>
        <w:rPr>
          <w:rFonts w:hint="eastAsia" w:ascii="宋体" w:hAnsi="宋体"/>
          <w:color w:val="000000"/>
          <w:szCs w:val="21"/>
        </w:rPr>
        <w:t>设计单位和施工单位</w:t>
      </w:r>
      <w:r>
        <w:rPr>
          <w:rFonts w:ascii="宋体" w:hAnsi="宋体"/>
          <w:color w:val="000000"/>
          <w:szCs w:val="21"/>
        </w:rPr>
        <w:t>组成，联合体各方均应符合</w:t>
      </w:r>
      <w:r>
        <w:rPr>
          <w:rFonts w:hint="eastAsia" w:ascii="宋体" w:hAnsi="宋体"/>
          <w:color w:val="000000"/>
          <w:szCs w:val="21"/>
        </w:rPr>
        <w:t>“具有独立法人资格”、</w:t>
      </w:r>
      <w:r>
        <w:rPr>
          <w:rFonts w:ascii="宋体" w:hAnsi="宋体"/>
          <w:color w:val="000000"/>
          <w:szCs w:val="21"/>
        </w:rPr>
        <w:t>“具有独立承担民事责任的能力”的条件</w:t>
      </w:r>
      <w:r>
        <w:rPr>
          <w:rFonts w:hint="eastAsia" w:ascii="宋体" w:hAnsi="宋体"/>
          <w:color w:val="000000"/>
          <w:szCs w:val="21"/>
        </w:rPr>
        <w:t>，其中施工单位须具备有效的安全生产许可证。</w:t>
      </w:r>
    </w:p>
    <w:p>
      <w:pPr>
        <w:spacing w:line="380" w:lineRule="exact"/>
        <w:ind w:firstLine="420" w:firstLineChars="200"/>
        <w:rPr>
          <w:color w:val="000000"/>
          <w:szCs w:val="21"/>
        </w:rPr>
      </w:pPr>
      <w:r>
        <w:rPr>
          <w:rFonts w:hint="eastAsia"/>
          <w:color w:val="000000"/>
          <w:szCs w:val="21"/>
        </w:rPr>
        <w:t>3.</w:t>
      </w:r>
      <w:r>
        <w:rPr>
          <w:color w:val="000000"/>
          <w:szCs w:val="21"/>
        </w:rPr>
        <w:t>4</w:t>
      </w:r>
      <w:r>
        <w:rPr>
          <w:rFonts w:hint="eastAsia"/>
          <w:color w:val="000000"/>
          <w:szCs w:val="21"/>
        </w:rPr>
        <w:t>.2联合体各方应当签订联合体协议书，其中联合体牵头人代表联合体各方成员负责投标和合同实施阶段的主办、协调工作，但联合体其他成员在投标、签约与履行合同过程中，负有连带的和各自的法律责任。</w:t>
      </w:r>
    </w:p>
    <w:p>
      <w:pPr>
        <w:spacing w:line="380" w:lineRule="exact"/>
        <w:ind w:firstLine="420" w:firstLineChars="200"/>
        <w:rPr>
          <w:color w:val="000000"/>
          <w:szCs w:val="21"/>
        </w:rPr>
      </w:pPr>
      <w:r>
        <w:rPr>
          <w:rFonts w:hint="eastAsia"/>
          <w:color w:val="000000"/>
          <w:szCs w:val="21"/>
        </w:rPr>
        <w:t>3.</w:t>
      </w:r>
      <w:r>
        <w:rPr>
          <w:color w:val="000000"/>
          <w:szCs w:val="21"/>
        </w:rPr>
        <w:t>4</w:t>
      </w:r>
      <w:r>
        <w:rPr>
          <w:rFonts w:hint="eastAsia"/>
          <w:color w:val="000000"/>
          <w:szCs w:val="21"/>
        </w:rPr>
        <w:t>.3组成联合体进行投标的设计或施工单位不得再以自己的名义单独参与同一标段的投标，也不得组成新的联合体参与同一标段的投标。</w:t>
      </w:r>
    </w:p>
    <w:p>
      <w:pPr>
        <w:spacing w:line="360" w:lineRule="auto"/>
        <w:ind w:firstLine="420" w:firstLineChars="200"/>
        <w:rPr>
          <w:rFonts w:ascii="宋体" w:hAnsi="宋体"/>
          <w:color w:val="000000"/>
          <w:szCs w:val="21"/>
        </w:rPr>
      </w:pPr>
      <w:r>
        <w:rPr>
          <w:rFonts w:hint="eastAsia"/>
          <w:color w:val="000000"/>
          <w:szCs w:val="21"/>
        </w:rPr>
        <w:t>3.</w:t>
      </w:r>
      <w:r>
        <w:rPr>
          <w:color w:val="000000"/>
          <w:szCs w:val="21"/>
        </w:rPr>
        <w:t>4</w:t>
      </w:r>
      <w:r>
        <w:rPr>
          <w:rFonts w:hint="eastAsia"/>
          <w:color w:val="000000"/>
          <w:szCs w:val="21"/>
        </w:rPr>
        <w:t>.4</w:t>
      </w:r>
      <w:r>
        <w:rPr>
          <w:rFonts w:hint="eastAsia" w:ascii="宋体" w:hAnsi="宋体"/>
          <w:color w:val="000000"/>
          <w:szCs w:val="21"/>
        </w:rPr>
        <w:t>联合体各方应分别在人员、设备、资金等方面具有承担本项目联合体协议书分工职责范围内的履约能力。</w:t>
      </w:r>
    </w:p>
    <w:p>
      <w:pPr>
        <w:spacing w:line="360" w:lineRule="auto"/>
        <w:ind w:firstLine="420" w:firstLineChars="200"/>
        <w:rPr>
          <w:rFonts w:hint="eastAsia" w:ascii="宋体" w:hAnsi="宋体"/>
          <w:color w:val="000000"/>
          <w:szCs w:val="21"/>
        </w:rPr>
      </w:pPr>
      <w:r>
        <w:rPr>
          <w:rFonts w:hint="eastAsia"/>
          <w:color w:val="000000"/>
          <w:szCs w:val="21"/>
        </w:rPr>
        <w:t>3.</w:t>
      </w:r>
      <w:r>
        <w:rPr>
          <w:color w:val="000000"/>
          <w:szCs w:val="21"/>
        </w:rPr>
        <w:t>4</w:t>
      </w:r>
      <w:r>
        <w:rPr>
          <w:rFonts w:hint="eastAsia"/>
          <w:color w:val="000000"/>
          <w:szCs w:val="21"/>
        </w:rPr>
        <w:t>.5</w:t>
      </w:r>
      <w:r>
        <w:rPr>
          <w:rFonts w:hint="eastAsia" w:ascii="宋体" w:hAnsi="宋体"/>
          <w:color w:val="000000"/>
          <w:szCs w:val="21"/>
        </w:rPr>
        <w:t>联合体中有同类资质的企业按照联合体协议书分工承担相同工作的，应当按照资质等级较低的企业确定联合体资质等级，并按照企业信誉实力评分较低的企业确定企业信誉实力分。</w:t>
      </w:r>
    </w:p>
    <w:p>
      <w:pPr>
        <w:spacing w:line="360" w:lineRule="auto"/>
        <w:ind w:firstLine="420" w:firstLineChars="200"/>
        <w:rPr>
          <w:color w:val="000000"/>
        </w:rPr>
      </w:pPr>
      <w:r>
        <w:rPr>
          <w:color w:val="000000"/>
        </w:rPr>
        <w:t>3.5 各投标人可就本招标项目的所有标段进行投标，并允许中标</w:t>
      </w:r>
      <w:r>
        <w:rPr>
          <w:rFonts w:hint="eastAsia"/>
          <w:color w:val="000000"/>
        </w:rPr>
        <w:t>其中</w:t>
      </w:r>
      <w:r>
        <w:rPr>
          <w:rFonts w:hint="eastAsia"/>
          <w:color w:val="000000"/>
          <w:u w:val="single"/>
        </w:rPr>
        <w:t xml:space="preserve">□一个/□多个/□所有  </w:t>
      </w:r>
      <w:r>
        <w:rPr>
          <w:rFonts w:hint="eastAsia"/>
          <w:color w:val="000000"/>
        </w:rPr>
        <w:t>标段（由招标人事先确定）</w:t>
      </w:r>
      <w:r>
        <w:rPr>
          <w:color w:val="000000"/>
        </w:rPr>
        <w:t>。但投标人应就</w:t>
      </w:r>
      <w:r>
        <w:rPr>
          <w:color w:val="000000"/>
          <w:szCs w:val="21"/>
        </w:rPr>
        <w:t>不同标段派出不同的</w:t>
      </w:r>
      <w:r>
        <w:rPr>
          <w:rFonts w:hint="eastAsia"/>
          <w:color w:val="000000"/>
          <w:szCs w:val="21"/>
        </w:rPr>
        <w:t>工程总承包项目经理</w:t>
      </w:r>
      <w:r>
        <w:rPr>
          <w:color w:val="000000"/>
          <w:szCs w:val="21"/>
        </w:rPr>
        <w:t>、</w:t>
      </w:r>
      <w:r>
        <w:rPr>
          <w:rFonts w:hint="eastAsia"/>
          <w:color w:val="000000"/>
          <w:szCs w:val="21"/>
        </w:rPr>
        <w:t>施工项目经理</w:t>
      </w:r>
      <w:r>
        <w:rPr>
          <w:color w:val="000000"/>
          <w:szCs w:val="21"/>
        </w:rPr>
        <w:t>和项目</w:t>
      </w:r>
      <w:r>
        <w:rPr>
          <w:rFonts w:hint="eastAsia"/>
          <w:color w:val="000000"/>
          <w:szCs w:val="21"/>
        </w:rPr>
        <w:t>施工</w:t>
      </w:r>
      <w:r>
        <w:rPr>
          <w:color w:val="000000"/>
          <w:szCs w:val="21"/>
        </w:rPr>
        <w:t>专职安全生产管理人员，否则同一</w:t>
      </w:r>
      <w:r>
        <w:rPr>
          <w:rFonts w:hint="eastAsia"/>
          <w:color w:val="000000"/>
          <w:szCs w:val="21"/>
        </w:rPr>
        <w:t>工程总承包项目经理、施工项目经理</w:t>
      </w:r>
      <w:r>
        <w:rPr>
          <w:color w:val="000000"/>
          <w:szCs w:val="21"/>
        </w:rPr>
        <w:t>或项目</w:t>
      </w:r>
      <w:r>
        <w:rPr>
          <w:rFonts w:hint="eastAsia"/>
          <w:color w:val="000000"/>
          <w:szCs w:val="21"/>
        </w:rPr>
        <w:t>施工</w:t>
      </w:r>
      <w:r>
        <w:rPr>
          <w:color w:val="000000"/>
          <w:szCs w:val="21"/>
        </w:rPr>
        <w:t>专职安全生产管理人员所</w:t>
      </w:r>
      <w:r>
        <w:rPr>
          <w:rFonts w:hint="eastAsia"/>
          <w:color w:val="000000"/>
          <w:szCs w:val="21"/>
        </w:rPr>
        <w:t>参与</w:t>
      </w:r>
      <w:r>
        <w:rPr>
          <w:color w:val="000000"/>
          <w:szCs w:val="21"/>
        </w:rPr>
        <w:t>其它标段作否决投标处理</w:t>
      </w:r>
      <w:r>
        <w:rPr>
          <w:color w:val="000000"/>
        </w:rPr>
        <w:t>（符合桂建管</w:t>
      </w:r>
      <w:r>
        <w:rPr>
          <w:color w:val="000000"/>
          <w:szCs w:val="21"/>
        </w:rPr>
        <w:t>﹝2013﹞</w:t>
      </w:r>
      <w:r>
        <w:rPr>
          <w:color w:val="000000"/>
        </w:rPr>
        <w:t>17号</w:t>
      </w:r>
      <w:r>
        <w:rPr>
          <w:rFonts w:hint="eastAsia"/>
          <w:color w:val="000000"/>
        </w:rPr>
        <w:t>、</w:t>
      </w:r>
      <w:r>
        <w:rPr>
          <w:rFonts w:hint="eastAsia" w:ascii="宋体" w:hAnsi="宋体"/>
          <w:color w:val="000000"/>
          <w:szCs w:val="21"/>
        </w:rPr>
        <w:t>桂建管</w:t>
      </w:r>
      <w:r>
        <w:rPr>
          <w:color w:val="000000"/>
          <w:szCs w:val="21"/>
        </w:rPr>
        <w:t>﹝</w:t>
      </w:r>
      <w:r>
        <w:rPr>
          <w:rFonts w:hint="eastAsia"/>
          <w:color w:val="000000"/>
          <w:kern w:val="0"/>
          <w:szCs w:val="21"/>
        </w:rPr>
        <w:t>2016</w:t>
      </w:r>
      <w:r>
        <w:rPr>
          <w:color w:val="000000"/>
          <w:szCs w:val="21"/>
        </w:rPr>
        <w:t>﹞</w:t>
      </w:r>
      <w:r>
        <w:rPr>
          <w:rFonts w:hint="eastAsia" w:ascii="宋体" w:hAnsi="宋体"/>
          <w:color w:val="000000"/>
          <w:szCs w:val="21"/>
        </w:rPr>
        <w:t>70号文</w:t>
      </w:r>
      <w:r>
        <w:rPr>
          <w:color w:val="000000"/>
          <w:kern w:val="0"/>
          <w:szCs w:val="21"/>
        </w:rPr>
        <w:t>和</w:t>
      </w:r>
      <w:r>
        <w:rPr>
          <w:color w:val="000000"/>
        </w:rPr>
        <w:t>桂建管</w:t>
      </w:r>
      <w:r>
        <w:rPr>
          <w:color w:val="000000"/>
          <w:szCs w:val="21"/>
        </w:rPr>
        <w:t>﹝2014﹞</w:t>
      </w:r>
      <w:r>
        <w:rPr>
          <w:color w:val="000000"/>
        </w:rPr>
        <w:t>25号</w:t>
      </w:r>
      <w:r>
        <w:rPr>
          <w:color w:val="000000"/>
          <w:kern w:val="0"/>
          <w:szCs w:val="21"/>
        </w:rPr>
        <w:t>文除外</w:t>
      </w:r>
      <w:r>
        <w:rPr>
          <w:color w:val="000000"/>
        </w:rPr>
        <w:t>）。</w:t>
      </w:r>
    </w:p>
    <w:p>
      <w:pPr>
        <w:spacing w:line="360" w:lineRule="auto"/>
        <w:ind w:firstLine="420" w:firstLineChars="200"/>
        <w:rPr>
          <w:color w:val="000000"/>
        </w:rPr>
      </w:pPr>
      <w:r>
        <w:rPr>
          <w:rFonts w:hint="eastAsia"/>
          <w:color w:val="000000"/>
        </w:rPr>
        <w:t>3.</w:t>
      </w:r>
      <w:r>
        <w:rPr>
          <w:color w:val="000000"/>
        </w:rPr>
        <w:t>6</w:t>
      </w:r>
      <w:r>
        <w:rPr>
          <w:rFonts w:hint="eastAsia"/>
          <w:color w:val="000000"/>
        </w:rPr>
        <w:t>投标人（如为联合体投标的要求其联合体中施工单位）信息以广西建筑业企业诚信信息库为准。</w:t>
      </w:r>
    </w:p>
    <w:p>
      <w:pPr>
        <w:pStyle w:val="3"/>
        <w:spacing w:line="360" w:lineRule="auto"/>
        <w:rPr>
          <w:rFonts w:ascii="宋体" w:hAnsi="宋体" w:eastAsia="宋体"/>
          <w:color w:val="000000"/>
          <w:sz w:val="24"/>
          <w:szCs w:val="24"/>
        </w:rPr>
      </w:pPr>
      <w:bookmarkStart w:id="124" w:name="_Toc419320089"/>
      <w:bookmarkStart w:id="125" w:name="_Toc419364216"/>
      <w:bookmarkStart w:id="126" w:name="_Toc395382369"/>
      <w:bookmarkStart w:id="127" w:name="_Toc433988559"/>
      <w:bookmarkStart w:id="128" w:name="_Toc59202995"/>
      <w:bookmarkStart w:id="129" w:name="_Toc389065136"/>
      <w:bookmarkStart w:id="130" w:name="_Toc419363492"/>
      <w:bookmarkStart w:id="131" w:name="_Toc419321125"/>
      <w:r>
        <w:rPr>
          <w:rFonts w:ascii="宋体" w:hAnsi="宋体" w:eastAsia="宋体"/>
          <w:color w:val="000000"/>
          <w:sz w:val="24"/>
          <w:szCs w:val="24"/>
        </w:rPr>
        <w:t>4. 招标文件的获取</w:t>
      </w:r>
      <w:bookmarkEnd w:id="124"/>
      <w:bookmarkEnd w:id="125"/>
      <w:bookmarkEnd w:id="126"/>
      <w:bookmarkEnd w:id="127"/>
      <w:bookmarkEnd w:id="128"/>
      <w:bookmarkEnd w:id="129"/>
      <w:bookmarkEnd w:id="130"/>
      <w:bookmarkEnd w:id="131"/>
    </w:p>
    <w:p>
      <w:pPr>
        <w:spacing w:line="360" w:lineRule="auto"/>
        <w:ind w:firstLine="420" w:firstLineChars="200"/>
        <w:rPr>
          <w:color w:val="000000"/>
        </w:rPr>
      </w:pP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分至投标文件递交的截止时间止（不少于30日），由被邀请</w:t>
      </w:r>
      <w:r>
        <w:rPr>
          <w:color w:val="000000"/>
          <w:szCs w:val="21"/>
        </w:rPr>
        <w:t>的</w:t>
      </w:r>
      <w:r>
        <w:rPr>
          <w:rFonts w:hint="eastAsia"/>
          <w:color w:val="000000"/>
          <w:szCs w:val="21"/>
        </w:rPr>
        <w:t>潜在投标人登录</w:t>
      </w:r>
      <w:r>
        <w:rPr>
          <w:rFonts w:hint="eastAsia"/>
          <w:color w:val="000000"/>
          <w:szCs w:val="21"/>
          <w:u w:val="single"/>
        </w:rPr>
        <w:t xml:space="preserve">             （广西壮族自治区公共资源交易平台系统网站）</w:t>
      </w:r>
      <w:r>
        <w:rPr>
          <w:rFonts w:hint="eastAsia"/>
          <w:color w:val="000000"/>
          <w:szCs w:val="21"/>
        </w:rPr>
        <w:t>免费下载招标文件。</w:t>
      </w:r>
    </w:p>
    <w:p>
      <w:pPr>
        <w:pStyle w:val="3"/>
        <w:spacing w:line="360" w:lineRule="auto"/>
        <w:rPr>
          <w:rFonts w:ascii="宋体" w:hAnsi="宋体" w:eastAsia="宋体"/>
          <w:color w:val="000000"/>
          <w:sz w:val="24"/>
          <w:szCs w:val="24"/>
        </w:rPr>
      </w:pPr>
      <w:bookmarkStart w:id="132" w:name="_Toc59202996"/>
      <w:bookmarkStart w:id="133" w:name="_Toc389065137"/>
      <w:bookmarkStart w:id="134" w:name="_Toc395382370"/>
      <w:bookmarkStart w:id="135" w:name="_Toc419321126"/>
      <w:bookmarkStart w:id="136" w:name="_Toc419320090"/>
      <w:bookmarkStart w:id="137" w:name="_Toc419363493"/>
      <w:bookmarkStart w:id="138" w:name="_Toc419364217"/>
      <w:bookmarkStart w:id="139" w:name="_Toc433988560"/>
      <w:r>
        <w:rPr>
          <w:rFonts w:ascii="宋体" w:hAnsi="宋体" w:eastAsia="宋体"/>
          <w:color w:val="000000"/>
          <w:sz w:val="24"/>
          <w:szCs w:val="24"/>
        </w:rPr>
        <w:t>5. 投标文件的递交</w:t>
      </w:r>
      <w:bookmarkEnd w:id="132"/>
      <w:bookmarkEnd w:id="133"/>
      <w:bookmarkEnd w:id="134"/>
      <w:bookmarkEnd w:id="135"/>
      <w:bookmarkEnd w:id="136"/>
      <w:bookmarkEnd w:id="137"/>
      <w:bookmarkEnd w:id="138"/>
      <w:bookmarkEnd w:id="139"/>
    </w:p>
    <w:p>
      <w:pPr>
        <w:spacing w:line="360" w:lineRule="auto"/>
        <w:ind w:firstLine="420" w:firstLineChars="200"/>
        <w:rPr>
          <w:rFonts w:hint="eastAsia"/>
          <w:color w:val="000000"/>
          <w:szCs w:val="21"/>
        </w:rPr>
      </w:pPr>
      <w:r>
        <w:rPr>
          <w:rFonts w:hint="eastAsia"/>
          <w:color w:val="000000"/>
          <w:szCs w:val="21"/>
        </w:rPr>
        <w:t xml:space="preserve">5.1投标文件应通过广西壮族自治区公共资源交易平台系统递交，截止时间（投标截止时间，下同）为  </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 xml:space="preserve">月 </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spacing w:line="360" w:lineRule="auto"/>
        <w:ind w:firstLine="420" w:firstLineChars="200"/>
        <w:rPr>
          <w:color w:val="000000"/>
          <w:szCs w:val="21"/>
        </w:rPr>
      </w:pPr>
      <w:r>
        <w:rPr>
          <w:rFonts w:hint="eastAsia"/>
          <w:color w:val="000000"/>
          <w:szCs w:val="21"/>
        </w:rPr>
        <w:t>5.2 投标人须在投标截止前将加密的投标文件通过广西壮族自治区公共资源交易平台系统上传成功，并持专职投标员本人身份件原件（如为法定代表人递交时可持本人身份证原件及本企业任一专职投标员的身份证复印件）通过广西壮族自治区公共资源交易平台系统验证，或者于投标截止前由专职投标员登录广西壮族自治区公共资源交易平台系统网上开标室，输入身份证号签到，并通过广西壮族自治区公共资源交易平台系统验证，如验证不通过，则投标无效。投标单位在制作电子投标文件过程中，须在弹出的输入框中填写拟投入的项目主要管理人员身份证信息。拟投入的工程总承包项目经理、施工项目经理、项目施工专职安全生产管理人员在投标文件解密环节通过系统自动验证，否则投标无效。投标人拟投入工程总承包项目经理、施工项目经理被标注为注册状态异常的，拟投入的工程总承包项目经理、施工项目经理本人须持本人身份证原件出席开标会现场，否则招标人有权拒绝该投标人投标</w:t>
      </w:r>
      <w:r>
        <w:rPr>
          <w:color w:val="000000"/>
        </w:rPr>
        <w:t>。</w:t>
      </w:r>
    </w:p>
    <w:p>
      <w:pPr>
        <w:pStyle w:val="3"/>
        <w:spacing w:line="360" w:lineRule="auto"/>
        <w:rPr>
          <w:rFonts w:ascii="宋体" w:hAnsi="宋体" w:eastAsia="宋体"/>
          <w:color w:val="000000"/>
          <w:sz w:val="24"/>
          <w:szCs w:val="24"/>
        </w:rPr>
      </w:pPr>
      <w:bookmarkStart w:id="140" w:name="_Toc419363494"/>
      <w:bookmarkStart w:id="141" w:name="_Toc59202997"/>
      <w:bookmarkStart w:id="142" w:name="_Toc389065138"/>
      <w:bookmarkStart w:id="143" w:name="_Toc395382371"/>
      <w:bookmarkStart w:id="144" w:name="_Toc419321127"/>
      <w:bookmarkStart w:id="145" w:name="_Toc419320091"/>
      <w:bookmarkStart w:id="146" w:name="_Toc433988561"/>
      <w:bookmarkStart w:id="147" w:name="_Toc419364218"/>
      <w:r>
        <w:rPr>
          <w:rFonts w:ascii="宋体" w:hAnsi="宋体" w:eastAsia="宋体"/>
          <w:color w:val="000000"/>
          <w:sz w:val="24"/>
          <w:szCs w:val="24"/>
        </w:rPr>
        <w:t>6. 确认</w:t>
      </w:r>
      <w:bookmarkEnd w:id="140"/>
      <w:bookmarkEnd w:id="141"/>
      <w:bookmarkEnd w:id="142"/>
      <w:bookmarkEnd w:id="143"/>
      <w:bookmarkEnd w:id="144"/>
      <w:bookmarkEnd w:id="145"/>
      <w:bookmarkEnd w:id="146"/>
      <w:bookmarkEnd w:id="147"/>
    </w:p>
    <w:p>
      <w:pPr>
        <w:spacing w:line="360" w:lineRule="auto"/>
        <w:ind w:firstLine="420" w:firstLineChars="200"/>
        <w:rPr>
          <w:rFonts w:hint="eastAsia"/>
          <w:color w:val="000000"/>
          <w:szCs w:val="32"/>
        </w:rPr>
      </w:pPr>
      <w:r>
        <w:rPr>
          <w:color w:val="000000"/>
          <w:szCs w:val="21"/>
        </w:rPr>
        <w:t>你单位收到本投标邀请书后，请于</w:t>
      </w:r>
      <w:r>
        <w:rPr>
          <w:color w:val="000000"/>
          <w:u w:val="single"/>
        </w:rPr>
        <w:t xml:space="preserve">   </w:t>
      </w:r>
      <w:r>
        <w:rPr>
          <w:color w:val="000000"/>
          <w:szCs w:val="21"/>
          <w:u w:val="single"/>
        </w:rPr>
        <w:t>（具体时间）</w:t>
      </w:r>
      <w:r>
        <w:rPr>
          <w:color w:val="000000"/>
          <w:u w:val="single"/>
        </w:rPr>
        <w:t xml:space="preserve">   </w:t>
      </w:r>
      <w:r>
        <w:rPr>
          <w:color w:val="000000"/>
          <w:szCs w:val="21"/>
        </w:rPr>
        <w:t>前</w:t>
      </w:r>
      <w:r>
        <w:rPr>
          <w:rFonts w:hint="eastAsia"/>
          <w:color w:val="000000"/>
          <w:szCs w:val="21"/>
        </w:rPr>
        <w:t>在广西壮族自治区公共资源交易平台系统网站</w:t>
      </w:r>
      <w:r>
        <w:rPr>
          <w:color w:val="000000"/>
          <w:szCs w:val="21"/>
        </w:rPr>
        <w:t>予以确认。</w:t>
      </w:r>
      <w:bookmarkStart w:id="148" w:name="_Toc419320093"/>
      <w:bookmarkStart w:id="149" w:name="_Toc419321129"/>
      <w:bookmarkStart w:id="150" w:name="_Toc395382373"/>
      <w:bookmarkStart w:id="151" w:name="_Toc389065140"/>
    </w:p>
    <w:p>
      <w:pPr>
        <w:pStyle w:val="3"/>
        <w:spacing w:line="360" w:lineRule="auto"/>
        <w:rPr>
          <w:rFonts w:hint="eastAsia" w:ascii="宋体" w:hAnsi="宋体" w:eastAsia="宋体"/>
          <w:color w:val="000000"/>
          <w:sz w:val="24"/>
          <w:szCs w:val="24"/>
        </w:rPr>
      </w:pPr>
      <w:bookmarkStart w:id="152" w:name="_Toc433988563"/>
      <w:bookmarkStart w:id="153" w:name="_Toc419363496"/>
      <w:bookmarkStart w:id="154" w:name="_Toc59202998"/>
      <w:bookmarkStart w:id="155" w:name="_Toc419364220"/>
      <w:r>
        <w:rPr>
          <w:rFonts w:ascii="宋体" w:hAnsi="宋体" w:eastAsia="宋体"/>
          <w:color w:val="000000"/>
          <w:sz w:val="24"/>
          <w:szCs w:val="24"/>
        </w:rPr>
        <w:t>7.</w:t>
      </w:r>
      <w:r>
        <w:rPr>
          <w:rFonts w:hint="eastAsia" w:ascii="宋体" w:hAnsi="宋体" w:eastAsia="宋体"/>
          <w:color w:val="000000"/>
          <w:sz w:val="24"/>
          <w:szCs w:val="24"/>
        </w:rPr>
        <w:t xml:space="preserve"> </w:t>
      </w:r>
      <w:r>
        <w:rPr>
          <w:rFonts w:ascii="宋体" w:hAnsi="宋体" w:eastAsia="宋体"/>
          <w:color w:val="000000"/>
          <w:sz w:val="24"/>
          <w:szCs w:val="24"/>
        </w:rPr>
        <w:t>预付款和进度款支付方式</w:t>
      </w:r>
      <w:bookmarkEnd w:id="148"/>
      <w:bookmarkEnd w:id="149"/>
      <w:bookmarkEnd w:id="150"/>
      <w:bookmarkEnd w:id="151"/>
      <w:bookmarkEnd w:id="152"/>
      <w:bookmarkEnd w:id="153"/>
      <w:bookmarkEnd w:id="154"/>
      <w:bookmarkEnd w:id="155"/>
    </w:p>
    <w:p>
      <w:pPr>
        <w:spacing w:line="360" w:lineRule="auto"/>
        <w:ind w:firstLine="420" w:firstLineChars="200"/>
        <w:rPr>
          <w:color w:val="000000"/>
        </w:rPr>
      </w:pPr>
      <w:r>
        <w:rPr>
          <w:color w:val="000000"/>
        </w:rPr>
        <w:t>预付款支付比例或金额：</w:t>
      </w:r>
      <w:r>
        <w:rPr>
          <w:rFonts w:hint="eastAsia"/>
          <w:color w:val="000000"/>
          <w:u w:val="single"/>
        </w:rPr>
        <w:t xml:space="preserve">            </w:t>
      </w:r>
      <w:r>
        <w:rPr>
          <w:rFonts w:hint="eastAsia"/>
          <w:color w:val="000000"/>
        </w:rPr>
        <w:t>【不</w:t>
      </w:r>
      <w:r>
        <w:rPr>
          <w:color w:val="000000"/>
        </w:rPr>
        <w:t>低于签约合同价（扣除</w:t>
      </w:r>
      <w:r>
        <w:rPr>
          <w:rFonts w:hint="eastAsia"/>
          <w:color w:val="000000"/>
        </w:rPr>
        <w:t>安全文明施工费、</w:t>
      </w:r>
      <w:r>
        <w:rPr>
          <w:color w:val="000000"/>
        </w:rPr>
        <w:t>暂列金额）的</w:t>
      </w:r>
      <w:r>
        <w:rPr>
          <w:rFonts w:hint="eastAsia"/>
          <w:color w:val="000000"/>
        </w:rPr>
        <w:t>10%，</w:t>
      </w:r>
      <w:r>
        <w:rPr>
          <w:color w:val="000000"/>
        </w:rPr>
        <w:t>不宜高于</w:t>
      </w:r>
      <w:r>
        <w:rPr>
          <w:rFonts w:hint="eastAsia"/>
          <w:color w:val="000000"/>
        </w:rPr>
        <w:t>签约合同价（扣除安全文明施工费、暂列金额）的</w:t>
      </w:r>
      <w:r>
        <w:rPr>
          <w:color w:val="000000"/>
        </w:rPr>
        <w:t>3</w:t>
      </w:r>
      <w:r>
        <w:rPr>
          <w:rFonts w:hint="eastAsia"/>
          <w:color w:val="000000"/>
        </w:rPr>
        <w:t>0%】</w:t>
      </w:r>
    </w:p>
    <w:p>
      <w:pPr>
        <w:spacing w:line="360" w:lineRule="auto"/>
        <w:ind w:firstLine="420" w:firstLineChars="200"/>
        <w:rPr>
          <w:color w:val="000000"/>
        </w:rPr>
      </w:pPr>
      <w:r>
        <w:rPr>
          <w:color w:val="000000"/>
        </w:rPr>
        <w:t>进度款支付方式：合同内按工程计量周期内完成工程量的</w:t>
      </w:r>
      <w:r>
        <w:rPr>
          <w:color w:val="000000"/>
          <w:u w:val="single"/>
        </w:rPr>
        <w:t xml:space="preserve">           </w:t>
      </w:r>
      <w:r>
        <w:rPr>
          <w:color w:val="000000"/>
        </w:rPr>
        <w:t>，合同外按工程计量周期完成工程量的</w:t>
      </w:r>
      <w:r>
        <w:rPr>
          <w:color w:val="000000"/>
          <w:u w:val="single"/>
        </w:rPr>
        <w:t xml:space="preserve">                </w:t>
      </w:r>
      <w:r>
        <w:rPr>
          <w:color w:val="000000"/>
        </w:rPr>
        <w:t>。</w:t>
      </w:r>
      <w:r>
        <w:rPr>
          <w:rFonts w:hint="eastAsia"/>
          <w:color w:val="000000"/>
        </w:rPr>
        <w:t>【建议按工程计量周期内完成工程量的</w:t>
      </w:r>
      <w:r>
        <w:rPr>
          <w:color w:val="000000"/>
        </w:rPr>
        <w:t>8</w:t>
      </w:r>
      <w:r>
        <w:rPr>
          <w:rFonts w:hint="eastAsia"/>
          <w:color w:val="000000"/>
        </w:rPr>
        <w:t>0%~90%支付】</w:t>
      </w:r>
    </w:p>
    <w:p>
      <w:pPr>
        <w:pStyle w:val="3"/>
        <w:spacing w:line="360" w:lineRule="auto"/>
        <w:rPr>
          <w:rFonts w:ascii="宋体" w:hAnsi="宋体" w:eastAsia="宋体"/>
          <w:color w:val="000000"/>
          <w:sz w:val="24"/>
          <w:szCs w:val="24"/>
        </w:rPr>
      </w:pPr>
      <w:bookmarkStart w:id="156" w:name="_Toc419320094"/>
      <w:bookmarkStart w:id="157" w:name="_Toc419364221"/>
      <w:bookmarkStart w:id="158" w:name="_Toc419363497"/>
      <w:bookmarkStart w:id="159" w:name="_Toc59202999"/>
      <w:bookmarkStart w:id="160" w:name="_Toc419321130"/>
      <w:bookmarkStart w:id="161" w:name="_Toc433988564"/>
      <w:bookmarkStart w:id="162" w:name="_Toc395382374"/>
      <w:r>
        <w:rPr>
          <w:rFonts w:ascii="宋体" w:hAnsi="宋体" w:eastAsia="宋体"/>
          <w:color w:val="000000"/>
          <w:sz w:val="24"/>
          <w:szCs w:val="24"/>
        </w:rPr>
        <w:t>8</w:t>
      </w:r>
      <w:r>
        <w:rPr>
          <w:rFonts w:hint="eastAsia" w:ascii="宋体" w:hAnsi="宋体" w:eastAsia="宋体"/>
          <w:color w:val="000000"/>
          <w:sz w:val="24"/>
          <w:szCs w:val="24"/>
        </w:rPr>
        <w:t>. 交易服务单位</w:t>
      </w:r>
      <w:bookmarkEnd w:id="156"/>
      <w:bookmarkEnd w:id="157"/>
      <w:bookmarkEnd w:id="158"/>
      <w:bookmarkEnd w:id="159"/>
      <w:bookmarkEnd w:id="160"/>
      <w:bookmarkEnd w:id="161"/>
      <w:bookmarkEnd w:id="162"/>
    </w:p>
    <w:p>
      <w:pPr>
        <w:spacing w:line="360" w:lineRule="auto"/>
        <w:ind w:firstLine="420" w:firstLineChars="200"/>
        <w:rPr>
          <w:color w:val="000000"/>
        </w:rPr>
      </w:pPr>
      <w:r>
        <w:rPr>
          <w:rFonts w:hint="eastAsia"/>
          <w:color w:val="000000"/>
          <w:u w:val="single"/>
        </w:rPr>
        <w:t xml:space="preserve">                                  </w:t>
      </w:r>
    </w:p>
    <w:p>
      <w:pPr>
        <w:pStyle w:val="3"/>
        <w:spacing w:line="360" w:lineRule="auto"/>
        <w:rPr>
          <w:rFonts w:ascii="宋体" w:hAnsi="宋体" w:eastAsia="宋体"/>
          <w:color w:val="000000"/>
          <w:sz w:val="24"/>
          <w:szCs w:val="24"/>
        </w:rPr>
      </w:pPr>
      <w:bookmarkStart w:id="163" w:name="_Toc395382375"/>
      <w:bookmarkStart w:id="164" w:name="_Toc419321131"/>
      <w:bookmarkStart w:id="165" w:name="_Toc419363498"/>
      <w:bookmarkStart w:id="166" w:name="_Toc419364222"/>
      <w:bookmarkStart w:id="167" w:name="_Toc433988565"/>
      <w:bookmarkStart w:id="168" w:name="_Toc59203000"/>
      <w:bookmarkStart w:id="169" w:name="_Toc419320095"/>
      <w:r>
        <w:rPr>
          <w:rFonts w:ascii="宋体" w:hAnsi="宋体" w:eastAsia="宋体"/>
          <w:color w:val="000000"/>
          <w:sz w:val="24"/>
          <w:szCs w:val="24"/>
        </w:rPr>
        <w:t>9</w:t>
      </w:r>
      <w:r>
        <w:rPr>
          <w:rFonts w:hint="eastAsia" w:ascii="宋体" w:hAnsi="宋体" w:eastAsia="宋体"/>
          <w:color w:val="000000"/>
          <w:sz w:val="24"/>
          <w:szCs w:val="24"/>
        </w:rPr>
        <w:t>. 监督部门及电话</w:t>
      </w:r>
      <w:bookmarkEnd w:id="163"/>
      <w:bookmarkEnd w:id="164"/>
      <w:bookmarkEnd w:id="165"/>
      <w:bookmarkEnd w:id="166"/>
      <w:bookmarkEnd w:id="167"/>
      <w:bookmarkEnd w:id="168"/>
      <w:bookmarkEnd w:id="169"/>
    </w:p>
    <w:p>
      <w:pPr>
        <w:spacing w:line="360" w:lineRule="auto"/>
        <w:ind w:firstLine="420" w:firstLineChars="200"/>
        <w:rPr>
          <w:color w:val="000000"/>
        </w:rPr>
      </w:pPr>
      <w:r>
        <w:rPr>
          <w:rFonts w:hint="eastAsia"/>
          <w:color w:val="000000"/>
          <w:u w:val="single"/>
        </w:rPr>
        <w:t xml:space="preserve">                                  </w:t>
      </w:r>
    </w:p>
    <w:p>
      <w:pPr>
        <w:spacing w:line="360" w:lineRule="auto"/>
        <w:ind w:firstLine="420" w:firstLineChars="200"/>
        <w:rPr>
          <w:color w:val="000000"/>
          <w:u w:val="single"/>
        </w:rPr>
      </w:pPr>
      <w:r>
        <w:rPr>
          <w:rFonts w:hint="eastAsia"/>
          <w:color w:val="000000"/>
          <w:u w:val="single"/>
        </w:rPr>
        <w:t xml:space="preserve">                                  </w:t>
      </w:r>
    </w:p>
    <w:p>
      <w:pPr>
        <w:pStyle w:val="3"/>
        <w:spacing w:line="360" w:lineRule="auto"/>
        <w:rPr>
          <w:rFonts w:hint="eastAsia" w:ascii="宋体" w:hAnsi="宋体" w:eastAsia="宋体"/>
          <w:color w:val="000000"/>
          <w:sz w:val="24"/>
          <w:szCs w:val="24"/>
        </w:rPr>
      </w:pPr>
      <w:bookmarkStart w:id="170" w:name="_Toc59203001"/>
      <w:r>
        <w:rPr>
          <w:rFonts w:hint="eastAsia" w:ascii="宋体" w:hAnsi="宋体" w:eastAsia="宋体"/>
          <w:color w:val="000000"/>
          <w:sz w:val="24"/>
          <w:szCs w:val="24"/>
        </w:rPr>
        <w:t>1</w:t>
      </w:r>
      <w:r>
        <w:rPr>
          <w:rFonts w:ascii="宋体" w:hAnsi="宋体" w:eastAsia="宋体"/>
          <w:color w:val="000000"/>
          <w:sz w:val="24"/>
          <w:szCs w:val="24"/>
        </w:rPr>
        <w:t>0</w:t>
      </w:r>
      <w:r>
        <w:rPr>
          <w:rFonts w:hint="eastAsia" w:ascii="宋体" w:hAnsi="宋体" w:eastAsia="宋体"/>
          <w:color w:val="000000"/>
          <w:sz w:val="24"/>
          <w:szCs w:val="24"/>
        </w:rPr>
        <w:t>. 注意事项</w:t>
      </w:r>
      <w:bookmarkEnd w:id="170"/>
    </w:p>
    <w:p>
      <w:pPr>
        <w:spacing w:line="360" w:lineRule="auto"/>
        <w:ind w:firstLine="420" w:firstLineChars="200"/>
        <w:rPr>
          <w:rFonts w:hint="eastAsia"/>
          <w:color w:val="000000"/>
        </w:rPr>
      </w:pPr>
      <w:r>
        <w:rPr>
          <w:rFonts w:hint="eastAsia"/>
          <w:color w:val="000000"/>
        </w:rPr>
        <w:t>潜在投标人必须录入广西建筑业企业诚信信息库管理系统，广西建筑业企业诚信信息库管理系统登陆地址：http://ztb.gxzjt.gov.cn:1121/zjthy/。由于广西建筑业企业诚信信息库与自治区招标投标系统的相关信息同步存在时间差（非实时同步，每天晚上同步一次），因此投标人应至少在开标时间2天前将所需投标材料在诚信库内审核通过。</w:t>
      </w:r>
    </w:p>
    <w:p>
      <w:pPr>
        <w:pStyle w:val="3"/>
        <w:spacing w:line="360" w:lineRule="auto"/>
        <w:rPr>
          <w:rFonts w:ascii="宋体" w:hAnsi="宋体" w:eastAsia="宋体"/>
          <w:color w:val="000000"/>
          <w:sz w:val="24"/>
          <w:szCs w:val="24"/>
        </w:rPr>
      </w:pPr>
      <w:bookmarkStart w:id="171" w:name="_Toc419363499"/>
      <w:bookmarkStart w:id="172" w:name="_Toc419364223"/>
      <w:bookmarkStart w:id="173" w:name="_Toc59203002"/>
      <w:bookmarkStart w:id="174" w:name="_Toc395382376"/>
      <w:bookmarkStart w:id="175" w:name="_Toc419320096"/>
      <w:bookmarkStart w:id="176" w:name="_Toc433988566"/>
      <w:bookmarkStart w:id="177" w:name="_Toc419321132"/>
      <w:bookmarkStart w:id="178" w:name="_Toc389065141"/>
      <w:r>
        <w:rPr>
          <w:rFonts w:hint="eastAsia" w:ascii="宋体" w:hAnsi="宋体" w:eastAsia="宋体"/>
          <w:color w:val="000000"/>
          <w:sz w:val="24"/>
          <w:szCs w:val="24"/>
        </w:rPr>
        <w:t>1</w:t>
      </w:r>
      <w:r>
        <w:rPr>
          <w:rFonts w:ascii="宋体" w:hAnsi="宋体" w:eastAsia="宋体"/>
          <w:color w:val="000000"/>
          <w:sz w:val="24"/>
          <w:szCs w:val="24"/>
        </w:rPr>
        <w:t>1. 联系方式</w:t>
      </w:r>
      <w:bookmarkEnd w:id="171"/>
      <w:bookmarkEnd w:id="172"/>
      <w:bookmarkEnd w:id="173"/>
      <w:bookmarkEnd w:id="174"/>
      <w:bookmarkEnd w:id="175"/>
      <w:bookmarkEnd w:id="176"/>
      <w:bookmarkEnd w:id="177"/>
      <w:bookmarkEnd w:id="178"/>
    </w:p>
    <w:p>
      <w:pPr>
        <w:spacing w:line="360" w:lineRule="auto"/>
        <w:ind w:firstLine="420" w:firstLineChars="200"/>
        <w:rPr>
          <w:color w:val="000000"/>
          <w:szCs w:val="21"/>
          <w:u w:val="single"/>
        </w:rPr>
      </w:pPr>
      <w:r>
        <w:rPr>
          <w:color w:val="000000"/>
          <w:szCs w:val="21"/>
        </w:rPr>
        <w:t>招 标 人：</w:t>
      </w:r>
      <w:r>
        <w:rPr>
          <w:color w:val="000000"/>
          <w:szCs w:val="21"/>
          <w:u w:val="single"/>
        </w:rPr>
        <w:t xml:space="preserve">       </w:t>
      </w:r>
      <w:r>
        <w:rPr>
          <w:rFonts w:hint="eastAsia"/>
          <w:color w:val="000000"/>
          <w:szCs w:val="21"/>
          <w:u w:val="single"/>
        </w:rPr>
        <w:t>名称（及盖章）</w:t>
      </w:r>
      <w:r>
        <w:rPr>
          <w:color w:val="000000"/>
          <w:szCs w:val="21"/>
          <w:u w:val="single"/>
        </w:rPr>
        <w:t xml:space="preserve">    </w:t>
      </w:r>
      <w:r>
        <w:rPr>
          <w:color w:val="000000"/>
          <w:szCs w:val="21"/>
        </w:rPr>
        <w:t xml:space="preserve">   招标代理机构：</w:t>
      </w:r>
      <w:r>
        <w:rPr>
          <w:color w:val="000000"/>
          <w:szCs w:val="21"/>
          <w:u w:val="single"/>
        </w:rPr>
        <w:t xml:space="preserve">     </w:t>
      </w:r>
      <w:r>
        <w:rPr>
          <w:rFonts w:hint="eastAsia"/>
          <w:color w:val="000000"/>
          <w:szCs w:val="21"/>
          <w:u w:val="single"/>
        </w:rPr>
        <w:t>名称（及盖章）</w:t>
      </w:r>
      <w:r>
        <w:rPr>
          <w:color w:val="000000"/>
          <w:szCs w:val="21"/>
          <w:u w:val="single"/>
        </w:rPr>
        <w:t xml:space="preserve">    </w:t>
      </w:r>
    </w:p>
    <w:p>
      <w:pPr>
        <w:spacing w:line="360" w:lineRule="auto"/>
        <w:ind w:firstLine="420" w:firstLineChars="200"/>
        <w:rPr>
          <w:color w:val="000000"/>
          <w:szCs w:val="21"/>
          <w:u w:val="single"/>
        </w:rPr>
      </w:pPr>
      <w:r>
        <w:rPr>
          <w:color w:val="000000"/>
          <w:szCs w:val="21"/>
        </w:rPr>
        <w:t>地    址：</w:t>
      </w:r>
      <w:r>
        <w:rPr>
          <w:color w:val="000000"/>
          <w:szCs w:val="21"/>
          <w:u w:val="single"/>
        </w:rPr>
        <w:t xml:space="preserve">                         </w:t>
      </w:r>
      <w:r>
        <w:rPr>
          <w:color w:val="000000"/>
          <w:szCs w:val="21"/>
        </w:rPr>
        <w:t xml:space="preserve">   地    址：</w:t>
      </w:r>
      <w:r>
        <w:rPr>
          <w:color w:val="000000"/>
          <w:szCs w:val="21"/>
          <w:u w:val="single"/>
        </w:rPr>
        <w:t xml:space="preserve">                            </w:t>
      </w:r>
    </w:p>
    <w:p>
      <w:pPr>
        <w:spacing w:line="360" w:lineRule="auto"/>
        <w:ind w:firstLine="420" w:firstLineChars="200"/>
        <w:rPr>
          <w:color w:val="000000"/>
          <w:szCs w:val="21"/>
        </w:rPr>
      </w:pPr>
      <w:r>
        <w:rPr>
          <w:color w:val="000000"/>
          <w:szCs w:val="21"/>
        </w:rPr>
        <w:t>邮    编：</w:t>
      </w:r>
      <w:r>
        <w:rPr>
          <w:color w:val="000000"/>
          <w:szCs w:val="21"/>
          <w:u w:val="single"/>
        </w:rPr>
        <w:t xml:space="preserve">                         </w:t>
      </w:r>
      <w:r>
        <w:rPr>
          <w:color w:val="000000"/>
          <w:szCs w:val="21"/>
        </w:rPr>
        <w:t xml:space="preserve">   邮    编：</w:t>
      </w:r>
      <w:r>
        <w:rPr>
          <w:color w:val="000000"/>
          <w:szCs w:val="21"/>
          <w:u w:val="single"/>
        </w:rPr>
        <w:t xml:space="preserve">                            </w:t>
      </w:r>
    </w:p>
    <w:p>
      <w:pPr>
        <w:spacing w:line="360" w:lineRule="auto"/>
        <w:ind w:firstLine="420" w:firstLineChars="200"/>
        <w:rPr>
          <w:color w:val="000000"/>
          <w:szCs w:val="21"/>
        </w:rPr>
      </w:pPr>
      <w:r>
        <w:rPr>
          <w:color w:val="000000"/>
          <w:szCs w:val="21"/>
        </w:rPr>
        <w:t>联 系 人：</w:t>
      </w:r>
      <w:r>
        <w:rPr>
          <w:color w:val="000000"/>
          <w:szCs w:val="21"/>
          <w:u w:val="single"/>
        </w:rPr>
        <w:t xml:space="preserve">                         </w:t>
      </w:r>
      <w:r>
        <w:rPr>
          <w:color w:val="000000"/>
          <w:szCs w:val="21"/>
        </w:rPr>
        <w:t xml:space="preserve">   联 系 人：</w:t>
      </w:r>
      <w:r>
        <w:rPr>
          <w:color w:val="000000"/>
          <w:szCs w:val="21"/>
          <w:u w:val="single"/>
        </w:rPr>
        <w:t xml:space="preserve">                            </w:t>
      </w:r>
    </w:p>
    <w:p>
      <w:pPr>
        <w:spacing w:line="360" w:lineRule="auto"/>
        <w:ind w:firstLine="420" w:firstLineChars="200"/>
        <w:rPr>
          <w:color w:val="000000"/>
          <w:szCs w:val="21"/>
        </w:rPr>
      </w:pPr>
      <w:r>
        <w:rPr>
          <w:color w:val="000000"/>
          <w:szCs w:val="21"/>
        </w:rPr>
        <w:t>电    话：</w:t>
      </w:r>
      <w:r>
        <w:rPr>
          <w:color w:val="000000"/>
          <w:szCs w:val="21"/>
          <w:u w:val="single"/>
        </w:rPr>
        <w:t xml:space="preserve">                         </w:t>
      </w:r>
      <w:r>
        <w:rPr>
          <w:color w:val="000000"/>
          <w:szCs w:val="21"/>
        </w:rPr>
        <w:t xml:space="preserve">   电    话：</w:t>
      </w:r>
      <w:r>
        <w:rPr>
          <w:color w:val="000000"/>
          <w:szCs w:val="21"/>
          <w:u w:val="single"/>
        </w:rPr>
        <w:t xml:space="preserve">                            </w:t>
      </w:r>
    </w:p>
    <w:p>
      <w:pPr>
        <w:spacing w:line="360" w:lineRule="auto"/>
        <w:ind w:firstLine="420" w:firstLineChars="200"/>
        <w:rPr>
          <w:color w:val="000000"/>
          <w:szCs w:val="21"/>
        </w:rPr>
      </w:pPr>
      <w:r>
        <w:rPr>
          <w:color w:val="000000"/>
          <w:szCs w:val="21"/>
        </w:rPr>
        <w:t>传    真：</w:t>
      </w:r>
      <w:r>
        <w:rPr>
          <w:color w:val="000000"/>
          <w:szCs w:val="21"/>
          <w:u w:val="single"/>
        </w:rPr>
        <w:t xml:space="preserve">                         </w:t>
      </w:r>
      <w:r>
        <w:rPr>
          <w:color w:val="000000"/>
          <w:szCs w:val="21"/>
        </w:rPr>
        <w:t xml:space="preserve">   传    真：</w:t>
      </w:r>
      <w:r>
        <w:rPr>
          <w:color w:val="000000"/>
          <w:szCs w:val="21"/>
          <w:u w:val="single"/>
        </w:rPr>
        <w:t xml:space="preserve">                            </w:t>
      </w:r>
    </w:p>
    <w:p>
      <w:pPr>
        <w:spacing w:line="360" w:lineRule="auto"/>
        <w:ind w:firstLine="420" w:firstLineChars="200"/>
        <w:rPr>
          <w:color w:val="000000"/>
          <w:szCs w:val="21"/>
          <w:u w:val="single"/>
        </w:rPr>
      </w:pPr>
      <w:r>
        <w:rPr>
          <w:color w:val="000000"/>
          <w:szCs w:val="21"/>
        </w:rPr>
        <w:t>电子邮箱：</w:t>
      </w:r>
      <w:r>
        <w:rPr>
          <w:color w:val="000000"/>
          <w:szCs w:val="21"/>
          <w:u w:val="single"/>
        </w:rPr>
        <w:t xml:space="preserve">                         </w:t>
      </w:r>
      <w:r>
        <w:rPr>
          <w:color w:val="000000"/>
          <w:szCs w:val="21"/>
        </w:rPr>
        <w:t xml:space="preserve">   电子邮箱：</w:t>
      </w:r>
      <w:r>
        <w:rPr>
          <w:color w:val="000000"/>
          <w:szCs w:val="21"/>
          <w:u w:val="single"/>
        </w:rPr>
        <w:t xml:space="preserve">                            </w:t>
      </w:r>
    </w:p>
    <w:p>
      <w:pPr>
        <w:spacing w:line="360" w:lineRule="auto"/>
        <w:ind w:firstLine="420" w:firstLineChars="200"/>
        <w:rPr>
          <w:color w:val="000000"/>
        </w:rPr>
      </w:pPr>
      <w:r>
        <w:rPr>
          <w:rFonts w:hAnsi="宋体"/>
          <w:color w:val="000000"/>
          <w:szCs w:val="21"/>
        </w:rPr>
        <w:t>网</w:t>
      </w:r>
      <w:r>
        <w:rPr>
          <w:color w:val="000000"/>
          <w:szCs w:val="21"/>
        </w:rPr>
        <w:t xml:space="preserve">    </w:t>
      </w:r>
      <w:r>
        <w:rPr>
          <w:rFonts w:hAnsi="宋体"/>
          <w:color w:val="000000"/>
          <w:szCs w:val="21"/>
        </w:rPr>
        <w:t>址：</w:t>
      </w:r>
      <w:r>
        <w:rPr>
          <w:color w:val="000000"/>
          <w:szCs w:val="21"/>
          <w:u w:val="single"/>
        </w:rPr>
        <w:t xml:space="preserve">                         </w:t>
      </w:r>
      <w:r>
        <w:rPr>
          <w:color w:val="000000"/>
        </w:rPr>
        <w:t xml:space="preserve">   </w:t>
      </w:r>
      <w:r>
        <w:rPr>
          <w:rFonts w:hAnsi="宋体"/>
          <w:color w:val="000000"/>
          <w:szCs w:val="21"/>
        </w:rPr>
        <w:t>网</w:t>
      </w:r>
      <w:r>
        <w:rPr>
          <w:color w:val="000000"/>
          <w:szCs w:val="21"/>
        </w:rPr>
        <w:t xml:space="preserve">    </w:t>
      </w:r>
      <w:r>
        <w:rPr>
          <w:rFonts w:hAnsi="宋体"/>
          <w:color w:val="000000"/>
          <w:szCs w:val="21"/>
        </w:rPr>
        <w:t>址：</w:t>
      </w:r>
      <w:r>
        <w:rPr>
          <w:color w:val="000000"/>
          <w:szCs w:val="21"/>
          <w:u w:val="single"/>
        </w:rPr>
        <w:t xml:space="preserve">                         </w:t>
      </w:r>
      <w:r>
        <w:rPr>
          <w:color w:val="000000"/>
          <w:u w:val="single"/>
        </w:rPr>
        <w:t xml:space="preserve">   </w:t>
      </w:r>
    </w:p>
    <w:p>
      <w:pPr>
        <w:spacing w:line="360" w:lineRule="auto"/>
        <w:ind w:firstLine="437"/>
        <w:rPr>
          <w:color w:val="000000"/>
          <w:szCs w:val="21"/>
          <w:u w:val="single"/>
        </w:rPr>
      </w:pPr>
      <w:r>
        <w:rPr>
          <w:color w:val="000000"/>
          <w:szCs w:val="21"/>
        </w:rPr>
        <w:t xml:space="preserve">  </w:t>
      </w:r>
    </w:p>
    <w:p>
      <w:pPr>
        <w:spacing w:line="360" w:lineRule="auto"/>
        <w:ind w:firstLine="437"/>
        <w:rPr>
          <w:color w:val="000000"/>
          <w:szCs w:val="21"/>
        </w:rPr>
      </w:pPr>
    </w:p>
    <w:p>
      <w:pPr>
        <w:spacing w:line="360" w:lineRule="auto"/>
        <w:ind w:firstLine="437"/>
        <w:rPr>
          <w:color w:val="000000"/>
          <w:szCs w:val="21"/>
        </w:rPr>
      </w:pPr>
    </w:p>
    <w:p>
      <w:pPr>
        <w:spacing w:line="360" w:lineRule="auto"/>
        <w:jc w:val="center"/>
        <w:rPr>
          <w:color w:val="000000"/>
          <w:szCs w:val="21"/>
        </w:rPr>
      </w:pPr>
      <w:r>
        <w:rPr>
          <w:rFonts w:hint="eastAsia"/>
          <w:color w:val="000000"/>
        </w:rPr>
        <w:t xml:space="preserve">                                </w:t>
      </w:r>
      <w:r>
        <w:rPr>
          <w:color w:val="000000"/>
          <w:u w:val="single"/>
        </w:rPr>
        <w:t xml:space="preserve">              </w:t>
      </w:r>
      <w:r>
        <w:rPr>
          <w:color w:val="000000"/>
          <w:szCs w:val="21"/>
        </w:rPr>
        <w:t>年</w:t>
      </w:r>
      <w:r>
        <w:rPr>
          <w:color w:val="000000"/>
          <w:u w:val="single"/>
        </w:rPr>
        <w:t xml:space="preserve">       </w:t>
      </w:r>
      <w:r>
        <w:rPr>
          <w:color w:val="000000"/>
          <w:szCs w:val="21"/>
        </w:rPr>
        <w:t>月</w:t>
      </w:r>
      <w:r>
        <w:rPr>
          <w:color w:val="000000"/>
          <w:u w:val="single"/>
        </w:rPr>
        <w:t xml:space="preserve">       </w:t>
      </w:r>
      <w:r>
        <w:rPr>
          <w:color w:val="000000"/>
          <w:szCs w:val="21"/>
        </w:rPr>
        <w:t>日</w:t>
      </w:r>
    </w:p>
    <w:p>
      <w:pPr>
        <w:spacing w:line="360" w:lineRule="auto"/>
        <w:jc w:val="center"/>
        <w:rPr>
          <w:color w:val="000000"/>
          <w:szCs w:val="21"/>
        </w:rPr>
      </w:pPr>
    </w:p>
    <w:p>
      <w:pPr>
        <w:spacing w:line="360" w:lineRule="auto"/>
        <w:jc w:val="center"/>
        <w:rPr>
          <w:color w:val="000000"/>
          <w:szCs w:val="21"/>
        </w:rPr>
      </w:pPr>
    </w:p>
    <w:p>
      <w:pPr>
        <w:spacing w:line="360" w:lineRule="auto"/>
        <w:jc w:val="center"/>
        <w:rPr>
          <w:color w:val="000000"/>
          <w:szCs w:val="21"/>
        </w:rPr>
      </w:pPr>
    </w:p>
    <w:p>
      <w:pPr>
        <w:spacing w:line="360" w:lineRule="auto"/>
        <w:jc w:val="center"/>
        <w:rPr>
          <w:color w:val="000000"/>
          <w:szCs w:val="21"/>
        </w:rPr>
      </w:pPr>
    </w:p>
    <w:p>
      <w:pPr>
        <w:spacing w:line="360" w:lineRule="auto"/>
        <w:jc w:val="center"/>
        <w:rPr>
          <w:color w:val="000000"/>
          <w:szCs w:val="21"/>
        </w:rPr>
      </w:pPr>
    </w:p>
    <w:p>
      <w:pPr>
        <w:spacing w:line="360" w:lineRule="auto"/>
        <w:jc w:val="center"/>
        <w:rPr>
          <w:color w:val="000000"/>
          <w:szCs w:val="21"/>
        </w:rPr>
      </w:pPr>
    </w:p>
    <w:p>
      <w:pPr>
        <w:spacing w:line="360" w:lineRule="auto"/>
        <w:jc w:val="center"/>
        <w:rPr>
          <w:color w:val="000000"/>
          <w:szCs w:val="21"/>
        </w:rPr>
      </w:pPr>
    </w:p>
    <w:p>
      <w:pPr>
        <w:spacing w:line="360" w:lineRule="auto"/>
        <w:jc w:val="center"/>
        <w:rPr>
          <w:color w:val="000000"/>
          <w:szCs w:val="21"/>
        </w:rPr>
      </w:pPr>
    </w:p>
    <w:p>
      <w:pPr>
        <w:spacing w:line="360" w:lineRule="auto"/>
        <w:jc w:val="center"/>
        <w:rPr>
          <w:rFonts w:hint="eastAsia"/>
          <w:color w:val="000000"/>
          <w:szCs w:val="21"/>
        </w:rPr>
      </w:pPr>
    </w:p>
    <w:p>
      <w:pPr>
        <w:spacing w:line="360" w:lineRule="auto"/>
        <w:jc w:val="center"/>
        <w:rPr>
          <w:rFonts w:hint="eastAsia"/>
          <w:color w:val="000000"/>
          <w:szCs w:val="21"/>
        </w:rPr>
      </w:pPr>
    </w:p>
    <w:p>
      <w:pPr>
        <w:spacing w:line="360" w:lineRule="auto"/>
        <w:jc w:val="center"/>
        <w:rPr>
          <w:rFonts w:hint="eastAsia"/>
          <w:color w:val="000000"/>
          <w:szCs w:val="21"/>
        </w:rPr>
      </w:pPr>
    </w:p>
    <w:p>
      <w:pPr>
        <w:spacing w:line="360" w:lineRule="auto"/>
        <w:jc w:val="center"/>
        <w:rPr>
          <w:rFonts w:hint="eastAsia"/>
          <w:color w:val="000000"/>
          <w:szCs w:val="21"/>
        </w:rPr>
      </w:pPr>
    </w:p>
    <w:p>
      <w:pPr>
        <w:spacing w:line="360" w:lineRule="auto"/>
        <w:jc w:val="center"/>
        <w:rPr>
          <w:rFonts w:hint="eastAsia"/>
          <w:color w:val="000000"/>
          <w:szCs w:val="21"/>
        </w:rPr>
      </w:pPr>
    </w:p>
    <w:p>
      <w:pPr>
        <w:spacing w:line="360" w:lineRule="auto"/>
        <w:jc w:val="center"/>
        <w:rPr>
          <w:rFonts w:hint="eastAsia"/>
          <w:color w:val="000000"/>
          <w:szCs w:val="21"/>
        </w:rPr>
      </w:pPr>
    </w:p>
    <w:p>
      <w:pPr>
        <w:spacing w:line="360" w:lineRule="auto"/>
        <w:jc w:val="center"/>
        <w:rPr>
          <w:rFonts w:hint="eastAsia"/>
          <w:color w:val="000000"/>
          <w:szCs w:val="21"/>
        </w:rPr>
      </w:pPr>
    </w:p>
    <w:p>
      <w:pPr>
        <w:spacing w:line="360" w:lineRule="auto"/>
        <w:jc w:val="center"/>
        <w:rPr>
          <w:rFonts w:hint="eastAsia"/>
          <w:color w:val="000000"/>
          <w:szCs w:val="21"/>
        </w:rPr>
      </w:pPr>
    </w:p>
    <w:p>
      <w:pPr>
        <w:spacing w:line="360" w:lineRule="auto"/>
        <w:jc w:val="center"/>
        <w:rPr>
          <w:rFonts w:hint="eastAsia"/>
          <w:color w:val="000000"/>
          <w:szCs w:val="21"/>
        </w:rPr>
      </w:pPr>
    </w:p>
    <w:p>
      <w:pPr>
        <w:spacing w:line="360" w:lineRule="auto"/>
        <w:jc w:val="center"/>
        <w:rPr>
          <w:rFonts w:hint="eastAsia"/>
          <w:color w:val="000000"/>
          <w:szCs w:val="21"/>
        </w:rPr>
      </w:pPr>
    </w:p>
    <w:p>
      <w:pPr>
        <w:spacing w:line="360" w:lineRule="auto"/>
        <w:jc w:val="center"/>
        <w:rPr>
          <w:rFonts w:hint="eastAsia"/>
          <w:color w:val="000000"/>
          <w:szCs w:val="21"/>
        </w:rPr>
      </w:pPr>
    </w:p>
    <w:p>
      <w:pPr>
        <w:spacing w:line="360" w:lineRule="auto"/>
        <w:jc w:val="center"/>
        <w:rPr>
          <w:rFonts w:hint="eastAsia"/>
          <w:color w:val="000000"/>
          <w:szCs w:val="21"/>
        </w:rPr>
      </w:pPr>
    </w:p>
    <w:p>
      <w:pPr>
        <w:spacing w:line="360" w:lineRule="auto"/>
        <w:jc w:val="center"/>
        <w:rPr>
          <w:rFonts w:hint="eastAsia"/>
          <w:color w:val="000000"/>
          <w:szCs w:val="21"/>
        </w:rPr>
      </w:pPr>
    </w:p>
    <w:p>
      <w:pPr>
        <w:spacing w:line="360" w:lineRule="auto"/>
        <w:jc w:val="center"/>
        <w:rPr>
          <w:rFonts w:hint="eastAsia"/>
          <w:color w:val="000000"/>
          <w:szCs w:val="21"/>
        </w:rPr>
      </w:pPr>
    </w:p>
    <w:p>
      <w:pPr>
        <w:spacing w:line="360" w:lineRule="auto"/>
        <w:jc w:val="center"/>
        <w:rPr>
          <w:color w:val="000000"/>
          <w:szCs w:val="21"/>
        </w:rPr>
      </w:pPr>
    </w:p>
    <w:p>
      <w:pPr>
        <w:spacing w:line="360" w:lineRule="auto"/>
        <w:jc w:val="center"/>
        <w:rPr>
          <w:color w:val="000000"/>
          <w:szCs w:val="21"/>
        </w:rPr>
      </w:pPr>
    </w:p>
    <w:p>
      <w:pPr>
        <w:pStyle w:val="2"/>
        <w:jc w:val="center"/>
        <w:rPr>
          <w:rFonts w:hint="eastAsia"/>
          <w:color w:val="000000"/>
        </w:rPr>
      </w:pPr>
      <w:bookmarkStart w:id="179" w:name="_Toc282823810"/>
      <w:bookmarkStart w:id="180" w:name="_Toc282843636"/>
      <w:bookmarkStart w:id="181" w:name="_Toc390874896"/>
      <w:bookmarkStart w:id="182" w:name="_Toc396778055"/>
      <w:bookmarkStart w:id="183" w:name="_Toc419320097"/>
      <w:bookmarkStart w:id="184" w:name="_Toc283128903"/>
      <w:bookmarkStart w:id="185" w:name="_Toc414553650"/>
      <w:bookmarkStart w:id="186" w:name="_Toc419321133"/>
      <w:bookmarkStart w:id="187" w:name="_Toc433988567"/>
      <w:bookmarkStart w:id="188" w:name="_Toc419364224"/>
      <w:bookmarkStart w:id="189" w:name="_Toc59203003"/>
      <w:bookmarkStart w:id="190" w:name="_Toc419363500"/>
      <w:r>
        <w:rPr>
          <w:rFonts w:hint="eastAsia"/>
          <w:color w:val="000000"/>
        </w:rPr>
        <w:t>第二章  投标人须知</w:t>
      </w:r>
      <w:bookmarkEnd w:id="179"/>
      <w:bookmarkEnd w:id="180"/>
      <w:bookmarkEnd w:id="181"/>
      <w:bookmarkEnd w:id="182"/>
      <w:bookmarkEnd w:id="183"/>
      <w:bookmarkEnd w:id="184"/>
      <w:bookmarkEnd w:id="185"/>
      <w:bookmarkEnd w:id="186"/>
      <w:bookmarkEnd w:id="187"/>
      <w:bookmarkEnd w:id="188"/>
      <w:bookmarkEnd w:id="189"/>
      <w:bookmarkEnd w:id="190"/>
    </w:p>
    <w:p>
      <w:pPr>
        <w:pStyle w:val="3"/>
        <w:rPr>
          <w:rFonts w:hint="eastAsia"/>
          <w:color w:val="000000"/>
        </w:rPr>
      </w:pPr>
      <w:bookmarkStart w:id="191" w:name="_Toc283196389"/>
      <w:bookmarkStart w:id="192" w:name="_Toc282823811"/>
      <w:bookmarkStart w:id="193" w:name="_Toc390874897"/>
      <w:bookmarkStart w:id="194" w:name="_Toc414553651"/>
      <w:bookmarkStart w:id="195" w:name="_Toc419320098"/>
      <w:bookmarkStart w:id="196" w:name="_Toc396778056"/>
      <w:bookmarkStart w:id="197" w:name="_Toc419321134"/>
      <w:bookmarkStart w:id="198" w:name="_Toc419363501"/>
      <w:bookmarkStart w:id="199" w:name="_Toc419364225"/>
      <w:bookmarkStart w:id="200" w:name="_Toc59203004"/>
      <w:bookmarkStart w:id="201" w:name="_Toc433988568"/>
      <w:r>
        <w:rPr>
          <w:rFonts w:hint="eastAsia"/>
          <w:color w:val="000000"/>
        </w:rPr>
        <w:t>投标人须知前附表</w:t>
      </w:r>
      <w:bookmarkEnd w:id="191"/>
      <w:bookmarkEnd w:id="192"/>
      <w:bookmarkEnd w:id="193"/>
      <w:bookmarkEnd w:id="194"/>
      <w:bookmarkEnd w:id="195"/>
      <w:bookmarkEnd w:id="196"/>
      <w:bookmarkEnd w:id="197"/>
      <w:bookmarkEnd w:id="198"/>
      <w:bookmarkEnd w:id="199"/>
      <w:bookmarkEnd w:id="200"/>
      <w:bookmarkEnd w:id="201"/>
    </w:p>
    <w:tbl>
      <w:tblPr>
        <w:tblStyle w:val="83"/>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8" w:type="dxa"/>
          <w:left w:w="28" w:type="dxa"/>
          <w:bottom w:w="28" w:type="dxa"/>
          <w:right w:w="28" w:type="dxa"/>
        </w:tblCellMar>
      </w:tblPr>
      <w:tblGrid>
        <w:gridCol w:w="869"/>
        <w:gridCol w:w="1851"/>
        <w:gridCol w:w="668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561" w:hRule="atLeast"/>
          <w:jc w:val="center"/>
        </w:trPr>
        <w:tc>
          <w:tcPr>
            <w:tcW w:w="869" w:type="dxa"/>
            <w:noWrap w:val="0"/>
            <w:vAlign w:val="center"/>
          </w:tcPr>
          <w:p>
            <w:pPr>
              <w:spacing w:line="300" w:lineRule="exact"/>
              <w:jc w:val="center"/>
              <w:rPr>
                <w:color w:val="000000"/>
                <w:szCs w:val="21"/>
              </w:rPr>
            </w:pPr>
            <w:r>
              <w:rPr>
                <w:rFonts w:hint="eastAsia"/>
                <w:color w:val="000000"/>
                <w:szCs w:val="21"/>
              </w:rPr>
              <w:t>条款号</w:t>
            </w:r>
          </w:p>
        </w:tc>
        <w:tc>
          <w:tcPr>
            <w:tcW w:w="1851" w:type="dxa"/>
            <w:noWrap w:val="0"/>
            <w:vAlign w:val="center"/>
          </w:tcPr>
          <w:p>
            <w:pPr>
              <w:spacing w:line="300" w:lineRule="exact"/>
              <w:jc w:val="center"/>
              <w:rPr>
                <w:color w:val="000000"/>
                <w:szCs w:val="21"/>
              </w:rPr>
            </w:pPr>
            <w:r>
              <w:rPr>
                <w:rFonts w:hint="eastAsia"/>
                <w:color w:val="000000"/>
                <w:szCs w:val="21"/>
              </w:rPr>
              <w:t>条款名称</w:t>
            </w:r>
          </w:p>
        </w:tc>
        <w:tc>
          <w:tcPr>
            <w:tcW w:w="6688" w:type="dxa"/>
            <w:noWrap w:val="0"/>
            <w:vAlign w:val="center"/>
          </w:tcPr>
          <w:p>
            <w:pPr>
              <w:spacing w:line="300" w:lineRule="exact"/>
              <w:jc w:val="center"/>
              <w:rPr>
                <w:color w:val="000000"/>
                <w:szCs w:val="21"/>
              </w:rPr>
            </w:pPr>
            <w:r>
              <w:rPr>
                <w:rFonts w:hint="eastAsia"/>
                <w:color w:val="000000"/>
                <w:szCs w:val="21"/>
              </w:rPr>
              <w:t>编  列  内  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368" w:hRule="atLeast"/>
          <w:jc w:val="center"/>
        </w:trPr>
        <w:tc>
          <w:tcPr>
            <w:tcW w:w="869" w:type="dxa"/>
            <w:noWrap w:val="0"/>
            <w:vAlign w:val="center"/>
          </w:tcPr>
          <w:p>
            <w:pPr>
              <w:spacing w:line="340" w:lineRule="exact"/>
              <w:jc w:val="center"/>
              <w:rPr>
                <w:color w:val="000000"/>
                <w:szCs w:val="21"/>
              </w:rPr>
            </w:pPr>
            <w:r>
              <w:rPr>
                <w:rFonts w:hint="eastAsia"/>
                <w:color w:val="000000"/>
                <w:szCs w:val="21"/>
              </w:rPr>
              <w:t>1.1.</w:t>
            </w:r>
            <w:r>
              <w:rPr>
                <w:color w:val="000000"/>
                <w:szCs w:val="21"/>
              </w:rPr>
              <w:t>2</w:t>
            </w:r>
          </w:p>
        </w:tc>
        <w:tc>
          <w:tcPr>
            <w:tcW w:w="1851" w:type="dxa"/>
            <w:noWrap w:val="0"/>
            <w:vAlign w:val="center"/>
          </w:tcPr>
          <w:p>
            <w:pPr>
              <w:spacing w:line="340" w:lineRule="exact"/>
              <w:jc w:val="center"/>
              <w:rPr>
                <w:color w:val="000000"/>
                <w:szCs w:val="21"/>
              </w:rPr>
            </w:pPr>
            <w:r>
              <w:rPr>
                <w:rFonts w:hint="eastAsia"/>
                <w:color w:val="000000"/>
                <w:szCs w:val="21"/>
              </w:rPr>
              <w:t>项目名称</w:t>
            </w:r>
            <w:r>
              <w:rPr>
                <w:rFonts w:hint="eastAsia"/>
                <w:color w:val="000000"/>
              </w:rPr>
              <w:t>及项目招标编号</w:t>
            </w:r>
          </w:p>
        </w:tc>
        <w:tc>
          <w:tcPr>
            <w:tcW w:w="6688" w:type="dxa"/>
            <w:noWrap w:val="0"/>
            <w:vAlign w:val="center"/>
          </w:tcPr>
          <w:p>
            <w:pPr>
              <w:spacing w:line="340" w:lineRule="exact"/>
              <w:rPr>
                <w:color w:val="00000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1790" w:hRule="atLeast"/>
          <w:jc w:val="center"/>
        </w:trPr>
        <w:tc>
          <w:tcPr>
            <w:tcW w:w="869" w:type="dxa"/>
            <w:noWrap w:val="0"/>
            <w:vAlign w:val="center"/>
          </w:tcPr>
          <w:p>
            <w:pPr>
              <w:spacing w:line="300" w:lineRule="exact"/>
              <w:jc w:val="center"/>
              <w:rPr>
                <w:color w:val="000000"/>
                <w:szCs w:val="21"/>
              </w:rPr>
            </w:pPr>
            <w:r>
              <w:rPr>
                <w:rFonts w:hint="eastAsia"/>
                <w:color w:val="000000"/>
                <w:szCs w:val="21"/>
              </w:rPr>
              <w:t>1.1.</w:t>
            </w:r>
            <w:r>
              <w:rPr>
                <w:color w:val="000000"/>
                <w:szCs w:val="21"/>
              </w:rPr>
              <w:t>3</w:t>
            </w:r>
          </w:p>
        </w:tc>
        <w:tc>
          <w:tcPr>
            <w:tcW w:w="1851" w:type="dxa"/>
            <w:noWrap w:val="0"/>
            <w:vAlign w:val="center"/>
          </w:tcPr>
          <w:p>
            <w:pPr>
              <w:spacing w:line="300" w:lineRule="exact"/>
              <w:jc w:val="center"/>
              <w:rPr>
                <w:color w:val="000000"/>
                <w:szCs w:val="21"/>
              </w:rPr>
            </w:pPr>
            <w:r>
              <w:rPr>
                <w:rFonts w:hint="eastAsia"/>
                <w:color w:val="000000"/>
                <w:szCs w:val="21"/>
              </w:rPr>
              <w:t>招标人</w:t>
            </w:r>
          </w:p>
        </w:tc>
        <w:tc>
          <w:tcPr>
            <w:tcW w:w="6688" w:type="dxa"/>
            <w:noWrap w:val="0"/>
            <w:vAlign w:val="center"/>
          </w:tcPr>
          <w:p>
            <w:pPr>
              <w:spacing w:line="340" w:lineRule="exact"/>
              <w:rPr>
                <w:color w:val="000000"/>
                <w:szCs w:val="21"/>
              </w:rPr>
            </w:pPr>
            <w:r>
              <w:rPr>
                <w:rFonts w:hint="eastAsia"/>
                <w:color w:val="000000"/>
                <w:szCs w:val="21"/>
              </w:rPr>
              <w:t xml:space="preserve">名称： </w:t>
            </w:r>
          </w:p>
          <w:p>
            <w:pPr>
              <w:spacing w:line="340" w:lineRule="exact"/>
              <w:rPr>
                <w:color w:val="000000"/>
                <w:szCs w:val="21"/>
              </w:rPr>
            </w:pPr>
            <w:r>
              <w:rPr>
                <w:rFonts w:hint="eastAsia"/>
                <w:color w:val="000000"/>
                <w:szCs w:val="21"/>
              </w:rPr>
              <w:t xml:space="preserve">地址： </w:t>
            </w:r>
          </w:p>
          <w:p>
            <w:pPr>
              <w:spacing w:line="340" w:lineRule="exact"/>
              <w:rPr>
                <w:rFonts w:hint="eastAsia" w:ascii="宋体" w:hAnsi="宋体"/>
                <w:color w:val="000000"/>
                <w:szCs w:val="21"/>
              </w:rPr>
            </w:pPr>
            <w:r>
              <w:rPr>
                <w:rFonts w:hint="eastAsia"/>
                <w:color w:val="000000"/>
                <w:szCs w:val="21"/>
              </w:rPr>
              <w:t>联系人：</w:t>
            </w:r>
            <w:r>
              <w:rPr>
                <w:rFonts w:hint="eastAsia" w:ascii="宋体" w:hAnsi="宋体"/>
                <w:color w:val="000000"/>
                <w:szCs w:val="21"/>
              </w:rPr>
              <w:t xml:space="preserve"> </w:t>
            </w:r>
          </w:p>
          <w:p>
            <w:pPr>
              <w:spacing w:line="340" w:lineRule="exact"/>
              <w:rPr>
                <w:rFonts w:hint="eastAsia" w:ascii="宋体" w:hAnsi="宋体" w:cs="宋体"/>
                <w:color w:val="000000"/>
                <w:kern w:val="0"/>
                <w:szCs w:val="21"/>
              </w:rPr>
            </w:pPr>
            <w:r>
              <w:rPr>
                <w:rFonts w:hint="eastAsia"/>
                <w:color w:val="000000"/>
                <w:szCs w:val="21"/>
              </w:rPr>
              <w:t>电话：</w:t>
            </w:r>
            <w:r>
              <w:rPr>
                <w:rFonts w:hint="eastAsia" w:ascii="宋体" w:hAnsi="宋体" w:cs="宋体"/>
                <w:color w:val="000000"/>
                <w:kern w:val="0"/>
                <w:szCs w:val="21"/>
              </w:rPr>
              <w:t xml:space="preserve"> </w:t>
            </w:r>
          </w:p>
          <w:p>
            <w:pPr>
              <w:spacing w:line="360" w:lineRule="exact"/>
              <w:rPr>
                <w:color w:val="000000"/>
                <w:szCs w:val="21"/>
              </w:rPr>
            </w:pPr>
            <w:r>
              <w:rPr>
                <w:color w:val="000000"/>
              </w:rPr>
              <w:t>电子邮箱：</w:t>
            </w:r>
            <w:r>
              <w:rPr>
                <w:rFonts w:hint="eastAsia" w:ascii="宋体" w:hAnsi="宋体" w:cs="宋体"/>
                <w:color w:val="000000"/>
                <w:kern w:val="0"/>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385" w:hRule="atLeast"/>
          <w:jc w:val="center"/>
        </w:trPr>
        <w:tc>
          <w:tcPr>
            <w:tcW w:w="869" w:type="dxa"/>
            <w:noWrap w:val="0"/>
            <w:vAlign w:val="center"/>
          </w:tcPr>
          <w:p>
            <w:pPr>
              <w:spacing w:line="300" w:lineRule="exact"/>
              <w:jc w:val="center"/>
              <w:rPr>
                <w:color w:val="000000"/>
                <w:szCs w:val="21"/>
              </w:rPr>
            </w:pPr>
            <w:r>
              <w:rPr>
                <w:rFonts w:hint="eastAsia"/>
                <w:color w:val="000000"/>
                <w:szCs w:val="21"/>
              </w:rPr>
              <w:t>1.1.</w:t>
            </w:r>
            <w:r>
              <w:rPr>
                <w:color w:val="000000"/>
                <w:szCs w:val="21"/>
              </w:rPr>
              <w:t>4</w:t>
            </w:r>
          </w:p>
        </w:tc>
        <w:tc>
          <w:tcPr>
            <w:tcW w:w="1851" w:type="dxa"/>
            <w:noWrap w:val="0"/>
            <w:vAlign w:val="center"/>
          </w:tcPr>
          <w:p>
            <w:pPr>
              <w:spacing w:line="300" w:lineRule="exact"/>
              <w:jc w:val="center"/>
              <w:rPr>
                <w:color w:val="000000"/>
                <w:szCs w:val="21"/>
              </w:rPr>
            </w:pPr>
            <w:r>
              <w:rPr>
                <w:rFonts w:hint="eastAsia"/>
                <w:color w:val="000000"/>
                <w:szCs w:val="21"/>
              </w:rPr>
              <w:t>招标代理机构</w:t>
            </w:r>
          </w:p>
        </w:tc>
        <w:tc>
          <w:tcPr>
            <w:tcW w:w="6688" w:type="dxa"/>
            <w:noWrap w:val="0"/>
            <w:vAlign w:val="center"/>
          </w:tcPr>
          <w:p>
            <w:pPr>
              <w:spacing w:line="360" w:lineRule="exact"/>
              <w:rPr>
                <w:rFonts w:hint="eastAsia" w:ascii="宋体" w:hAnsi="宋体"/>
                <w:color w:val="000000"/>
                <w:szCs w:val="21"/>
              </w:rPr>
            </w:pPr>
            <w:r>
              <w:rPr>
                <w:rFonts w:hint="eastAsia"/>
                <w:color w:val="000000"/>
                <w:szCs w:val="21"/>
              </w:rPr>
              <w:t>名称：</w:t>
            </w:r>
          </w:p>
          <w:p>
            <w:pPr>
              <w:spacing w:line="360" w:lineRule="exact"/>
              <w:rPr>
                <w:color w:val="000000"/>
                <w:szCs w:val="21"/>
              </w:rPr>
            </w:pPr>
            <w:r>
              <w:rPr>
                <w:rFonts w:hint="eastAsia"/>
                <w:color w:val="000000"/>
                <w:szCs w:val="21"/>
              </w:rPr>
              <w:t>地址：</w:t>
            </w:r>
          </w:p>
          <w:p>
            <w:pPr>
              <w:spacing w:line="360" w:lineRule="exact"/>
              <w:rPr>
                <w:color w:val="000000"/>
                <w:szCs w:val="21"/>
              </w:rPr>
            </w:pPr>
            <w:r>
              <w:rPr>
                <w:rFonts w:hint="eastAsia"/>
                <w:color w:val="000000"/>
                <w:szCs w:val="21"/>
              </w:rPr>
              <w:t>联系人：</w:t>
            </w:r>
            <w:r>
              <w:rPr>
                <w:rFonts w:hint="eastAsia" w:ascii="宋体" w:hAnsi="宋体"/>
                <w:color w:val="000000"/>
                <w:szCs w:val="21"/>
              </w:rPr>
              <w:t xml:space="preserve"> </w:t>
            </w:r>
          </w:p>
          <w:p>
            <w:pPr>
              <w:spacing w:line="360" w:lineRule="exact"/>
              <w:rPr>
                <w:rFonts w:hint="eastAsia" w:ascii="宋体" w:hAnsi="宋体"/>
                <w:color w:val="000000"/>
                <w:szCs w:val="21"/>
              </w:rPr>
            </w:pPr>
            <w:r>
              <w:rPr>
                <w:rFonts w:hint="eastAsia"/>
                <w:color w:val="000000"/>
                <w:szCs w:val="21"/>
              </w:rPr>
              <w:t>电话：</w:t>
            </w:r>
            <w:r>
              <w:rPr>
                <w:rFonts w:hint="eastAsia" w:ascii="宋体" w:hAnsi="宋体"/>
                <w:color w:val="000000"/>
                <w:szCs w:val="21"/>
              </w:rPr>
              <w:t xml:space="preserve"> </w:t>
            </w:r>
          </w:p>
          <w:p>
            <w:pPr>
              <w:spacing w:line="360" w:lineRule="exact"/>
              <w:rPr>
                <w:rFonts w:hint="eastAsia" w:ascii="宋体" w:hAnsi="宋体"/>
                <w:color w:val="000000"/>
                <w:szCs w:val="21"/>
              </w:rPr>
            </w:pPr>
            <w:r>
              <w:rPr>
                <w:rFonts w:hint="eastAsia" w:ascii="宋体" w:hAnsi="宋体"/>
                <w:color w:val="000000"/>
                <w:szCs w:val="21"/>
              </w:rPr>
              <w:t xml:space="preserve">传真： </w:t>
            </w:r>
          </w:p>
          <w:p>
            <w:pPr>
              <w:spacing w:line="300" w:lineRule="exact"/>
              <w:rPr>
                <w:color w:val="000000"/>
                <w:szCs w:val="21"/>
              </w:rPr>
            </w:pPr>
            <w:r>
              <w:rPr>
                <w:color w:val="000000"/>
              </w:rPr>
              <w:t>电子邮箱：</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404" w:hRule="atLeast"/>
          <w:jc w:val="center"/>
        </w:trPr>
        <w:tc>
          <w:tcPr>
            <w:tcW w:w="869" w:type="dxa"/>
            <w:noWrap w:val="0"/>
            <w:vAlign w:val="center"/>
          </w:tcPr>
          <w:p>
            <w:pPr>
              <w:spacing w:line="300" w:lineRule="exact"/>
              <w:jc w:val="center"/>
              <w:rPr>
                <w:color w:val="000000"/>
                <w:szCs w:val="21"/>
              </w:rPr>
            </w:pPr>
            <w:r>
              <w:rPr>
                <w:rFonts w:hint="eastAsia"/>
                <w:color w:val="000000"/>
                <w:szCs w:val="21"/>
              </w:rPr>
              <w:t>1.1.5</w:t>
            </w:r>
          </w:p>
        </w:tc>
        <w:tc>
          <w:tcPr>
            <w:tcW w:w="1851" w:type="dxa"/>
            <w:noWrap w:val="0"/>
            <w:vAlign w:val="center"/>
          </w:tcPr>
          <w:p>
            <w:pPr>
              <w:spacing w:line="300" w:lineRule="exact"/>
              <w:jc w:val="center"/>
              <w:rPr>
                <w:color w:val="000000"/>
                <w:szCs w:val="21"/>
              </w:rPr>
            </w:pPr>
            <w:r>
              <w:rPr>
                <w:rFonts w:hint="eastAsia"/>
                <w:color w:val="000000"/>
                <w:szCs w:val="21"/>
              </w:rPr>
              <w:t>建设地点</w:t>
            </w:r>
          </w:p>
        </w:tc>
        <w:tc>
          <w:tcPr>
            <w:tcW w:w="6688" w:type="dxa"/>
            <w:noWrap w:val="0"/>
            <w:vAlign w:val="center"/>
          </w:tcPr>
          <w:p>
            <w:pPr>
              <w:spacing w:line="300" w:lineRule="exact"/>
              <w:rPr>
                <w:color w:val="000000"/>
                <w:szCs w:val="21"/>
              </w:rPr>
            </w:pPr>
            <w:r>
              <w:rPr>
                <w:rFonts w:hint="eastAsia"/>
                <w:color w:val="000000"/>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404" w:hRule="atLeast"/>
          <w:jc w:val="center"/>
        </w:trPr>
        <w:tc>
          <w:tcPr>
            <w:tcW w:w="869" w:type="dxa"/>
            <w:noWrap w:val="0"/>
            <w:vAlign w:val="center"/>
          </w:tcPr>
          <w:p>
            <w:pPr>
              <w:spacing w:line="300" w:lineRule="exact"/>
              <w:jc w:val="center"/>
              <w:rPr>
                <w:rFonts w:hint="eastAsia"/>
                <w:color w:val="000000"/>
                <w:szCs w:val="21"/>
              </w:rPr>
            </w:pPr>
            <w:r>
              <w:rPr>
                <w:rFonts w:hint="eastAsia"/>
                <w:color w:val="000000"/>
                <w:szCs w:val="21"/>
              </w:rPr>
              <w:t>1.1.6</w:t>
            </w:r>
          </w:p>
        </w:tc>
        <w:tc>
          <w:tcPr>
            <w:tcW w:w="1851" w:type="dxa"/>
            <w:noWrap w:val="0"/>
            <w:vAlign w:val="center"/>
          </w:tcPr>
          <w:p>
            <w:pPr>
              <w:spacing w:line="300" w:lineRule="exact"/>
              <w:jc w:val="center"/>
              <w:rPr>
                <w:rFonts w:hint="eastAsia"/>
                <w:color w:val="000000"/>
                <w:szCs w:val="21"/>
              </w:rPr>
            </w:pPr>
            <w:r>
              <w:rPr>
                <w:rFonts w:hint="eastAsia"/>
                <w:color w:val="000000"/>
                <w:szCs w:val="21"/>
              </w:rPr>
              <w:t>建设规模</w:t>
            </w:r>
          </w:p>
        </w:tc>
        <w:tc>
          <w:tcPr>
            <w:tcW w:w="6688" w:type="dxa"/>
            <w:noWrap w:val="0"/>
            <w:vAlign w:val="center"/>
          </w:tcPr>
          <w:p>
            <w:pPr>
              <w:spacing w:line="420" w:lineRule="exact"/>
              <w:rPr>
                <w:rFonts w:hint="eastAsia" w:ascii="宋体" w:hAnsi="宋体"/>
                <w:color w:val="000000"/>
                <w:szCs w:val="21"/>
              </w:rPr>
            </w:pPr>
            <w:r>
              <w:rPr>
                <w:rFonts w:hint="eastAsia" w:ascii="宋体" w:hAnsi="宋体"/>
                <w:color w:val="000000"/>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396" w:hRule="atLeast"/>
          <w:jc w:val="center"/>
        </w:trPr>
        <w:tc>
          <w:tcPr>
            <w:tcW w:w="869" w:type="dxa"/>
            <w:noWrap w:val="0"/>
            <w:vAlign w:val="center"/>
          </w:tcPr>
          <w:p>
            <w:pPr>
              <w:spacing w:line="300" w:lineRule="exact"/>
              <w:jc w:val="center"/>
              <w:rPr>
                <w:color w:val="000000"/>
                <w:szCs w:val="21"/>
              </w:rPr>
            </w:pPr>
            <w:r>
              <w:rPr>
                <w:rFonts w:hint="eastAsia"/>
                <w:color w:val="000000"/>
                <w:szCs w:val="21"/>
              </w:rPr>
              <w:t>1.2.1</w:t>
            </w:r>
          </w:p>
        </w:tc>
        <w:tc>
          <w:tcPr>
            <w:tcW w:w="1851" w:type="dxa"/>
            <w:noWrap w:val="0"/>
            <w:vAlign w:val="center"/>
          </w:tcPr>
          <w:p>
            <w:pPr>
              <w:spacing w:line="300" w:lineRule="exact"/>
              <w:jc w:val="center"/>
              <w:rPr>
                <w:color w:val="000000"/>
                <w:szCs w:val="21"/>
              </w:rPr>
            </w:pPr>
            <w:r>
              <w:rPr>
                <w:rFonts w:hint="eastAsia"/>
                <w:color w:val="000000"/>
                <w:szCs w:val="21"/>
              </w:rPr>
              <w:t>资金来源及比例</w:t>
            </w:r>
          </w:p>
        </w:tc>
        <w:tc>
          <w:tcPr>
            <w:tcW w:w="6688" w:type="dxa"/>
            <w:noWrap w:val="0"/>
            <w:vAlign w:val="center"/>
          </w:tcPr>
          <w:p>
            <w:pPr>
              <w:spacing w:line="300" w:lineRule="exact"/>
              <w:rPr>
                <w:rFonts w:hint="eastAsia"/>
                <w:color w:val="000000"/>
                <w:szCs w:val="21"/>
              </w:rPr>
            </w:pPr>
            <w:r>
              <w:rPr>
                <w:rFonts w:hint="eastAsia"/>
                <w:color w:val="000000"/>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395" w:hRule="atLeast"/>
          <w:jc w:val="center"/>
        </w:trPr>
        <w:tc>
          <w:tcPr>
            <w:tcW w:w="869" w:type="dxa"/>
            <w:noWrap w:val="0"/>
            <w:vAlign w:val="center"/>
          </w:tcPr>
          <w:p>
            <w:pPr>
              <w:spacing w:line="300" w:lineRule="exact"/>
              <w:jc w:val="center"/>
              <w:rPr>
                <w:color w:val="000000"/>
                <w:szCs w:val="21"/>
              </w:rPr>
            </w:pPr>
            <w:r>
              <w:rPr>
                <w:rFonts w:hint="eastAsia"/>
                <w:color w:val="000000"/>
                <w:szCs w:val="21"/>
              </w:rPr>
              <w:t>1.2.2</w:t>
            </w:r>
          </w:p>
        </w:tc>
        <w:tc>
          <w:tcPr>
            <w:tcW w:w="1851" w:type="dxa"/>
            <w:noWrap w:val="0"/>
            <w:vAlign w:val="center"/>
          </w:tcPr>
          <w:p>
            <w:pPr>
              <w:spacing w:line="300" w:lineRule="exact"/>
              <w:jc w:val="center"/>
              <w:rPr>
                <w:color w:val="000000"/>
                <w:szCs w:val="21"/>
              </w:rPr>
            </w:pPr>
            <w:r>
              <w:rPr>
                <w:rFonts w:hint="eastAsia"/>
                <w:color w:val="000000"/>
                <w:szCs w:val="21"/>
              </w:rPr>
              <w:t>资金落实情况</w:t>
            </w:r>
          </w:p>
        </w:tc>
        <w:tc>
          <w:tcPr>
            <w:tcW w:w="6688" w:type="dxa"/>
            <w:noWrap w:val="0"/>
            <w:vAlign w:val="center"/>
          </w:tcPr>
          <w:p>
            <w:pPr>
              <w:spacing w:line="300" w:lineRule="exact"/>
              <w:rPr>
                <w:color w:val="000000"/>
                <w:szCs w:val="21"/>
              </w:rPr>
            </w:pPr>
            <w:r>
              <w:rPr>
                <w:rFonts w:hint="eastAsia"/>
                <w:color w:val="000000"/>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395" w:hRule="atLeast"/>
          <w:jc w:val="center"/>
        </w:trPr>
        <w:tc>
          <w:tcPr>
            <w:tcW w:w="869" w:type="dxa"/>
            <w:noWrap w:val="0"/>
            <w:vAlign w:val="center"/>
          </w:tcPr>
          <w:p>
            <w:pPr>
              <w:spacing w:line="300" w:lineRule="exact"/>
              <w:jc w:val="center"/>
              <w:rPr>
                <w:rFonts w:hint="eastAsia"/>
                <w:color w:val="000000"/>
                <w:szCs w:val="21"/>
              </w:rPr>
            </w:pPr>
            <w:r>
              <w:rPr>
                <w:rFonts w:hint="eastAsia"/>
                <w:color w:val="000000"/>
                <w:szCs w:val="21"/>
              </w:rPr>
              <w:t>1.2.3</w:t>
            </w:r>
          </w:p>
        </w:tc>
        <w:tc>
          <w:tcPr>
            <w:tcW w:w="1851" w:type="dxa"/>
            <w:noWrap w:val="0"/>
            <w:vAlign w:val="center"/>
          </w:tcPr>
          <w:p>
            <w:pPr>
              <w:spacing w:line="300" w:lineRule="exact"/>
              <w:jc w:val="center"/>
              <w:rPr>
                <w:rFonts w:hint="eastAsia"/>
                <w:color w:val="000000"/>
                <w:szCs w:val="21"/>
              </w:rPr>
            </w:pPr>
            <w:r>
              <w:rPr>
                <w:rFonts w:hint="eastAsia"/>
                <w:color w:val="000000"/>
              </w:rPr>
              <w:t>本工程增值税计税方法</w:t>
            </w:r>
          </w:p>
        </w:tc>
        <w:tc>
          <w:tcPr>
            <w:tcW w:w="6688" w:type="dxa"/>
            <w:noWrap w:val="0"/>
            <w:vAlign w:val="center"/>
          </w:tcPr>
          <w:p>
            <w:pPr>
              <w:spacing w:line="360" w:lineRule="auto"/>
              <w:rPr>
                <w:color w:val="000000"/>
              </w:rPr>
            </w:pPr>
            <w:r>
              <w:rPr>
                <w:rFonts w:hint="eastAsia"/>
                <w:color w:val="000000"/>
              </w:rPr>
              <w:t>□一般计税法         □简易计税法</w:t>
            </w:r>
          </w:p>
          <w:p>
            <w:pPr>
              <w:spacing w:line="300" w:lineRule="exact"/>
              <w:rPr>
                <w:rFonts w:hint="eastAsia"/>
                <w:color w:val="000000"/>
                <w:szCs w:val="21"/>
              </w:rPr>
            </w:pPr>
            <w:r>
              <w:rPr>
                <w:rFonts w:hint="eastAsia"/>
                <w:color w:val="000000"/>
              </w:rPr>
              <w:t>【备注：按照《关于全面推开营业税改征增值税试点的通知》（财税〔2016〕36号）、《关于落实政府补助类建设工程项目增值税相关政策的通知》（桂国税发〔2016〕147号）、《关于建筑服务等营改增试点政策的通知》（财税〔2017〕58号）等国家、自治区现行有关文件规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395" w:hRule="atLeast"/>
          <w:jc w:val="center"/>
        </w:trPr>
        <w:tc>
          <w:tcPr>
            <w:tcW w:w="869" w:type="dxa"/>
            <w:noWrap w:val="0"/>
            <w:vAlign w:val="center"/>
          </w:tcPr>
          <w:p>
            <w:pPr>
              <w:spacing w:line="300" w:lineRule="exact"/>
              <w:jc w:val="center"/>
              <w:rPr>
                <w:rFonts w:hint="eastAsia"/>
                <w:color w:val="000000"/>
                <w:szCs w:val="21"/>
              </w:rPr>
            </w:pPr>
            <w:r>
              <w:rPr>
                <w:rFonts w:hint="eastAsia"/>
                <w:color w:val="000000"/>
                <w:szCs w:val="21"/>
              </w:rPr>
              <w:t>1.2.4</w:t>
            </w:r>
          </w:p>
        </w:tc>
        <w:tc>
          <w:tcPr>
            <w:tcW w:w="1851" w:type="dxa"/>
            <w:noWrap w:val="0"/>
            <w:vAlign w:val="center"/>
          </w:tcPr>
          <w:p>
            <w:pPr>
              <w:spacing w:line="300" w:lineRule="exact"/>
              <w:jc w:val="center"/>
              <w:rPr>
                <w:rFonts w:hint="eastAsia"/>
                <w:color w:val="000000"/>
              </w:rPr>
            </w:pPr>
            <w:r>
              <w:rPr>
                <w:rFonts w:hint="eastAsia"/>
                <w:color w:val="000000"/>
              </w:rPr>
              <w:t>采用的计价方法（适用于初步设计后工程总承包招标）</w:t>
            </w:r>
          </w:p>
        </w:tc>
        <w:tc>
          <w:tcPr>
            <w:tcW w:w="6688" w:type="dxa"/>
            <w:noWrap w:val="0"/>
            <w:vAlign w:val="center"/>
          </w:tcPr>
          <w:p>
            <w:pPr>
              <w:spacing w:line="360" w:lineRule="auto"/>
              <w:rPr>
                <w:rFonts w:hint="eastAsia"/>
                <w:color w:val="000000"/>
              </w:rPr>
            </w:pPr>
            <w:r>
              <w:rPr>
                <w:rFonts w:hint="eastAsia"/>
                <w:color w:val="000000"/>
              </w:rPr>
              <w:t>□工程量清单计价法         □工料单价法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661" w:hRule="atLeast"/>
          <w:jc w:val="center"/>
        </w:trPr>
        <w:tc>
          <w:tcPr>
            <w:tcW w:w="869" w:type="dxa"/>
            <w:noWrap w:val="0"/>
            <w:vAlign w:val="center"/>
          </w:tcPr>
          <w:p>
            <w:pPr>
              <w:spacing w:line="300" w:lineRule="exact"/>
              <w:jc w:val="center"/>
              <w:rPr>
                <w:color w:val="000000"/>
                <w:szCs w:val="21"/>
              </w:rPr>
            </w:pPr>
            <w:r>
              <w:rPr>
                <w:rFonts w:hint="eastAsia"/>
                <w:color w:val="000000"/>
                <w:szCs w:val="21"/>
              </w:rPr>
              <w:t>1.3.1</w:t>
            </w:r>
          </w:p>
        </w:tc>
        <w:tc>
          <w:tcPr>
            <w:tcW w:w="1851" w:type="dxa"/>
            <w:noWrap w:val="0"/>
            <w:vAlign w:val="center"/>
          </w:tcPr>
          <w:p>
            <w:pPr>
              <w:spacing w:line="300" w:lineRule="exact"/>
              <w:jc w:val="center"/>
              <w:rPr>
                <w:rFonts w:ascii="宋体" w:hAnsi="宋体"/>
                <w:color w:val="000000"/>
                <w:szCs w:val="21"/>
              </w:rPr>
            </w:pPr>
            <w:r>
              <w:rPr>
                <w:rFonts w:hint="eastAsia" w:ascii="宋体" w:hAnsi="宋体"/>
                <w:color w:val="000000"/>
                <w:szCs w:val="21"/>
              </w:rPr>
              <w:t>招标范围</w:t>
            </w:r>
          </w:p>
        </w:tc>
        <w:tc>
          <w:tcPr>
            <w:tcW w:w="6688" w:type="dxa"/>
            <w:noWrap w:val="0"/>
            <w:vAlign w:val="center"/>
          </w:tcPr>
          <w:p>
            <w:pPr>
              <w:spacing w:line="300" w:lineRule="exact"/>
              <w:rPr>
                <w:rFonts w:hint="eastAsia" w:ascii="宋体" w:hAnsi="宋体"/>
                <w:color w:val="000000"/>
                <w:szCs w:val="21"/>
              </w:rPr>
            </w:pPr>
            <w:r>
              <w:rPr>
                <w:rFonts w:hint="eastAsia" w:ascii="宋体" w:hAnsi="宋体"/>
                <w:color w:val="000000"/>
                <w:szCs w:val="21"/>
              </w:rPr>
              <w:t>招标范围（</w:t>
            </w:r>
            <w:r>
              <w:rPr>
                <w:rFonts w:hint="eastAsia" w:ascii="方正仿宋_GBK" w:hAnsi="宋体" w:eastAsia="方正仿宋_GBK" w:cs="宋体"/>
                <w:color w:val="000000"/>
                <w:kern w:val="0"/>
                <w:szCs w:val="32"/>
              </w:rPr>
              <w:t>招标内容及承包范围应完整，确保工程项目的整体交付</w:t>
            </w:r>
            <w:r>
              <w:rPr>
                <w:rFonts w:hint="eastAsia" w:ascii="宋体" w:hAnsi="宋体"/>
                <w:color w:val="000000"/>
                <w:szCs w:val="21"/>
              </w:rPr>
              <w:t>）：</w:t>
            </w:r>
            <w:r>
              <w:rPr>
                <w:rFonts w:hint="eastAsia" w:ascii="宋体" w:hAnsi="宋体"/>
                <w:b/>
                <w:color w:val="000000"/>
                <w:szCs w:val="21"/>
              </w:rPr>
              <w:t xml:space="preserve"> </w:t>
            </w:r>
          </w:p>
          <w:p>
            <w:pPr>
              <w:spacing w:line="300" w:lineRule="exact"/>
              <w:rPr>
                <w:rFonts w:hint="eastAsia" w:ascii="宋体" w:hAnsi="宋体"/>
                <w:color w:val="000000"/>
                <w:szCs w:val="21"/>
              </w:rPr>
            </w:pPr>
            <w:r>
              <w:rPr>
                <w:rFonts w:hint="eastAsia" w:ascii="宋体" w:hAnsi="宋体"/>
                <w:color w:val="000000"/>
                <w:szCs w:val="21"/>
              </w:rPr>
              <w:t>□项目方案设计完成后初步设计完成前：依据可行性研究报告（</w:t>
            </w:r>
            <w:r>
              <w:rPr>
                <w:rFonts w:ascii="宋体" w:hAnsi="宋体"/>
                <w:color w:val="000000"/>
                <w:szCs w:val="21"/>
              </w:rPr>
              <w:t>如有）、</w:t>
            </w:r>
            <w:r>
              <w:rPr>
                <w:rFonts w:hint="eastAsia" w:ascii="宋体" w:hAnsi="宋体"/>
                <w:color w:val="000000"/>
                <w:szCs w:val="21"/>
              </w:rPr>
              <w:t>方案设计进行初步设计、施工图设计、施工的工程总承包内容招标，包括</w:t>
            </w:r>
            <w:r>
              <w:rPr>
                <w:rFonts w:hint="eastAsia" w:ascii="宋体" w:hAnsi="宋体"/>
                <w:color w:val="000000"/>
                <w:szCs w:val="21"/>
                <w:u w:val="single"/>
              </w:rPr>
              <w:t xml:space="preserve">                                   </w:t>
            </w:r>
            <w:r>
              <w:rPr>
                <w:rFonts w:hint="eastAsia" w:ascii="宋体" w:hAnsi="宋体"/>
                <w:color w:val="000000"/>
                <w:szCs w:val="21"/>
              </w:rPr>
              <w:t>。</w:t>
            </w:r>
          </w:p>
          <w:p>
            <w:pPr>
              <w:spacing w:line="300" w:lineRule="exact"/>
              <w:rPr>
                <w:rFonts w:ascii="宋体" w:hAnsi="宋体"/>
                <w:color w:val="000000"/>
                <w:szCs w:val="21"/>
              </w:rPr>
            </w:pPr>
            <w:r>
              <w:rPr>
                <w:rFonts w:hint="eastAsia" w:ascii="宋体" w:hAnsi="宋体"/>
                <w:color w:val="000000"/>
                <w:szCs w:val="21"/>
              </w:rPr>
              <w:t>□初步设计完成后施工图设计完成前：依据拟建项目已批复的初步设计、招标文件的要求进行项目的施工图设计、施工的工程总承包内容招标，包括</w:t>
            </w:r>
            <w:r>
              <w:rPr>
                <w:rFonts w:hint="eastAsia" w:ascii="宋体" w:hAnsi="宋体"/>
                <w:color w:val="000000"/>
                <w:szCs w:val="21"/>
                <w:u w:val="single"/>
              </w:rPr>
              <w:t xml:space="preserve">                            </w:t>
            </w:r>
            <w:r>
              <w:rPr>
                <w:rFonts w:hint="eastAsia" w:ascii="宋体" w:hAnsi="宋体"/>
                <w:color w:val="000000"/>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798" w:hRule="atLeast"/>
          <w:jc w:val="center"/>
        </w:trPr>
        <w:tc>
          <w:tcPr>
            <w:tcW w:w="869" w:type="dxa"/>
            <w:noWrap w:val="0"/>
            <w:vAlign w:val="center"/>
          </w:tcPr>
          <w:p>
            <w:pPr>
              <w:spacing w:line="300" w:lineRule="exact"/>
              <w:jc w:val="center"/>
              <w:rPr>
                <w:color w:val="000000"/>
                <w:szCs w:val="21"/>
              </w:rPr>
            </w:pPr>
            <w:r>
              <w:rPr>
                <w:rFonts w:hint="eastAsia"/>
                <w:color w:val="000000"/>
                <w:szCs w:val="21"/>
              </w:rPr>
              <w:t>1.3.2</w:t>
            </w:r>
          </w:p>
        </w:tc>
        <w:tc>
          <w:tcPr>
            <w:tcW w:w="1851" w:type="dxa"/>
            <w:noWrap w:val="0"/>
            <w:vAlign w:val="center"/>
          </w:tcPr>
          <w:p>
            <w:pPr>
              <w:spacing w:line="300" w:lineRule="exact"/>
              <w:jc w:val="center"/>
              <w:rPr>
                <w:color w:val="000000"/>
                <w:szCs w:val="21"/>
              </w:rPr>
            </w:pPr>
            <w:r>
              <w:rPr>
                <w:rFonts w:hint="eastAsia"/>
                <w:color w:val="000000"/>
                <w:szCs w:val="21"/>
              </w:rPr>
              <w:t>计划工期</w:t>
            </w:r>
          </w:p>
        </w:tc>
        <w:tc>
          <w:tcPr>
            <w:tcW w:w="6688" w:type="dxa"/>
            <w:noWrap w:val="0"/>
            <w:vAlign w:val="center"/>
          </w:tcPr>
          <w:p>
            <w:pPr>
              <w:spacing w:line="300" w:lineRule="exact"/>
              <w:rPr>
                <w:rFonts w:hint="eastAsia"/>
                <w:color w:val="000000"/>
                <w:szCs w:val="21"/>
              </w:rPr>
            </w:pPr>
            <w:r>
              <w:rPr>
                <w:rFonts w:hint="eastAsia"/>
                <w:color w:val="000000"/>
                <w:szCs w:val="21"/>
              </w:rPr>
              <w:t>总承包计划工期：</w:t>
            </w:r>
            <w:r>
              <w:rPr>
                <w:rFonts w:hint="eastAsia"/>
                <w:color w:val="000000"/>
                <w:szCs w:val="21"/>
                <w:u w:val="single"/>
              </w:rPr>
              <w:t xml:space="preserve">         </w:t>
            </w:r>
            <w:r>
              <w:rPr>
                <w:rFonts w:hint="eastAsia"/>
                <w:color w:val="000000"/>
                <w:szCs w:val="21"/>
              </w:rPr>
              <w:t>日历天；</w:t>
            </w:r>
          </w:p>
          <w:p>
            <w:pPr>
              <w:spacing w:line="300" w:lineRule="exact"/>
              <w:ind w:firstLine="315" w:firstLineChars="150"/>
              <w:rPr>
                <w:rFonts w:hint="eastAsia"/>
                <w:color w:val="000000"/>
                <w:szCs w:val="21"/>
              </w:rPr>
            </w:pPr>
            <w:r>
              <w:rPr>
                <w:rFonts w:hint="eastAsia"/>
                <w:color w:val="000000"/>
                <w:szCs w:val="21"/>
              </w:rPr>
              <w:t>其中：</w:t>
            </w:r>
            <w:r>
              <w:rPr>
                <w:rFonts w:hint="eastAsia"/>
                <w:b/>
                <w:color w:val="000000"/>
                <w:szCs w:val="21"/>
              </w:rPr>
              <w:t>□</w:t>
            </w:r>
            <w:r>
              <w:rPr>
                <w:rFonts w:hint="eastAsia"/>
                <w:color w:val="000000"/>
                <w:szCs w:val="21"/>
              </w:rPr>
              <w:t>设计周期：</w:t>
            </w:r>
            <w:r>
              <w:rPr>
                <w:rFonts w:hint="eastAsia"/>
                <w:color w:val="000000"/>
                <w:szCs w:val="21"/>
                <w:u w:val="single"/>
              </w:rPr>
              <w:t xml:space="preserve">      </w:t>
            </w:r>
            <w:r>
              <w:rPr>
                <w:rFonts w:hint="eastAsia"/>
                <w:color w:val="000000"/>
                <w:szCs w:val="21"/>
              </w:rPr>
              <w:t>日历天</w:t>
            </w:r>
          </w:p>
          <w:p>
            <w:pPr>
              <w:spacing w:line="300" w:lineRule="exact"/>
              <w:ind w:firstLine="315" w:firstLineChars="150"/>
              <w:rPr>
                <w:rFonts w:hint="eastAsia"/>
                <w:color w:val="000000"/>
                <w:szCs w:val="21"/>
              </w:rPr>
            </w:pPr>
            <w:r>
              <w:rPr>
                <w:rFonts w:hint="eastAsia"/>
                <w:color w:val="000000"/>
                <w:szCs w:val="21"/>
              </w:rPr>
              <w:t xml:space="preserve">      </w:t>
            </w:r>
            <w:r>
              <w:rPr>
                <w:rFonts w:hint="eastAsia"/>
                <w:b/>
                <w:color w:val="000000"/>
                <w:szCs w:val="21"/>
              </w:rPr>
              <w:t>□</w:t>
            </w:r>
            <w:r>
              <w:rPr>
                <w:rFonts w:hint="eastAsia"/>
                <w:color w:val="000000"/>
                <w:szCs w:val="21"/>
              </w:rPr>
              <w:t>施工工期：</w:t>
            </w:r>
            <w:r>
              <w:rPr>
                <w:rFonts w:hint="eastAsia"/>
                <w:color w:val="000000"/>
                <w:szCs w:val="21"/>
                <w:u w:val="single"/>
              </w:rPr>
              <w:t xml:space="preserve">      </w:t>
            </w:r>
            <w:r>
              <w:rPr>
                <w:rFonts w:hint="eastAsia"/>
                <w:color w:val="000000"/>
                <w:szCs w:val="21"/>
              </w:rPr>
              <w:t>日历天</w:t>
            </w:r>
          </w:p>
          <w:p>
            <w:pPr>
              <w:spacing w:line="300" w:lineRule="exact"/>
              <w:rPr>
                <w:rFonts w:hint="eastAsia"/>
                <w:color w:val="000000"/>
                <w:szCs w:val="21"/>
              </w:rPr>
            </w:pPr>
            <w:r>
              <w:rPr>
                <w:rFonts w:hint="eastAsia"/>
                <w:color w:val="000000"/>
                <w:szCs w:val="21"/>
              </w:rPr>
              <w:t>计划开始工作日期：</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p>
          <w:p>
            <w:pPr>
              <w:spacing w:line="300" w:lineRule="exact"/>
              <w:rPr>
                <w:color w:val="000000"/>
                <w:szCs w:val="21"/>
              </w:rPr>
            </w:pPr>
            <w:r>
              <w:rPr>
                <w:rFonts w:hint="eastAsia"/>
                <w:color w:val="000000"/>
                <w:szCs w:val="21"/>
              </w:rPr>
              <w:t>计划竣工日期：</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627" w:hRule="atLeast"/>
          <w:jc w:val="center"/>
        </w:trPr>
        <w:tc>
          <w:tcPr>
            <w:tcW w:w="869" w:type="dxa"/>
            <w:noWrap w:val="0"/>
            <w:vAlign w:val="center"/>
          </w:tcPr>
          <w:p>
            <w:pPr>
              <w:spacing w:line="300" w:lineRule="exact"/>
              <w:jc w:val="center"/>
              <w:rPr>
                <w:color w:val="000000"/>
                <w:szCs w:val="21"/>
              </w:rPr>
            </w:pPr>
            <w:r>
              <w:rPr>
                <w:rFonts w:hint="eastAsia"/>
                <w:color w:val="000000"/>
                <w:szCs w:val="21"/>
              </w:rPr>
              <w:t>1.3.3</w:t>
            </w:r>
          </w:p>
        </w:tc>
        <w:tc>
          <w:tcPr>
            <w:tcW w:w="1851" w:type="dxa"/>
            <w:noWrap w:val="0"/>
            <w:vAlign w:val="center"/>
          </w:tcPr>
          <w:p>
            <w:pPr>
              <w:spacing w:line="300" w:lineRule="exact"/>
              <w:jc w:val="center"/>
              <w:rPr>
                <w:color w:val="000000"/>
                <w:szCs w:val="21"/>
              </w:rPr>
            </w:pPr>
            <w:r>
              <w:rPr>
                <w:rFonts w:hint="eastAsia"/>
                <w:color w:val="000000"/>
                <w:szCs w:val="21"/>
              </w:rPr>
              <w:t>质量要求</w:t>
            </w:r>
          </w:p>
        </w:tc>
        <w:tc>
          <w:tcPr>
            <w:tcW w:w="6688" w:type="dxa"/>
            <w:noWrap w:val="0"/>
            <w:vAlign w:val="center"/>
          </w:tcPr>
          <w:p>
            <w:pPr>
              <w:spacing w:line="300" w:lineRule="exact"/>
              <w:rPr>
                <w:rFonts w:hint="eastAsia" w:ascii="宋体" w:hAnsi="宋体"/>
                <w:color w:val="000000"/>
                <w:szCs w:val="21"/>
              </w:rPr>
            </w:pPr>
            <w:r>
              <w:rPr>
                <w:rFonts w:hint="eastAsia" w:ascii="宋体" w:hAnsi="宋体"/>
                <w:color w:val="000000"/>
                <w:szCs w:val="21"/>
              </w:rPr>
              <w:t>设计要求的质量标准：</w:t>
            </w:r>
          </w:p>
          <w:p>
            <w:pPr>
              <w:spacing w:line="300" w:lineRule="exact"/>
              <w:rPr>
                <w:rFonts w:hint="eastAsia" w:ascii="宋体" w:hAnsi="宋体"/>
                <w:color w:val="000000"/>
                <w:szCs w:val="21"/>
              </w:rPr>
            </w:pPr>
            <w:r>
              <w:rPr>
                <w:rFonts w:hint="eastAsia" w:ascii="宋体" w:hAnsi="宋体"/>
                <w:color w:val="000000"/>
                <w:szCs w:val="21"/>
              </w:rPr>
              <w:t>施工要求的质量标准：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1080" w:hRule="atLeast"/>
          <w:jc w:val="center"/>
        </w:trPr>
        <w:tc>
          <w:tcPr>
            <w:tcW w:w="869" w:type="dxa"/>
            <w:noWrap w:val="0"/>
            <w:vAlign w:val="center"/>
          </w:tcPr>
          <w:p>
            <w:pPr>
              <w:spacing w:line="300" w:lineRule="exact"/>
              <w:jc w:val="center"/>
              <w:rPr>
                <w:color w:val="000000"/>
                <w:szCs w:val="21"/>
              </w:rPr>
            </w:pPr>
            <w:r>
              <w:rPr>
                <w:rFonts w:hint="eastAsia"/>
                <w:color w:val="000000"/>
                <w:szCs w:val="21"/>
              </w:rPr>
              <w:t>1.4.1</w:t>
            </w:r>
          </w:p>
        </w:tc>
        <w:tc>
          <w:tcPr>
            <w:tcW w:w="1851" w:type="dxa"/>
            <w:noWrap w:val="0"/>
            <w:vAlign w:val="center"/>
          </w:tcPr>
          <w:p>
            <w:pPr>
              <w:spacing w:line="300" w:lineRule="exact"/>
              <w:jc w:val="center"/>
              <w:rPr>
                <w:rFonts w:hint="eastAsia"/>
                <w:color w:val="000000"/>
                <w:szCs w:val="21"/>
              </w:rPr>
            </w:pPr>
            <w:r>
              <w:rPr>
                <w:rFonts w:hint="eastAsia"/>
                <w:color w:val="000000"/>
                <w:szCs w:val="21"/>
              </w:rPr>
              <w:t>投标人资质条件、</w:t>
            </w:r>
          </w:p>
          <w:p>
            <w:pPr>
              <w:spacing w:line="300" w:lineRule="exact"/>
              <w:jc w:val="center"/>
              <w:rPr>
                <w:color w:val="000000"/>
                <w:szCs w:val="21"/>
              </w:rPr>
            </w:pPr>
            <w:r>
              <w:rPr>
                <w:rFonts w:hint="eastAsia"/>
                <w:color w:val="000000"/>
                <w:szCs w:val="21"/>
              </w:rPr>
              <w:t>能力和信誉</w:t>
            </w:r>
          </w:p>
        </w:tc>
        <w:tc>
          <w:tcPr>
            <w:tcW w:w="6688" w:type="dxa"/>
            <w:noWrap w:val="0"/>
            <w:vAlign w:val="center"/>
          </w:tcPr>
          <w:p>
            <w:pPr>
              <w:spacing w:line="440" w:lineRule="exact"/>
              <w:ind w:firstLine="207" w:firstLineChars="98"/>
              <w:rPr>
                <w:rFonts w:hint="eastAsia" w:hAnsi="宋体"/>
                <w:color w:val="000000"/>
              </w:rPr>
            </w:pPr>
            <w:r>
              <w:rPr>
                <w:rFonts w:hint="eastAsia" w:ascii="宋体" w:hAnsi="宋体"/>
                <w:b/>
                <w:color w:val="000000"/>
                <w:szCs w:val="21"/>
              </w:rPr>
              <w:t>（1）资质要求：</w:t>
            </w:r>
            <w:r>
              <w:rPr>
                <w:color w:val="000000"/>
              </w:rPr>
              <w:t>投标人</w:t>
            </w:r>
            <w:r>
              <w:rPr>
                <w:rFonts w:hint="eastAsia"/>
                <w:color w:val="000000"/>
              </w:rPr>
              <w:t>需</w:t>
            </w:r>
            <w:r>
              <w:rPr>
                <w:rFonts w:hint="eastAsia"/>
                <w:color w:val="000000"/>
                <w:szCs w:val="21"/>
              </w:rPr>
              <w:t>同时具</w:t>
            </w:r>
            <w:r>
              <w:rPr>
                <w:color w:val="000000"/>
              </w:rPr>
              <w:t>备</w:t>
            </w:r>
            <w:r>
              <w:rPr>
                <w:rFonts w:hint="eastAsia" w:ascii="宋体" w:hAnsi="宋体"/>
                <w:color w:val="000000"/>
                <w:szCs w:val="21"/>
                <w:u w:val="single"/>
              </w:rPr>
              <w:t xml:space="preserve">   </w:t>
            </w:r>
            <w:r>
              <w:rPr>
                <w:rFonts w:hint="eastAsia" w:ascii="宋体" w:hAnsi="宋体"/>
                <w:color w:val="000000"/>
                <w:szCs w:val="21"/>
              </w:rPr>
              <w:t>工程设计</w:t>
            </w:r>
            <w:r>
              <w:rPr>
                <w:rFonts w:hint="eastAsia" w:ascii="宋体" w:hAnsi="宋体"/>
                <w:color w:val="000000"/>
                <w:szCs w:val="21"/>
                <w:u w:val="single"/>
              </w:rPr>
              <w:t xml:space="preserve">   </w:t>
            </w:r>
            <w:r>
              <w:rPr>
                <w:rFonts w:hint="eastAsia" w:ascii="宋体" w:hAnsi="宋体"/>
                <w:color w:val="000000"/>
                <w:szCs w:val="21"/>
              </w:rPr>
              <w:t>级及以上资质</w:t>
            </w:r>
            <w:r>
              <w:rPr>
                <w:rFonts w:hint="eastAsia"/>
                <w:color w:val="000000"/>
              </w:rPr>
              <w:t>和</w:t>
            </w:r>
            <w:r>
              <w:rPr>
                <w:rFonts w:hint="eastAsia" w:ascii="宋体" w:hAnsi="宋体"/>
                <w:color w:val="000000"/>
                <w:szCs w:val="21"/>
                <w:u w:val="single"/>
              </w:rPr>
              <w:t xml:space="preserve">     </w:t>
            </w:r>
            <w:r>
              <w:rPr>
                <w:rFonts w:hint="eastAsia" w:ascii="宋体" w:hAnsi="宋体"/>
                <w:color w:val="000000"/>
                <w:szCs w:val="21"/>
              </w:rPr>
              <w:t>施工总承包</w:t>
            </w:r>
            <w:r>
              <w:rPr>
                <w:rFonts w:hint="eastAsia" w:ascii="宋体" w:hAnsi="宋体"/>
                <w:color w:val="000000"/>
                <w:szCs w:val="21"/>
                <w:u w:val="single"/>
              </w:rPr>
              <w:t xml:space="preserve">    级</w:t>
            </w:r>
            <w:r>
              <w:rPr>
                <w:rFonts w:hint="eastAsia" w:ascii="宋体" w:hAnsi="宋体"/>
                <w:color w:val="000000"/>
                <w:szCs w:val="21"/>
              </w:rPr>
              <w:t>及以上资质</w:t>
            </w:r>
            <w:r>
              <w:rPr>
                <w:color w:val="000000"/>
                <w:kern w:val="0"/>
                <w:sz w:val="24"/>
              </w:rPr>
              <w:t>，</w:t>
            </w:r>
            <w:r>
              <w:rPr>
                <w:rFonts w:hint="eastAsia"/>
                <w:color w:val="000000"/>
              </w:rPr>
              <w:t>具有有效的安全生产许可证，</w:t>
            </w:r>
            <w:r>
              <w:rPr>
                <w:color w:val="000000"/>
              </w:rPr>
              <w:t>并在人员、设备、资金等方面具</w:t>
            </w:r>
            <w:r>
              <w:rPr>
                <w:rFonts w:hint="eastAsia"/>
                <w:color w:val="000000"/>
              </w:rPr>
              <w:t>备相</w:t>
            </w:r>
            <w:r>
              <w:rPr>
                <w:color w:val="000000"/>
              </w:rPr>
              <w:t>应的</w:t>
            </w:r>
            <w:r>
              <w:rPr>
                <w:rFonts w:hint="eastAsia"/>
                <w:color w:val="000000"/>
              </w:rPr>
              <w:t>履约</w:t>
            </w:r>
            <w:r>
              <w:rPr>
                <w:color w:val="000000"/>
              </w:rPr>
              <w:t>能力。投标人</w:t>
            </w:r>
            <w:r>
              <w:rPr>
                <w:rFonts w:hint="eastAsia"/>
                <w:color w:val="000000"/>
              </w:rPr>
              <w:t>（如为联合体投标的要求其联合体中施工承包方）</w:t>
            </w:r>
            <w:r>
              <w:rPr>
                <w:color w:val="000000"/>
                <w:szCs w:val="21"/>
              </w:rPr>
              <w:t>已办理诚信库入库手续并处于有效</w:t>
            </w:r>
            <w:r>
              <w:rPr>
                <w:rFonts w:hint="eastAsia"/>
                <w:color w:val="000000"/>
                <w:szCs w:val="21"/>
              </w:rPr>
              <w:t>状态。</w:t>
            </w:r>
            <w:r>
              <w:rPr>
                <w:color w:val="000000"/>
              </w:rPr>
              <w:t xml:space="preserve"> </w:t>
            </w:r>
          </w:p>
          <w:p>
            <w:pPr>
              <w:spacing w:line="360" w:lineRule="auto"/>
              <w:ind w:firstLine="422" w:firstLineChars="200"/>
              <w:rPr>
                <w:rFonts w:hint="eastAsia" w:ascii="宋体" w:hAnsi="宋体"/>
                <w:b/>
                <w:color w:val="000000"/>
                <w:szCs w:val="21"/>
              </w:rPr>
            </w:pPr>
            <w:r>
              <w:rPr>
                <w:rFonts w:hint="eastAsia" w:ascii="宋体" w:hAnsi="宋体"/>
                <w:b/>
                <w:color w:val="000000"/>
                <w:szCs w:val="21"/>
              </w:rPr>
              <w:t>（2）</w:t>
            </w:r>
            <w:r>
              <w:rPr>
                <w:rFonts w:ascii="宋体" w:hAnsi="宋体"/>
                <w:b/>
                <w:color w:val="000000"/>
                <w:szCs w:val="21"/>
              </w:rPr>
              <w:t>主要负责人要求：</w:t>
            </w:r>
          </w:p>
          <w:p>
            <w:pPr>
              <w:spacing w:line="360" w:lineRule="auto"/>
              <w:ind w:firstLine="519" w:firstLineChars="246"/>
              <w:rPr>
                <w:rFonts w:hint="eastAsia" w:ascii="宋体" w:hAnsi="宋体"/>
                <w:color w:val="000000"/>
                <w:szCs w:val="21"/>
              </w:rPr>
            </w:pPr>
            <w:r>
              <w:rPr>
                <w:rFonts w:ascii="宋体" w:hAnsi="宋体"/>
                <w:b/>
                <w:color w:val="000000"/>
                <w:szCs w:val="21"/>
              </w:rPr>
              <w:t>工程总承包项目经理：</w:t>
            </w:r>
            <w:r>
              <w:rPr>
                <w:rFonts w:hint="eastAsia" w:ascii="宋体" w:hAnsi="宋体"/>
                <w:color w:val="000000"/>
                <w:szCs w:val="21"/>
                <w:u w:val="single"/>
              </w:rPr>
              <w:t>具有    工程专业   级注册建筑师或注册结构工程师或注册建造师或注册监理工程师和    级及以上职称（</w:t>
            </w:r>
            <w:r>
              <w:rPr>
                <w:rFonts w:hint="eastAsia" w:ascii="宋体" w:hAnsi="宋体"/>
                <w:b/>
                <w:color w:val="000000"/>
                <w:szCs w:val="21"/>
              </w:rPr>
              <w:t>联合体投标的，需为牵头单位员工），</w:t>
            </w:r>
            <w:r>
              <w:rPr>
                <w:rFonts w:hint="eastAsia" w:ascii="宋体" w:hAnsi="宋体"/>
                <w:color w:val="000000"/>
                <w:szCs w:val="21"/>
              </w:rPr>
              <w:t>已录入广西建筑业企业诚信信息库并处于有效状态，不得同时在两个或者两个以上工程项目担任施工项目经理</w:t>
            </w:r>
            <w:r>
              <w:rPr>
                <w:rFonts w:hint="eastAsia" w:ascii="宋体" w:hAnsi="宋体"/>
                <w:color w:val="000000"/>
                <w:szCs w:val="21"/>
                <w:u w:val="single"/>
              </w:rPr>
              <w:t>或</w:t>
            </w:r>
            <w:r>
              <w:rPr>
                <w:rFonts w:hint="eastAsia" w:ascii="宋体" w:hAnsi="宋体"/>
                <w:color w:val="000000"/>
                <w:szCs w:val="21"/>
              </w:rPr>
              <w:t>工程总承包项目经理</w:t>
            </w:r>
            <w:r>
              <w:rPr>
                <w:rFonts w:hint="eastAsia" w:ascii="宋体" w:hAnsi="宋体"/>
                <w:color w:val="000000"/>
                <w:szCs w:val="21"/>
                <w:u w:val="single"/>
              </w:rPr>
              <w:t>或</w:t>
            </w:r>
            <w:r>
              <w:rPr>
                <w:rFonts w:hint="eastAsia" w:ascii="宋体" w:hAnsi="宋体"/>
                <w:color w:val="000000"/>
                <w:szCs w:val="21"/>
              </w:rPr>
              <w:t>项目总监理工程师，不接受有在建、已中标未开工或已列为其他项目中标候选人第一名的施工项目经理</w:t>
            </w:r>
            <w:r>
              <w:rPr>
                <w:rFonts w:hint="eastAsia" w:ascii="宋体" w:hAnsi="宋体"/>
                <w:color w:val="000000"/>
                <w:szCs w:val="21"/>
                <w:u w:val="single"/>
              </w:rPr>
              <w:t>或</w:t>
            </w:r>
            <w:r>
              <w:rPr>
                <w:rFonts w:hint="eastAsia" w:ascii="宋体" w:hAnsi="宋体"/>
                <w:color w:val="000000"/>
                <w:szCs w:val="21"/>
              </w:rPr>
              <w:t>工程总承包项目经理</w:t>
            </w:r>
            <w:r>
              <w:rPr>
                <w:rFonts w:hint="eastAsia" w:ascii="宋体" w:hAnsi="宋体"/>
                <w:color w:val="000000"/>
                <w:szCs w:val="21"/>
                <w:u w:val="single"/>
              </w:rPr>
              <w:t>或</w:t>
            </w:r>
            <w:r>
              <w:rPr>
                <w:rFonts w:hint="eastAsia" w:ascii="宋体" w:hAnsi="宋体"/>
                <w:color w:val="000000"/>
                <w:szCs w:val="21"/>
              </w:rPr>
              <w:t>项目总监理工程师作为工程总承包项目经理（符合《广西壮族自治区建筑市场诚信卡管理暂行办法》第十六条第一款及桂建管（2016）70号文除外）</w:t>
            </w:r>
            <w:r>
              <w:rPr>
                <w:rFonts w:ascii="宋体" w:hAnsi="宋体"/>
                <w:color w:val="000000"/>
                <w:szCs w:val="21"/>
              </w:rPr>
              <w:t>。</w:t>
            </w:r>
            <w:r>
              <w:rPr>
                <w:rFonts w:hint="eastAsia"/>
                <w:color w:val="000000"/>
              </w:rPr>
              <w:t>要求担任过与拟建项目相类似的工程总承包项目经理</w:t>
            </w:r>
            <w:r>
              <w:rPr>
                <w:rFonts w:hint="eastAsia" w:ascii="宋体" w:hAnsi="宋体"/>
                <w:color w:val="000000"/>
                <w:szCs w:val="21"/>
                <w:u w:val="single"/>
              </w:rPr>
              <w:t>或</w:t>
            </w:r>
            <w:r>
              <w:rPr>
                <w:rFonts w:hint="eastAsia"/>
                <w:color w:val="000000"/>
              </w:rPr>
              <w:t>设计项目负责人</w:t>
            </w:r>
            <w:r>
              <w:rPr>
                <w:rFonts w:hint="eastAsia" w:ascii="宋体" w:hAnsi="宋体"/>
                <w:color w:val="000000"/>
                <w:szCs w:val="21"/>
                <w:u w:val="single"/>
              </w:rPr>
              <w:t>或</w:t>
            </w:r>
            <w:r>
              <w:rPr>
                <w:rFonts w:hint="eastAsia"/>
                <w:color w:val="000000"/>
              </w:rPr>
              <w:t>施工项目经理或者项目总监理工程师。</w:t>
            </w:r>
          </w:p>
          <w:p>
            <w:pPr>
              <w:spacing w:line="360" w:lineRule="auto"/>
              <w:ind w:firstLine="519" w:firstLineChars="246"/>
              <w:rPr>
                <w:rFonts w:hint="eastAsia" w:ascii="宋体" w:hAnsi="宋体"/>
                <w:color w:val="000000"/>
                <w:szCs w:val="21"/>
              </w:rPr>
            </w:pPr>
            <w:r>
              <w:rPr>
                <w:rFonts w:hint="eastAsia" w:ascii="宋体" w:hAnsi="宋体"/>
                <w:b/>
                <w:color w:val="000000"/>
                <w:szCs w:val="21"/>
              </w:rPr>
              <w:t>项目</w:t>
            </w:r>
            <w:r>
              <w:rPr>
                <w:rFonts w:ascii="宋体" w:hAnsi="宋体"/>
                <w:b/>
                <w:color w:val="000000"/>
                <w:szCs w:val="21"/>
              </w:rPr>
              <w:t>设计负责人：</w:t>
            </w:r>
            <w:r>
              <w:rPr>
                <w:rFonts w:ascii="宋体" w:hAnsi="宋体"/>
                <w:color w:val="000000"/>
                <w:szCs w:val="21"/>
              </w:rPr>
              <w:t>具有</w:t>
            </w:r>
            <w:r>
              <w:rPr>
                <w:rFonts w:hint="eastAsia" w:ascii="宋体" w:hAnsi="宋体"/>
                <w:color w:val="000000"/>
                <w:szCs w:val="21"/>
                <w:u w:val="single"/>
              </w:rPr>
              <w:t xml:space="preserve">  </w:t>
            </w:r>
            <w:r>
              <w:rPr>
                <w:rFonts w:ascii="宋体" w:hAnsi="宋体"/>
                <w:color w:val="000000"/>
                <w:szCs w:val="21"/>
              </w:rPr>
              <w:t>级注册</w:t>
            </w:r>
            <w:r>
              <w:rPr>
                <w:rFonts w:hint="eastAsia" w:ascii="宋体" w:hAnsi="宋体"/>
                <w:color w:val="000000"/>
                <w:szCs w:val="21"/>
              </w:rPr>
              <w:t>建筑师证书</w:t>
            </w:r>
            <w:r>
              <w:rPr>
                <w:rFonts w:ascii="宋体" w:hAnsi="宋体"/>
                <w:color w:val="000000"/>
                <w:szCs w:val="21"/>
              </w:rPr>
              <w:t>和</w:t>
            </w:r>
            <w:r>
              <w:rPr>
                <w:rFonts w:hint="eastAsia" w:ascii="宋体" w:hAnsi="宋体"/>
                <w:color w:val="000000"/>
                <w:szCs w:val="21"/>
                <w:u w:val="single"/>
              </w:rPr>
              <w:t xml:space="preserve">    </w:t>
            </w:r>
            <w:r>
              <w:rPr>
                <w:rFonts w:hint="eastAsia" w:ascii="宋体" w:hAnsi="宋体"/>
                <w:color w:val="000000"/>
                <w:szCs w:val="21"/>
              </w:rPr>
              <w:t>专业</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rPr>
              <w:t>级职称</w:t>
            </w:r>
            <w:r>
              <w:rPr>
                <w:rFonts w:hint="eastAsia" w:ascii="宋体" w:hAnsi="宋体"/>
                <w:color w:val="000000"/>
                <w:szCs w:val="21"/>
              </w:rPr>
              <w:t>。【备注：涉及市政道桥专业等尚未实行注册制的设相关专业高级职称要求即可】</w:t>
            </w:r>
          </w:p>
          <w:p>
            <w:pPr>
              <w:spacing w:line="360" w:lineRule="auto"/>
              <w:ind w:firstLine="527" w:firstLineChars="250"/>
              <w:rPr>
                <w:rFonts w:hint="eastAsia" w:ascii="宋体" w:hAnsi="宋体"/>
                <w:color w:val="000000"/>
                <w:szCs w:val="21"/>
              </w:rPr>
            </w:pPr>
            <w:r>
              <w:rPr>
                <w:rFonts w:hint="eastAsia" w:ascii="宋体" w:hAnsi="宋体"/>
                <w:b/>
                <w:color w:val="000000"/>
                <w:szCs w:val="21"/>
              </w:rPr>
              <w:t>施工项目经理</w:t>
            </w:r>
            <w:r>
              <w:rPr>
                <w:rFonts w:ascii="宋体" w:hAnsi="宋体"/>
                <w:b/>
                <w:color w:val="000000"/>
                <w:szCs w:val="21"/>
              </w:rPr>
              <w:t>：</w:t>
            </w:r>
            <w:r>
              <w:rPr>
                <w:rFonts w:ascii="宋体" w:hAnsi="宋体"/>
                <w:color w:val="000000"/>
                <w:szCs w:val="21"/>
              </w:rPr>
              <w:t>具有</w:t>
            </w:r>
            <w:r>
              <w:rPr>
                <w:rFonts w:hint="eastAsia" w:ascii="宋体" w:hAnsi="宋体"/>
                <w:color w:val="000000"/>
                <w:szCs w:val="21"/>
                <w:u w:val="single"/>
              </w:rPr>
              <w:t xml:space="preserve">    </w:t>
            </w:r>
            <w:r>
              <w:rPr>
                <w:rFonts w:ascii="宋体" w:hAnsi="宋体"/>
                <w:color w:val="000000"/>
                <w:szCs w:val="21"/>
              </w:rPr>
              <w:t>工程专业</w:t>
            </w:r>
            <w:r>
              <w:rPr>
                <w:rFonts w:hint="eastAsia" w:ascii="宋体" w:hAnsi="宋体"/>
                <w:color w:val="000000"/>
                <w:szCs w:val="21"/>
                <w:u w:val="single"/>
              </w:rPr>
              <w:t xml:space="preserve">   </w:t>
            </w:r>
            <w:r>
              <w:rPr>
                <w:rFonts w:ascii="宋体" w:hAnsi="宋体"/>
                <w:color w:val="000000"/>
                <w:szCs w:val="21"/>
              </w:rPr>
              <w:t>级注册</w:t>
            </w:r>
            <w:r>
              <w:rPr>
                <w:rFonts w:ascii="宋体" w:hAnsi="宋体"/>
                <w:b/>
                <w:color w:val="000000"/>
                <w:szCs w:val="21"/>
              </w:rPr>
              <w:t>建造师</w:t>
            </w:r>
            <w:r>
              <w:rPr>
                <w:rFonts w:hint="eastAsia" w:ascii="宋体" w:hAnsi="宋体"/>
                <w:color w:val="000000"/>
                <w:szCs w:val="21"/>
              </w:rPr>
              <w:t>证书</w:t>
            </w:r>
            <w:r>
              <w:rPr>
                <w:rFonts w:ascii="宋体" w:hAnsi="宋体"/>
                <w:color w:val="000000"/>
                <w:szCs w:val="21"/>
              </w:rPr>
              <w:t>和</w:t>
            </w:r>
            <w:r>
              <w:rPr>
                <w:rFonts w:hint="eastAsia" w:ascii="宋体" w:hAnsi="宋体"/>
                <w:color w:val="000000"/>
                <w:szCs w:val="21"/>
                <w:u w:val="single"/>
              </w:rPr>
              <w:t xml:space="preserve">    </w:t>
            </w:r>
            <w:r>
              <w:rPr>
                <w:rFonts w:ascii="宋体" w:hAnsi="宋体"/>
                <w:color w:val="000000"/>
                <w:szCs w:val="21"/>
              </w:rPr>
              <w:t>级及以上职称</w:t>
            </w:r>
            <w:r>
              <w:rPr>
                <w:rFonts w:hint="eastAsia" w:ascii="宋体" w:hAnsi="宋体"/>
                <w:color w:val="000000"/>
                <w:szCs w:val="21"/>
              </w:rPr>
              <w:t>，</w:t>
            </w:r>
            <w:r>
              <w:rPr>
                <w:rFonts w:hint="eastAsia"/>
                <w:color w:val="000000"/>
              </w:rPr>
              <w:t>已录入广西建筑业企业诚信信息库并处于有效状态，具备有效的安全生产考核合格证书（B类）</w:t>
            </w:r>
            <w:r>
              <w:rPr>
                <w:color w:val="000000"/>
              </w:rPr>
              <w:t>。不接受有在建、已中标未开工或已列为其他项目中标候选人第一名的</w:t>
            </w:r>
            <w:r>
              <w:rPr>
                <w:rFonts w:hint="eastAsia"/>
                <w:color w:val="000000"/>
              </w:rPr>
              <w:t>施工项目经理、工程总承包项目经理</w:t>
            </w:r>
            <w:r>
              <w:rPr>
                <w:color w:val="000000"/>
              </w:rPr>
              <w:t>作为</w:t>
            </w:r>
            <w:r>
              <w:rPr>
                <w:rFonts w:hint="eastAsia"/>
                <w:color w:val="000000"/>
              </w:rPr>
              <w:t>施工项目经理</w:t>
            </w:r>
            <w:r>
              <w:rPr>
                <w:color w:val="000000"/>
                <w:kern w:val="0"/>
                <w:szCs w:val="21"/>
              </w:rPr>
              <w:t>（</w:t>
            </w:r>
            <w:r>
              <w:rPr>
                <w:color w:val="000000"/>
              </w:rPr>
              <w:t>符合</w:t>
            </w:r>
            <w:r>
              <w:rPr>
                <w:rFonts w:hint="eastAsia"/>
                <w:color w:val="000000"/>
              </w:rPr>
              <w:t>《</w:t>
            </w:r>
            <w:r>
              <w:rPr>
                <w:bCs/>
                <w:color w:val="000000"/>
              </w:rPr>
              <w:t>广西壮族自治区建筑市场诚信卡管理暂行办法</w:t>
            </w:r>
            <w:r>
              <w:rPr>
                <w:rFonts w:hint="eastAsia"/>
                <w:color w:val="000000"/>
              </w:rPr>
              <w:t>》第十六条第一款及桂建管（2016）70号文</w:t>
            </w:r>
            <w:r>
              <w:rPr>
                <w:color w:val="000000"/>
              </w:rPr>
              <w:t>除外）。</w:t>
            </w:r>
            <w:r>
              <w:rPr>
                <w:rFonts w:ascii="宋体" w:hAnsi="宋体"/>
                <w:color w:val="000000"/>
                <w:szCs w:val="21"/>
              </w:rPr>
              <w:t xml:space="preserve"> </w:t>
            </w:r>
          </w:p>
          <w:p>
            <w:pPr>
              <w:spacing w:line="440" w:lineRule="exact"/>
              <w:ind w:firstLine="525" w:firstLineChars="250"/>
              <w:rPr>
                <w:rFonts w:hint="eastAsia" w:ascii="宋体" w:hAnsi="宋体"/>
                <w:b/>
                <w:color w:val="000000"/>
                <w:szCs w:val="21"/>
              </w:rPr>
            </w:pPr>
            <w:r>
              <w:rPr>
                <w:rFonts w:hint="eastAsia" w:ascii="宋体" w:hAnsi="宋体"/>
                <w:color w:val="000000"/>
                <w:szCs w:val="21"/>
              </w:rPr>
              <w:t>项目施工专职安全生产管理人员：</w:t>
            </w:r>
            <w:r>
              <w:rPr>
                <w:rFonts w:hint="eastAsia"/>
                <w:color w:val="000000"/>
              </w:rPr>
              <w:t>已录入广西建筑业企业诚信信息库并处于有效状态，具备有效专职安全生产管理人员安全生产考核合格证书（C类）。</w:t>
            </w:r>
            <w:r>
              <w:rPr>
                <w:color w:val="000000"/>
              </w:rPr>
              <w:t>人数符合住房和城乡建设部《建筑施工企业安全生产管理机构设置及专职安全生产管理人员配备办法》（建质〔2008〕91号）的规定不少于</w:t>
            </w:r>
            <w:r>
              <w:rPr>
                <w:color w:val="000000"/>
                <w:u w:val="single"/>
              </w:rPr>
              <w:t xml:space="preserve">    </w:t>
            </w:r>
            <w:r>
              <w:rPr>
                <w:color w:val="000000"/>
              </w:rPr>
              <w:t>人。</w:t>
            </w:r>
          </w:p>
          <w:p>
            <w:pPr>
              <w:spacing w:line="440" w:lineRule="exact"/>
              <w:ind w:firstLine="527" w:firstLineChars="250"/>
              <w:rPr>
                <w:rFonts w:hint="eastAsia" w:ascii="宋体" w:hAnsi="宋体"/>
                <w:color w:val="000000"/>
                <w:szCs w:val="21"/>
              </w:rPr>
            </w:pPr>
            <w:r>
              <w:rPr>
                <w:rFonts w:ascii="宋体" w:hAnsi="宋体"/>
                <w:b/>
                <w:color w:val="000000"/>
                <w:szCs w:val="21"/>
              </w:rPr>
              <w:t>其他要求：</w:t>
            </w:r>
            <w:r>
              <w:rPr>
                <w:rFonts w:hint="eastAsia" w:ascii="宋体" w:hAnsi="宋体"/>
                <w:color w:val="000000"/>
                <w:szCs w:val="21"/>
              </w:rPr>
              <w:t>除</w:t>
            </w:r>
            <w:r>
              <w:rPr>
                <w:rFonts w:ascii="宋体" w:hAnsi="宋体"/>
                <w:color w:val="000000"/>
                <w:szCs w:val="21"/>
              </w:rPr>
              <w:t>工程总承包项目经理</w:t>
            </w:r>
            <w:r>
              <w:rPr>
                <w:rFonts w:hint="eastAsia" w:ascii="宋体" w:hAnsi="宋体"/>
                <w:color w:val="000000"/>
                <w:szCs w:val="21"/>
              </w:rPr>
              <w:t>与项目设计负责人或工程总承包项目经理与施工项目经理可</w:t>
            </w:r>
            <w:r>
              <w:rPr>
                <w:rFonts w:ascii="宋体" w:hAnsi="宋体"/>
                <w:color w:val="000000"/>
                <w:szCs w:val="21"/>
              </w:rPr>
              <w:t>以为同一人外，以上人员不能为同一个人</w:t>
            </w:r>
            <w:r>
              <w:rPr>
                <w:rFonts w:hint="eastAsia" w:ascii="宋体" w:hAnsi="宋体"/>
                <w:color w:val="000000"/>
                <w:szCs w:val="21"/>
              </w:rPr>
              <w:t>且</w:t>
            </w:r>
            <w:r>
              <w:rPr>
                <w:rFonts w:ascii="宋体" w:hAnsi="宋体"/>
                <w:color w:val="000000"/>
                <w:szCs w:val="21"/>
              </w:rPr>
              <w:t>必须为投标</w:t>
            </w:r>
            <w:r>
              <w:rPr>
                <w:rFonts w:hint="eastAsia" w:ascii="宋体" w:hAnsi="宋体"/>
                <w:color w:val="000000"/>
                <w:szCs w:val="21"/>
              </w:rPr>
              <w:t>人</w:t>
            </w:r>
            <w:r>
              <w:rPr>
                <w:rFonts w:ascii="宋体" w:hAnsi="宋体"/>
                <w:color w:val="000000"/>
                <w:szCs w:val="21"/>
              </w:rPr>
              <w:t>本单位人员</w:t>
            </w:r>
            <w:r>
              <w:rPr>
                <w:rFonts w:hint="eastAsia" w:ascii="宋体" w:hAnsi="宋体"/>
                <w:color w:val="000000"/>
                <w:szCs w:val="21"/>
              </w:rPr>
              <w:t>（</w:t>
            </w:r>
            <w:r>
              <w:rPr>
                <w:rFonts w:hint="eastAsia"/>
                <w:color w:val="000000"/>
              </w:rPr>
              <w:t>提交近</w:t>
            </w:r>
            <w:r>
              <w:rPr>
                <w:color w:val="000000"/>
              </w:rPr>
              <w:t>1</w:t>
            </w:r>
            <w:r>
              <w:rPr>
                <w:rFonts w:hint="eastAsia"/>
                <w:color w:val="000000"/>
              </w:rPr>
              <w:t>个月（</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月）在本单位的社保证明</w:t>
            </w:r>
            <w:r>
              <w:rPr>
                <w:rFonts w:hint="eastAsia" w:ascii="宋体" w:hAnsi="宋体"/>
                <w:color w:val="000000"/>
                <w:szCs w:val="21"/>
              </w:rPr>
              <w:t>）</w:t>
            </w:r>
            <w:r>
              <w:rPr>
                <w:rFonts w:hint="eastAsia"/>
                <w:color w:val="000000"/>
              </w:rPr>
              <w:t>。</w:t>
            </w:r>
          </w:p>
          <w:p>
            <w:pPr>
              <w:spacing w:line="340" w:lineRule="exact"/>
              <w:ind w:firstLine="316" w:firstLineChars="150"/>
              <w:rPr>
                <w:rFonts w:hint="eastAsia"/>
                <w:color w:val="000000"/>
              </w:rPr>
            </w:pPr>
            <w:r>
              <w:rPr>
                <w:rFonts w:hint="eastAsia" w:ascii="宋体" w:hAnsi="宋体"/>
                <w:b/>
                <w:color w:val="000000"/>
                <w:szCs w:val="21"/>
              </w:rPr>
              <w:t>（3）</w:t>
            </w:r>
            <w:r>
              <w:rPr>
                <w:rFonts w:hint="eastAsia"/>
                <w:b/>
                <w:color w:val="000000"/>
              </w:rPr>
              <w:t>诚信要求：</w:t>
            </w:r>
            <w:r>
              <w:rPr>
                <w:rFonts w:hint="eastAsia"/>
                <w:color w:val="000000"/>
              </w:rPr>
              <w:t>根据最高人民法院等9部门《关于在招标投标活动中对失信被执行人实施联合惩戒的通知》（法〔2016〕285号）规定，投标人（如为联合体时，联合体中任一个成员）、拟派工程总承包项目经理、施工项目经理不得为失信被执行人（以评标阶段通过“信用中国”网站（www.creditchina.gov.cn）查询的结果为准）；</w:t>
            </w:r>
          </w:p>
          <w:p>
            <w:pPr>
              <w:spacing w:line="340" w:lineRule="exact"/>
              <w:ind w:firstLine="315" w:firstLineChars="150"/>
              <w:rPr>
                <w:rFonts w:hint="eastAsia"/>
                <w:color w:val="000000"/>
              </w:rPr>
            </w:pPr>
            <w:r>
              <w:rPr>
                <w:rFonts w:hint="eastAsia"/>
                <w:color w:val="000000"/>
              </w:rPr>
              <w:t>在评标阶段通过全国建筑市场监管公共服务平台（http://jzsc.mohurd.gov.cn/home）查询投标人（如为联合体时，联合体中任一个成员）、拟派工程总承包项目经理、施工项目经理不得是列为企业或个人黑名单的企业或</w:t>
            </w:r>
            <w:r>
              <w:rPr>
                <w:color w:val="000000"/>
              </w:rPr>
              <w:t>人员</w:t>
            </w:r>
            <w:r>
              <w:rPr>
                <w:rFonts w:hint="eastAsia"/>
                <w:color w:val="000000"/>
              </w:rPr>
              <w:t>。</w:t>
            </w:r>
          </w:p>
          <w:p>
            <w:pPr>
              <w:spacing w:line="340" w:lineRule="exact"/>
              <w:ind w:firstLine="315" w:firstLineChars="150"/>
              <w:rPr>
                <w:rFonts w:hint="eastAsia"/>
                <w:color w:val="000000"/>
              </w:rPr>
            </w:pPr>
            <w:r>
              <w:rPr>
                <w:rFonts w:hint="eastAsia"/>
                <w:color w:val="000000"/>
              </w:rPr>
              <w:t>近三年内投标人（如为联合体时，联合体中任一个成员）或其法定代表人不得有行贿犯罪行为【以评标阶段通过“中国裁判文书”网站（https://wenshu.court.gov.cn）查询结果为准】。</w:t>
            </w:r>
          </w:p>
          <w:p>
            <w:pPr>
              <w:spacing w:line="340" w:lineRule="exact"/>
              <w:ind w:firstLine="315" w:firstLineChars="150"/>
              <w:rPr>
                <w:color w:val="000000"/>
              </w:rPr>
            </w:pPr>
            <w:r>
              <w:rPr>
                <w:rFonts w:hint="eastAsia"/>
                <w:color w:val="000000"/>
              </w:rPr>
              <w:t xml:space="preserve">    投标人企业在制作投标文件，生成投标文件时，须在弹出的输入框中填写拟投入的工程总承包项目经理</w:t>
            </w:r>
            <w:r>
              <w:rPr>
                <w:color w:val="000000"/>
              </w:rPr>
              <w:t>、</w:t>
            </w:r>
            <w:r>
              <w:rPr>
                <w:rFonts w:hint="eastAsia"/>
                <w:color w:val="000000"/>
              </w:rPr>
              <w:t>施工项目经理及专职安全生产管理人员（所有专职安全生产管理人员均须填写）身份证信息。在投标文件解密环节，广西壮族自治区公共资源交易平台系统将自动核验工程总承包项目经理、施工项目经理以及专职安全生产管理人员的身份信息及人员状态。投标人企业和拟投入工程总承包项目经理、施工项目经理及专职安全生产管理人员的广西建筑市场诚信信息均应未被锁定。</w:t>
            </w:r>
          </w:p>
          <w:p>
            <w:pPr>
              <w:spacing w:line="340" w:lineRule="exact"/>
              <w:ind w:firstLine="316" w:firstLineChars="150"/>
              <w:rPr>
                <w:color w:val="000000"/>
              </w:rPr>
            </w:pPr>
            <w:r>
              <w:rPr>
                <w:rFonts w:hint="eastAsia" w:ascii="宋体" w:hAnsi="宋体"/>
                <w:b/>
                <w:color w:val="000000"/>
                <w:szCs w:val="21"/>
              </w:rPr>
              <w:t>（4）</w:t>
            </w:r>
            <w:r>
              <w:rPr>
                <w:rFonts w:hint="eastAsia"/>
                <w:b/>
                <w:color w:val="000000"/>
              </w:rPr>
              <w:t>财务要求：</w:t>
            </w:r>
            <w:r>
              <w:rPr>
                <w:rFonts w:hint="eastAsia"/>
                <w:color w:val="000000"/>
                <w:u w:val="single"/>
              </w:rPr>
              <w:t xml:space="preserve">   年至   年</w:t>
            </w:r>
            <w:r>
              <w:rPr>
                <w:rFonts w:hint="eastAsia"/>
                <w:color w:val="000000"/>
              </w:rPr>
              <w:t>经会计</w:t>
            </w:r>
            <w:r>
              <w:rPr>
                <w:color w:val="000000"/>
              </w:rPr>
              <w:t>师事务</w:t>
            </w:r>
            <w:r>
              <w:rPr>
                <w:rFonts w:hint="eastAsia"/>
                <w:color w:val="000000"/>
              </w:rPr>
              <w:t>所审计的财务报表（</w:t>
            </w:r>
            <w:r>
              <w:rPr>
                <w:color w:val="000000"/>
              </w:rPr>
              <w:t>含审计报告）</w:t>
            </w:r>
            <w:r>
              <w:rPr>
                <w:rFonts w:hint="eastAsia"/>
                <w:color w:val="000000"/>
              </w:rPr>
              <w:t>（联合体投标时</w:t>
            </w:r>
            <w:r>
              <w:rPr>
                <w:color w:val="000000"/>
              </w:rPr>
              <w:t>，联合体各方均需要提供，</w:t>
            </w:r>
            <w:r>
              <w:rPr>
                <w:rFonts w:hint="eastAsia"/>
                <w:color w:val="000000"/>
              </w:rPr>
              <w:t>施工企业以广西建筑业企业诚信信息库为准）【备注：对于从取得营业执照时间起到投标截止时间为止不足要求年数的企业，只需提交企业取得营业执照年份至所要求最近年份经审计的财务报表即</w:t>
            </w:r>
            <w:r>
              <w:rPr>
                <w:color w:val="000000"/>
              </w:rPr>
              <w:t>视为全部提供</w:t>
            </w:r>
            <w:r>
              <w:rPr>
                <w:rFonts w:hint="eastAsia"/>
                <w:color w:val="000000"/>
              </w:rPr>
              <w:t>】。</w:t>
            </w:r>
          </w:p>
          <w:p>
            <w:pPr>
              <w:spacing w:line="340" w:lineRule="exact"/>
              <w:ind w:firstLine="316" w:firstLineChars="150"/>
              <w:rPr>
                <w:rFonts w:hint="eastAsia"/>
                <w:color w:val="000000"/>
                <w:u w:val="single"/>
              </w:rPr>
            </w:pPr>
            <w:r>
              <w:rPr>
                <w:rFonts w:hint="eastAsia" w:ascii="宋体" w:hAnsi="宋体"/>
                <w:b/>
                <w:color w:val="000000"/>
                <w:szCs w:val="21"/>
              </w:rPr>
              <w:t>（</w:t>
            </w:r>
            <w:r>
              <w:rPr>
                <w:rFonts w:ascii="宋体" w:hAnsi="宋体"/>
                <w:b/>
                <w:color w:val="000000"/>
                <w:szCs w:val="21"/>
              </w:rPr>
              <w:t>5</w:t>
            </w:r>
            <w:r>
              <w:rPr>
                <w:rFonts w:hint="eastAsia" w:ascii="宋体" w:hAnsi="宋体"/>
                <w:b/>
                <w:color w:val="000000"/>
                <w:szCs w:val="21"/>
              </w:rPr>
              <w:t>）业绩要求：</w:t>
            </w:r>
            <w:r>
              <w:rPr>
                <w:rFonts w:hint="eastAsia"/>
                <w:color w:val="000000"/>
                <w:u w:val="single"/>
              </w:rPr>
              <w:t xml:space="preserve">    年    月</w:t>
            </w:r>
            <w:r>
              <w:rPr>
                <w:rFonts w:hint="eastAsia"/>
                <w:color w:val="000000"/>
              </w:rPr>
              <w:t>至投标截止日期止，企业：</w:t>
            </w:r>
          </w:p>
          <w:p>
            <w:pPr>
              <w:spacing w:line="340" w:lineRule="exact"/>
              <w:ind w:firstLine="315" w:firstLineChars="150"/>
              <w:rPr>
                <w:rFonts w:hint="eastAsia"/>
                <w:color w:val="000000"/>
              </w:rPr>
            </w:pPr>
            <w:r>
              <w:rPr>
                <w:rFonts w:hint="eastAsia"/>
                <w:color w:val="000000"/>
              </w:rPr>
              <w:t>□完成过质量合格的类似工程项目（已竣工工程业绩以广西建筑业企业诚信信息库为准，设计单位提供的已竣工工程业绩只需传原件扫描件）</w:t>
            </w:r>
          </w:p>
          <w:p>
            <w:pPr>
              <w:spacing w:line="340" w:lineRule="exact"/>
              <w:ind w:firstLine="315" w:firstLineChars="150"/>
              <w:rPr>
                <w:rFonts w:hint="eastAsia"/>
                <w:color w:val="000000"/>
              </w:rPr>
            </w:pPr>
            <w:r>
              <w:rPr>
                <w:rFonts w:hint="eastAsia"/>
                <w:color w:val="000000"/>
              </w:rPr>
              <w:t>□承接过类似工程项目（在投标文件组成的“业绩（在建工程）”节点上传相关证明材料的原件扫描件）。（此项可选）</w:t>
            </w:r>
          </w:p>
          <w:p>
            <w:pPr>
              <w:spacing w:line="340" w:lineRule="exact"/>
              <w:ind w:firstLine="316" w:firstLineChars="150"/>
              <w:rPr>
                <w:rFonts w:hint="eastAsia"/>
                <w:color w:val="000000"/>
                <w:u w:val="single"/>
              </w:rPr>
            </w:pPr>
            <w:r>
              <w:rPr>
                <w:rFonts w:hint="eastAsia" w:ascii="宋体" w:hAnsi="宋体"/>
                <w:b/>
                <w:color w:val="000000"/>
                <w:szCs w:val="21"/>
              </w:rPr>
              <w:t>（</w:t>
            </w:r>
            <w:r>
              <w:rPr>
                <w:rFonts w:ascii="宋体" w:hAnsi="宋体"/>
                <w:b/>
                <w:color w:val="000000"/>
                <w:szCs w:val="21"/>
              </w:rPr>
              <w:t>6</w:t>
            </w:r>
            <w:r>
              <w:rPr>
                <w:rFonts w:hint="eastAsia" w:ascii="宋体" w:hAnsi="宋体"/>
                <w:b/>
                <w:color w:val="000000"/>
                <w:szCs w:val="21"/>
              </w:rPr>
              <w:t>）</w:t>
            </w:r>
            <w:r>
              <w:rPr>
                <w:rFonts w:hint="eastAsia"/>
                <w:b/>
                <w:color w:val="000000"/>
              </w:rPr>
              <w:t>其他要求：</w:t>
            </w:r>
            <w:r>
              <w:rPr>
                <w:rFonts w:hint="eastAsia"/>
                <w:color w:val="000000"/>
                <w:u w:val="single"/>
              </w:rPr>
              <w:t xml:space="preserve">                                </w:t>
            </w:r>
            <w:r>
              <w:rPr>
                <w:rFonts w:hint="eastAsia"/>
                <w:color w:val="000000"/>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934" w:hRule="atLeast"/>
          <w:jc w:val="center"/>
        </w:trPr>
        <w:tc>
          <w:tcPr>
            <w:tcW w:w="869" w:type="dxa"/>
            <w:noWrap w:val="0"/>
            <w:vAlign w:val="center"/>
          </w:tcPr>
          <w:p>
            <w:pPr>
              <w:spacing w:line="360" w:lineRule="auto"/>
              <w:jc w:val="center"/>
              <w:rPr>
                <w:color w:val="000000"/>
                <w:szCs w:val="21"/>
              </w:rPr>
            </w:pPr>
            <w:r>
              <w:rPr>
                <w:rFonts w:hint="eastAsia"/>
                <w:color w:val="000000"/>
                <w:szCs w:val="21"/>
              </w:rPr>
              <w:t>1.4.</w:t>
            </w:r>
            <w:r>
              <w:rPr>
                <w:color w:val="000000"/>
                <w:szCs w:val="21"/>
              </w:rPr>
              <w:t>4</w:t>
            </w:r>
          </w:p>
        </w:tc>
        <w:tc>
          <w:tcPr>
            <w:tcW w:w="1851" w:type="dxa"/>
            <w:noWrap w:val="0"/>
            <w:vAlign w:val="center"/>
          </w:tcPr>
          <w:p>
            <w:pPr>
              <w:spacing w:line="360" w:lineRule="exact"/>
              <w:jc w:val="center"/>
              <w:rPr>
                <w:rFonts w:hint="eastAsia"/>
                <w:color w:val="000000"/>
                <w:szCs w:val="21"/>
              </w:rPr>
            </w:pPr>
            <w:r>
              <w:rPr>
                <w:rFonts w:hint="eastAsia"/>
                <w:color w:val="000000"/>
                <w:szCs w:val="21"/>
              </w:rPr>
              <w:t>是否接受</w:t>
            </w:r>
          </w:p>
          <w:p>
            <w:pPr>
              <w:spacing w:line="360" w:lineRule="exact"/>
              <w:jc w:val="center"/>
              <w:rPr>
                <w:color w:val="000000"/>
                <w:szCs w:val="21"/>
              </w:rPr>
            </w:pPr>
            <w:r>
              <w:rPr>
                <w:rFonts w:hint="eastAsia"/>
                <w:color w:val="000000"/>
                <w:szCs w:val="21"/>
              </w:rPr>
              <w:t>联合体投标</w:t>
            </w:r>
          </w:p>
        </w:tc>
        <w:tc>
          <w:tcPr>
            <w:tcW w:w="6688" w:type="dxa"/>
            <w:noWrap w:val="0"/>
            <w:vAlign w:val="center"/>
          </w:tcPr>
          <w:p>
            <w:pPr>
              <w:spacing w:line="440" w:lineRule="exact"/>
              <w:ind w:firstLine="422" w:firstLineChars="200"/>
              <w:rPr>
                <w:rFonts w:ascii="宋体" w:hAnsi="宋体"/>
                <w:color w:val="000000"/>
                <w:szCs w:val="21"/>
              </w:rPr>
            </w:pPr>
            <w:r>
              <w:rPr>
                <w:rFonts w:ascii="宋体" w:hAnsi="宋体"/>
                <w:b/>
                <w:color w:val="000000"/>
                <w:szCs w:val="21"/>
              </w:rPr>
              <w:t>本次招标接受联合体投标。</w:t>
            </w:r>
            <w:r>
              <w:rPr>
                <w:rFonts w:ascii="宋体" w:hAnsi="宋体"/>
                <w:color w:val="000000"/>
                <w:szCs w:val="21"/>
              </w:rPr>
              <w:t>联合体成员</w:t>
            </w:r>
            <w:r>
              <w:rPr>
                <w:rFonts w:hint="eastAsia" w:ascii="宋体" w:hAnsi="宋体"/>
                <w:color w:val="000000"/>
                <w:szCs w:val="21"/>
              </w:rPr>
              <w:t>可</w:t>
            </w:r>
            <w:r>
              <w:rPr>
                <w:rFonts w:ascii="宋体" w:hAnsi="宋体"/>
                <w:color w:val="000000"/>
                <w:szCs w:val="21"/>
              </w:rPr>
              <w:t>由</w:t>
            </w:r>
            <w:r>
              <w:rPr>
                <w:rFonts w:hint="eastAsia" w:ascii="宋体" w:hAnsi="宋体"/>
                <w:color w:val="000000"/>
                <w:szCs w:val="21"/>
              </w:rPr>
              <w:t>设计单位和施工单位</w:t>
            </w:r>
            <w:r>
              <w:rPr>
                <w:rFonts w:ascii="宋体" w:hAnsi="宋体"/>
                <w:color w:val="000000"/>
                <w:szCs w:val="21"/>
              </w:rPr>
              <w:t>组成，联合体各方均应符合</w:t>
            </w:r>
            <w:r>
              <w:rPr>
                <w:rFonts w:hint="eastAsia" w:ascii="宋体" w:hAnsi="宋体"/>
                <w:color w:val="000000"/>
                <w:szCs w:val="21"/>
              </w:rPr>
              <w:t>“具有独立法人资格”、</w:t>
            </w:r>
            <w:r>
              <w:rPr>
                <w:rFonts w:ascii="宋体" w:hAnsi="宋体"/>
                <w:color w:val="000000"/>
                <w:szCs w:val="21"/>
              </w:rPr>
              <w:t>“具有独立承担民事责任的能力”的条件。</w:t>
            </w:r>
            <w:r>
              <w:rPr>
                <w:rFonts w:hint="eastAsia" w:ascii="宋体" w:hAnsi="宋体"/>
                <w:color w:val="000000"/>
                <w:szCs w:val="21"/>
              </w:rPr>
              <w:t>联合体投标要求投标</w:t>
            </w:r>
            <w:r>
              <w:rPr>
                <w:rFonts w:hint="eastAsia" w:ascii="宋体" w:hAnsi="宋体"/>
                <w:b/>
                <w:color w:val="000000"/>
                <w:szCs w:val="21"/>
              </w:rPr>
              <w:t>设计单位</w:t>
            </w:r>
            <w:r>
              <w:rPr>
                <w:rFonts w:hint="eastAsia" w:ascii="宋体" w:hAnsi="宋体"/>
                <w:color w:val="000000"/>
                <w:szCs w:val="21"/>
              </w:rPr>
              <w:t>必须具备</w:t>
            </w:r>
            <w:r>
              <w:rPr>
                <w:rFonts w:hint="eastAsia" w:ascii="宋体" w:hAnsi="宋体"/>
                <w:color w:val="000000"/>
                <w:szCs w:val="21"/>
                <w:u w:val="single"/>
              </w:rPr>
              <w:t xml:space="preserve">   </w:t>
            </w:r>
            <w:r>
              <w:rPr>
                <w:rFonts w:hint="eastAsia" w:ascii="宋体" w:hAnsi="宋体"/>
                <w:color w:val="000000"/>
                <w:szCs w:val="21"/>
              </w:rPr>
              <w:t>工程设计</w:t>
            </w:r>
          </w:p>
          <w:p>
            <w:pPr>
              <w:spacing w:line="440" w:lineRule="exact"/>
              <w:rPr>
                <w:rFonts w:ascii="宋体" w:hAnsi="宋体"/>
                <w:b/>
                <w:color w:val="000000"/>
                <w:szCs w:val="21"/>
              </w:rPr>
            </w:pPr>
            <w:r>
              <w:rPr>
                <w:rFonts w:hint="eastAsia" w:ascii="宋体" w:hAnsi="宋体"/>
                <w:color w:val="000000"/>
                <w:szCs w:val="21"/>
                <w:u w:val="single"/>
              </w:rPr>
              <w:t xml:space="preserve">    </w:t>
            </w:r>
            <w:r>
              <w:rPr>
                <w:rFonts w:hint="eastAsia" w:ascii="宋体" w:hAnsi="宋体"/>
                <w:color w:val="000000"/>
                <w:szCs w:val="21"/>
              </w:rPr>
              <w:t>级资质；</w:t>
            </w:r>
            <w:r>
              <w:rPr>
                <w:rFonts w:hint="eastAsia" w:ascii="宋体" w:hAnsi="宋体"/>
                <w:b/>
                <w:color w:val="000000"/>
                <w:szCs w:val="21"/>
              </w:rPr>
              <w:t>施工单位</w:t>
            </w:r>
            <w:r>
              <w:rPr>
                <w:rFonts w:hint="eastAsia" w:ascii="宋体" w:hAnsi="宋体"/>
                <w:color w:val="000000"/>
                <w:szCs w:val="21"/>
              </w:rPr>
              <w:t>必须具备</w:t>
            </w:r>
            <w:r>
              <w:rPr>
                <w:rFonts w:hint="eastAsia" w:ascii="宋体" w:hAnsi="宋体"/>
                <w:color w:val="000000"/>
                <w:szCs w:val="21"/>
                <w:u w:val="single"/>
              </w:rPr>
              <w:t xml:space="preserve">     </w:t>
            </w:r>
            <w:r>
              <w:rPr>
                <w:rFonts w:hint="eastAsia" w:ascii="宋体" w:hAnsi="宋体"/>
                <w:color w:val="000000"/>
                <w:szCs w:val="21"/>
              </w:rPr>
              <w:t>施工总</w:t>
            </w:r>
            <w:r>
              <w:rPr>
                <w:rFonts w:ascii="宋体" w:hAnsi="宋体"/>
                <w:color w:val="000000"/>
                <w:szCs w:val="21"/>
              </w:rPr>
              <w:t>承包</w:t>
            </w:r>
            <w:r>
              <w:rPr>
                <w:rFonts w:hint="eastAsia" w:ascii="宋体" w:hAnsi="宋体"/>
                <w:color w:val="000000"/>
                <w:szCs w:val="21"/>
                <w:u w:val="single"/>
              </w:rPr>
              <w:t xml:space="preserve">    </w:t>
            </w:r>
            <w:r>
              <w:rPr>
                <w:rFonts w:hint="eastAsia" w:ascii="宋体" w:hAnsi="宋体"/>
                <w:color w:val="000000"/>
                <w:szCs w:val="21"/>
              </w:rPr>
              <w:t>级以上（含</w:t>
            </w:r>
            <w:r>
              <w:rPr>
                <w:rFonts w:hint="eastAsia" w:ascii="宋体" w:hAnsi="宋体"/>
                <w:color w:val="000000"/>
                <w:szCs w:val="21"/>
                <w:u w:val="single"/>
              </w:rPr>
              <w:t xml:space="preserve">    </w:t>
            </w:r>
            <w:r>
              <w:rPr>
                <w:rFonts w:hint="eastAsia" w:ascii="宋体" w:hAnsi="宋体"/>
                <w:color w:val="000000"/>
                <w:szCs w:val="21"/>
              </w:rPr>
              <w:t>级）资质并具备有效的安全生产许可证。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934" w:hRule="atLeast"/>
          <w:jc w:val="center"/>
        </w:trPr>
        <w:tc>
          <w:tcPr>
            <w:tcW w:w="869" w:type="dxa"/>
            <w:noWrap w:val="0"/>
            <w:vAlign w:val="center"/>
          </w:tcPr>
          <w:p>
            <w:pPr>
              <w:spacing w:line="360" w:lineRule="auto"/>
              <w:jc w:val="center"/>
              <w:rPr>
                <w:rFonts w:hint="eastAsia"/>
                <w:color w:val="000000"/>
                <w:szCs w:val="21"/>
              </w:rPr>
            </w:pPr>
            <w:r>
              <w:rPr>
                <w:rFonts w:hint="eastAsia"/>
                <w:color w:val="000000"/>
                <w:szCs w:val="21"/>
              </w:rPr>
              <w:t>1.4.</w:t>
            </w:r>
            <w:r>
              <w:rPr>
                <w:color w:val="000000"/>
                <w:szCs w:val="21"/>
              </w:rPr>
              <w:t>5</w:t>
            </w:r>
          </w:p>
        </w:tc>
        <w:tc>
          <w:tcPr>
            <w:tcW w:w="1851" w:type="dxa"/>
            <w:noWrap w:val="0"/>
            <w:vAlign w:val="center"/>
          </w:tcPr>
          <w:p>
            <w:pPr>
              <w:spacing w:line="360" w:lineRule="exact"/>
              <w:jc w:val="center"/>
              <w:rPr>
                <w:rFonts w:hint="eastAsia"/>
                <w:color w:val="000000"/>
                <w:szCs w:val="21"/>
              </w:rPr>
            </w:pPr>
            <w:r>
              <w:rPr>
                <w:rFonts w:hint="eastAsia"/>
                <w:color w:val="000000"/>
                <w:szCs w:val="21"/>
              </w:rPr>
              <w:t>是否要求采用装配式技术</w:t>
            </w:r>
          </w:p>
        </w:tc>
        <w:tc>
          <w:tcPr>
            <w:tcW w:w="6688" w:type="dxa"/>
            <w:noWrap w:val="0"/>
            <w:vAlign w:val="center"/>
          </w:tcPr>
          <w:p>
            <w:pPr>
              <w:spacing w:line="440" w:lineRule="exact"/>
              <w:rPr>
                <w:rFonts w:hint="eastAsia" w:hAnsi="宋体"/>
                <w:color w:val="000000"/>
              </w:rPr>
            </w:pPr>
            <w:r>
              <w:rPr>
                <w:rFonts w:hint="eastAsia" w:hAnsi="宋体"/>
                <w:b/>
                <w:color w:val="000000"/>
              </w:rPr>
              <w:t>□</w:t>
            </w:r>
            <w:r>
              <w:rPr>
                <w:rFonts w:hint="eastAsia" w:hAnsi="宋体"/>
                <w:color w:val="000000"/>
              </w:rPr>
              <w:t>不要求</w:t>
            </w:r>
          </w:p>
          <w:p>
            <w:pPr>
              <w:spacing w:line="440" w:lineRule="exact"/>
              <w:rPr>
                <w:rFonts w:ascii="宋体" w:hAnsi="宋体"/>
                <w:b/>
                <w:color w:val="000000"/>
                <w:szCs w:val="21"/>
              </w:rPr>
            </w:pPr>
            <w:r>
              <w:rPr>
                <w:rFonts w:hint="eastAsia" w:hAnsi="宋体"/>
                <w:b/>
                <w:color w:val="000000"/>
              </w:rPr>
              <w:t>□</w:t>
            </w:r>
            <w:r>
              <w:rPr>
                <w:rFonts w:hint="eastAsia" w:hAnsi="宋体"/>
                <w:color w:val="000000"/>
              </w:rPr>
              <w:t>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934" w:hRule="atLeast"/>
          <w:jc w:val="center"/>
        </w:trPr>
        <w:tc>
          <w:tcPr>
            <w:tcW w:w="869" w:type="dxa"/>
            <w:noWrap w:val="0"/>
            <w:vAlign w:val="center"/>
          </w:tcPr>
          <w:p>
            <w:pPr>
              <w:spacing w:line="360" w:lineRule="auto"/>
              <w:jc w:val="center"/>
              <w:rPr>
                <w:rFonts w:hint="eastAsia"/>
                <w:color w:val="000000"/>
                <w:szCs w:val="21"/>
              </w:rPr>
            </w:pPr>
            <w:r>
              <w:rPr>
                <w:rFonts w:hint="eastAsia"/>
                <w:color w:val="000000"/>
                <w:szCs w:val="21"/>
              </w:rPr>
              <w:t>1.4.</w:t>
            </w:r>
            <w:r>
              <w:rPr>
                <w:color w:val="000000"/>
                <w:szCs w:val="21"/>
              </w:rPr>
              <w:t>6</w:t>
            </w:r>
          </w:p>
        </w:tc>
        <w:tc>
          <w:tcPr>
            <w:tcW w:w="1851" w:type="dxa"/>
            <w:noWrap w:val="0"/>
            <w:vAlign w:val="center"/>
          </w:tcPr>
          <w:p>
            <w:pPr>
              <w:spacing w:line="360" w:lineRule="exact"/>
              <w:jc w:val="center"/>
              <w:rPr>
                <w:rFonts w:hint="eastAsia"/>
                <w:color w:val="000000"/>
                <w:szCs w:val="21"/>
              </w:rPr>
            </w:pPr>
            <w:r>
              <w:rPr>
                <w:rFonts w:hint="eastAsia"/>
                <w:color w:val="000000"/>
                <w:szCs w:val="21"/>
              </w:rPr>
              <w:t>是否要求采用建筑信息模型（BIM）技术</w:t>
            </w:r>
          </w:p>
        </w:tc>
        <w:tc>
          <w:tcPr>
            <w:tcW w:w="6688" w:type="dxa"/>
            <w:noWrap w:val="0"/>
            <w:vAlign w:val="center"/>
          </w:tcPr>
          <w:p>
            <w:pPr>
              <w:spacing w:line="440" w:lineRule="exact"/>
              <w:rPr>
                <w:rFonts w:hint="eastAsia" w:hAnsi="宋体"/>
                <w:color w:val="000000"/>
              </w:rPr>
            </w:pPr>
            <w:r>
              <w:rPr>
                <w:rFonts w:hint="eastAsia" w:hAnsi="宋体"/>
                <w:b/>
                <w:color w:val="000000"/>
              </w:rPr>
              <w:t>□</w:t>
            </w:r>
            <w:r>
              <w:rPr>
                <w:rFonts w:hint="eastAsia" w:hAnsi="宋体"/>
                <w:color w:val="000000"/>
              </w:rPr>
              <w:t>不要求</w:t>
            </w:r>
          </w:p>
          <w:p>
            <w:pPr>
              <w:spacing w:line="440" w:lineRule="exact"/>
              <w:rPr>
                <w:rFonts w:hint="eastAsia" w:hAnsi="宋体"/>
                <w:b/>
                <w:color w:val="000000"/>
              </w:rPr>
            </w:pPr>
            <w:r>
              <w:rPr>
                <w:rFonts w:hint="eastAsia" w:hAnsi="宋体"/>
                <w:b/>
                <w:color w:val="000000"/>
              </w:rPr>
              <w:t>□</w:t>
            </w:r>
            <w:r>
              <w:rPr>
                <w:rFonts w:hint="eastAsia" w:hAnsi="宋体"/>
                <w:color w:val="000000"/>
              </w:rPr>
              <w:t>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934" w:hRule="atLeast"/>
          <w:jc w:val="center"/>
        </w:trPr>
        <w:tc>
          <w:tcPr>
            <w:tcW w:w="869" w:type="dxa"/>
            <w:noWrap w:val="0"/>
            <w:vAlign w:val="center"/>
          </w:tcPr>
          <w:p>
            <w:pPr>
              <w:spacing w:line="360" w:lineRule="auto"/>
              <w:jc w:val="center"/>
              <w:rPr>
                <w:rFonts w:hint="eastAsia"/>
                <w:color w:val="000000"/>
                <w:szCs w:val="21"/>
              </w:rPr>
            </w:pPr>
            <w:r>
              <w:rPr>
                <w:rFonts w:hint="eastAsia"/>
                <w:color w:val="000000"/>
                <w:szCs w:val="21"/>
              </w:rPr>
              <w:t>1.5</w:t>
            </w:r>
          </w:p>
        </w:tc>
        <w:tc>
          <w:tcPr>
            <w:tcW w:w="1851" w:type="dxa"/>
            <w:noWrap w:val="0"/>
            <w:vAlign w:val="center"/>
          </w:tcPr>
          <w:p>
            <w:pPr>
              <w:spacing w:line="360" w:lineRule="exact"/>
              <w:jc w:val="center"/>
              <w:rPr>
                <w:rFonts w:hint="eastAsia"/>
                <w:color w:val="000000"/>
                <w:szCs w:val="21"/>
              </w:rPr>
            </w:pPr>
            <w:r>
              <w:rPr>
                <w:rFonts w:hint="eastAsia"/>
                <w:color w:val="000000"/>
                <w:szCs w:val="21"/>
              </w:rPr>
              <w:t>费用承担和</w:t>
            </w:r>
          </w:p>
          <w:p>
            <w:pPr>
              <w:spacing w:line="360" w:lineRule="exact"/>
              <w:jc w:val="center"/>
              <w:rPr>
                <w:rFonts w:hint="eastAsia"/>
                <w:color w:val="000000"/>
                <w:szCs w:val="21"/>
              </w:rPr>
            </w:pPr>
            <w:r>
              <w:rPr>
                <w:rFonts w:hint="eastAsia"/>
                <w:color w:val="000000"/>
                <w:szCs w:val="21"/>
              </w:rPr>
              <w:t>设计成果补偿</w:t>
            </w:r>
          </w:p>
        </w:tc>
        <w:tc>
          <w:tcPr>
            <w:tcW w:w="6688" w:type="dxa"/>
            <w:noWrap w:val="0"/>
            <w:vAlign w:val="center"/>
          </w:tcPr>
          <w:p>
            <w:pPr>
              <w:spacing w:line="440" w:lineRule="exact"/>
              <w:rPr>
                <w:rFonts w:hint="eastAsia" w:hAnsi="宋体"/>
                <w:color w:val="000000"/>
              </w:rPr>
            </w:pPr>
            <w:r>
              <w:rPr>
                <w:rFonts w:hint="eastAsia" w:hAnsi="宋体"/>
                <w:b/>
                <w:color w:val="000000"/>
              </w:rPr>
              <w:t>□</w:t>
            </w:r>
            <w:r>
              <w:rPr>
                <w:rFonts w:hint="eastAsia" w:hAnsi="宋体"/>
                <w:color w:val="000000"/>
              </w:rPr>
              <w:t>不补偿；</w:t>
            </w:r>
          </w:p>
          <w:p>
            <w:pPr>
              <w:spacing w:line="440" w:lineRule="exact"/>
              <w:rPr>
                <w:rFonts w:ascii="宋体" w:hAnsi="宋体"/>
                <w:b/>
                <w:color w:val="000000"/>
                <w:szCs w:val="21"/>
              </w:rPr>
            </w:pPr>
            <w:r>
              <w:rPr>
                <w:rFonts w:hint="eastAsia" w:hAnsi="宋体"/>
                <w:b/>
                <w:color w:val="000000"/>
              </w:rPr>
              <w:t>□</w:t>
            </w:r>
            <w:r>
              <w:rPr>
                <w:rFonts w:hint="eastAsia" w:hAnsi="宋体"/>
                <w:color w:val="000000"/>
              </w:rPr>
              <w:t>补偿，补偿标准、支付时间及补偿后设计成果的权属</w:t>
            </w:r>
            <w:r>
              <w:rPr>
                <w:rFonts w:hint="eastAsia" w:hAnsi="宋体"/>
                <w:color w:val="000000"/>
                <w:u w:val="single"/>
              </w:rPr>
              <w:t xml:space="preserve">                                          </w:t>
            </w:r>
            <w:r>
              <w:rPr>
                <w:rFonts w:hint="eastAsia" w:hAnsi="宋体"/>
                <w:color w:val="000000"/>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564" w:hRule="atLeast"/>
          <w:jc w:val="center"/>
        </w:trPr>
        <w:tc>
          <w:tcPr>
            <w:tcW w:w="869" w:type="dxa"/>
            <w:noWrap w:val="0"/>
            <w:vAlign w:val="center"/>
          </w:tcPr>
          <w:p>
            <w:pPr>
              <w:spacing w:line="360" w:lineRule="exact"/>
              <w:jc w:val="center"/>
              <w:rPr>
                <w:color w:val="000000"/>
                <w:szCs w:val="21"/>
              </w:rPr>
            </w:pPr>
            <w:r>
              <w:rPr>
                <w:rFonts w:hint="eastAsia"/>
                <w:color w:val="000000"/>
                <w:szCs w:val="21"/>
              </w:rPr>
              <w:t>1.</w:t>
            </w:r>
            <w:r>
              <w:rPr>
                <w:color w:val="000000"/>
                <w:szCs w:val="21"/>
              </w:rPr>
              <w:t>10</w:t>
            </w:r>
          </w:p>
        </w:tc>
        <w:tc>
          <w:tcPr>
            <w:tcW w:w="1851" w:type="dxa"/>
            <w:noWrap w:val="0"/>
            <w:vAlign w:val="center"/>
          </w:tcPr>
          <w:p>
            <w:pPr>
              <w:spacing w:line="360" w:lineRule="exact"/>
              <w:jc w:val="center"/>
              <w:rPr>
                <w:color w:val="000000"/>
                <w:szCs w:val="21"/>
              </w:rPr>
            </w:pPr>
            <w:r>
              <w:rPr>
                <w:rFonts w:hint="eastAsia"/>
                <w:color w:val="000000"/>
                <w:szCs w:val="21"/>
              </w:rPr>
              <w:t>踏勘现场</w:t>
            </w:r>
          </w:p>
        </w:tc>
        <w:tc>
          <w:tcPr>
            <w:tcW w:w="6688" w:type="dxa"/>
            <w:noWrap w:val="0"/>
            <w:vAlign w:val="center"/>
          </w:tcPr>
          <w:p>
            <w:pPr>
              <w:spacing w:line="440" w:lineRule="exact"/>
              <w:rPr>
                <w:color w:val="000000"/>
                <w:szCs w:val="21"/>
                <w:u w:val="single"/>
              </w:rPr>
            </w:pPr>
            <w:r>
              <w:rPr>
                <w:rFonts w:hint="eastAsia" w:hAnsi="宋体"/>
                <w:color w:val="000000"/>
              </w:rPr>
              <w:t>不组织；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518" w:hRule="atLeast"/>
          <w:jc w:val="center"/>
        </w:trPr>
        <w:tc>
          <w:tcPr>
            <w:tcW w:w="869" w:type="dxa"/>
            <w:noWrap w:val="0"/>
            <w:vAlign w:val="center"/>
          </w:tcPr>
          <w:p>
            <w:pPr>
              <w:spacing w:line="360" w:lineRule="exact"/>
              <w:jc w:val="center"/>
              <w:rPr>
                <w:color w:val="000000"/>
                <w:szCs w:val="21"/>
              </w:rPr>
            </w:pPr>
            <w:r>
              <w:rPr>
                <w:rFonts w:hint="eastAsia"/>
                <w:color w:val="000000"/>
                <w:szCs w:val="21"/>
              </w:rPr>
              <w:t>1.1</w:t>
            </w:r>
            <w:r>
              <w:rPr>
                <w:color w:val="000000"/>
                <w:szCs w:val="21"/>
              </w:rPr>
              <w:t>1</w:t>
            </w:r>
            <w:r>
              <w:rPr>
                <w:rFonts w:hint="eastAsia"/>
                <w:color w:val="000000"/>
                <w:szCs w:val="21"/>
              </w:rPr>
              <w:t>.1</w:t>
            </w:r>
          </w:p>
        </w:tc>
        <w:tc>
          <w:tcPr>
            <w:tcW w:w="1851" w:type="dxa"/>
            <w:noWrap w:val="0"/>
            <w:vAlign w:val="center"/>
          </w:tcPr>
          <w:p>
            <w:pPr>
              <w:spacing w:line="360" w:lineRule="exact"/>
              <w:jc w:val="center"/>
              <w:rPr>
                <w:color w:val="000000"/>
                <w:szCs w:val="21"/>
              </w:rPr>
            </w:pPr>
            <w:r>
              <w:rPr>
                <w:rFonts w:hint="eastAsia"/>
                <w:color w:val="000000"/>
                <w:szCs w:val="21"/>
              </w:rPr>
              <w:t>投标预备会</w:t>
            </w:r>
          </w:p>
        </w:tc>
        <w:tc>
          <w:tcPr>
            <w:tcW w:w="6688" w:type="dxa"/>
            <w:noWrap w:val="0"/>
            <w:vAlign w:val="center"/>
          </w:tcPr>
          <w:p>
            <w:pPr>
              <w:spacing w:line="440" w:lineRule="exact"/>
              <w:rPr>
                <w:color w:val="000000"/>
                <w:szCs w:val="21"/>
              </w:rPr>
            </w:pPr>
            <w:r>
              <w:rPr>
                <w:rFonts w:hint="eastAsia" w:hAnsi="宋体"/>
                <w:color w:val="000000"/>
              </w:rPr>
              <w:t>不召开；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525" w:hRule="atLeast"/>
          <w:jc w:val="center"/>
        </w:trPr>
        <w:tc>
          <w:tcPr>
            <w:tcW w:w="869" w:type="dxa"/>
            <w:noWrap w:val="0"/>
            <w:vAlign w:val="center"/>
          </w:tcPr>
          <w:p>
            <w:pPr>
              <w:spacing w:line="360" w:lineRule="exact"/>
              <w:jc w:val="center"/>
              <w:rPr>
                <w:color w:val="000000"/>
                <w:szCs w:val="21"/>
              </w:rPr>
            </w:pPr>
            <w:r>
              <w:rPr>
                <w:rFonts w:hint="eastAsia"/>
                <w:color w:val="000000"/>
                <w:szCs w:val="21"/>
              </w:rPr>
              <w:t>1.1</w:t>
            </w:r>
            <w:r>
              <w:rPr>
                <w:color w:val="000000"/>
                <w:szCs w:val="21"/>
              </w:rPr>
              <w:t>1</w:t>
            </w:r>
            <w:r>
              <w:rPr>
                <w:rFonts w:hint="eastAsia"/>
                <w:color w:val="000000"/>
                <w:szCs w:val="21"/>
              </w:rPr>
              <w:t>.2</w:t>
            </w:r>
          </w:p>
        </w:tc>
        <w:tc>
          <w:tcPr>
            <w:tcW w:w="1851" w:type="dxa"/>
            <w:noWrap w:val="0"/>
            <w:vAlign w:val="center"/>
          </w:tcPr>
          <w:p>
            <w:pPr>
              <w:spacing w:line="360" w:lineRule="exact"/>
              <w:jc w:val="center"/>
              <w:rPr>
                <w:color w:val="000000"/>
                <w:szCs w:val="21"/>
              </w:rPr>
            </w:pPr>
            <w:r>
              <w:rPr>
                <w:rFonts w:hint="eastAsia"/>
                <w:color w:val="000000"/>
                <w:szCs w:val="21"/>
              </w:rPr>
              <w:t>投标人对招标文件提出异议的截止时间</w:t>
            </w:r>
          </w:p>
        </w:tc>
        <w:tc>
          <w:tcPr>
            <w:tcW w:w="6688" w:type="dxa"/>
            <w:noWrap w:val="0"/>
            <w:vAlign w:val="center"/>
          </w:tcPr>
          <w:p>
            <w:pPr>
              <w:spacing w:line="360" w:lineRule="auto"/>
              <w:rPr>
                <w:color w:val="000000"/>
              </w:rPr>
            </w:pPr>
            <w:r>
              <w:rPr>
                <w:rFonts w:hint="eastAsia"/>
                <w:color w:val="000000"/>
              </w:rPr>
              <w:t>投标截止日</w:t>
            </w:r>
            <w:r>
              <w:rPr>
                <w:color w:val="000000"/>
              </w:rPr>
              <w:t>10</w:t>
            </w:r>
            <w:r>
              <w:rPr>
                <w:rFonts w:hint="eastAsia"/>
                <w:color w:val="000000"/>
              </w:rPr>
              <w:t>天前。</w:t>
            </w:r>
            <w:r>
              <w:rPr>
                <w:rFonts w:hint="eastAsia" w:cs="宋体"/>
                <w:color w:val="000000"/>
              </w:rPr>
              <w:t>投标人不在规定期限内提出，招标人有权不予答复，或答复后投标截止时间由招标人确定是否顺延。</w:t>
            </w:r>
          </w:p>
          <w:p>
            <w:pPr>
              <w:spacing w:line="360" w:lineRule="exact"/>
              <w:rPr>
                <w:color w:val="000000"/>
                <w:szCs w:val="21"/>
              </w:rPr>
            </w:pPr>
            <w:r>
              <w:rPr>
                <w:rFonts w:hint="eastAsia" w:cs="宋体"/>
                <w:color w:val="000000"/>
              </w:rPr>
              <w:t>澄清和答复须通过广西壮族自治区公共资源交易平台系统进行。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525" w:hRule="atLeast"/>
          <w:jc w:val="center"/>
        </w:trPr>
        <w:tc>
          <w:tcPr>
            <w:tcW w:w="869" w:type="dxa"/>
            <w:noWrap w:val="0"/>
            <w:vAlign w:val="center"/>
          </w:tcPr>
          <w:p>
            <w:pPr>
              <w:spacing w:line="360" w:lineRule="exact"/>
              <w:jc w:val="center"/>
              <w:rPr>
                <w:color w:val="000000"/>
                <w:szCs w:val="21"/>
              </w:rPr>
            </w:pPr>
            <w:r>
              <w:rPr>
                <w:rFonts w:hint="eastAsia"/>
                <w:color w:val="000000"/>
                <w:szCs w:val="21"/>
              </w:rPr>
              <w:t>1.1</w:t>
            </w:r>
            <w:r>
              <w:rPr>
                <w:color w:val="000000"/>
                <w:szCs w:val="21"/>
              </w:rPr>
              <w:t>1</w:t>
            </w:r>
            <w:r>
              <w:rPr>
                <w:rFonts w:hint="eastAsia"/>
                <w:color w:val="000000"/>
                <w:szCs w:val="21"/>
              </w:rPr>
              <w:t>.3</w:t>
            </w:r>
          </w:p>
        </w:tc>
        <w:tc>
          <w:tcPr>
            <w:tcW w:w="1851" w:type="dxa"/>
            <w:noWrap w:val="0"/>
            <w:vAlign w:val="center"/>
          </w:tcPr>
          <w:p>
            <w:pPr>
              <w:spacing w:line="360" w:lineRule="exact"/>
              <w:jc w:val="center"/>
              <w:rPr>
                <w:rFonts w:hint="eastAsia"/>
                <w:color w:val="000000"/>
                <w:szCs w:val="21"/>
              </w:rPr>
            </w:pPr>
            <w:r>
              <w:rPr>
                <w:rFonts w:hint="eastAsia"/>
                <w:color w:val="000000"/>
                <w:szCs w:val="21"/>
              </w:rPr>
              <w:t>招标人书面</w:t>
            </w:r>
          </w:p>
          <w:p>
            <w:pPr>
              <w:spacing w:line="360" w:lineRule="exact"/>
              <w:jc w:val="center"/>
              <w:rPr>
                <w:color w:val="000000"/>
                <w:szCs w:val="21"/>
              </w:rPr>
            </w:pPr>
            <w:r>
              <w:rPr>
                <w:rFonts w:hint="eastAsia"/>
                <w:color w:val="000000"/>
                <w:szCs w:val="21"/>
              </w:rPr>
              <w:t>澄清的时间</w:t>
            </w:r>
          </w:p>
        </w:tc>
        <w:tc>
          <w:tcPr>
            <w:tcW w:w="6688" w:type="dxa"/>
            <w:noWrap w:val="0"/>
            <w:vAlign w:val="center"/>
          </w:tcPr>
          <w:p>
            <w:pPr>
              <w:spacing w:line="360" w:lineRule="exact"/>
              <w:rPr>
                <w:color w:val="000000"/>
              </w:rPr>
            </w:pPr>
            <w:r>
              <w:rPr>
                <w:rFonts w:hint="eastAsia"/>
                <w:color w:val="000000"/>
              </w:rPr>
              <w:t>投标截止日</w:t>
            </w:r>
            <w:r>
              <w:rPr>
                <w:color w:val="000000"/>
              </w:rPr>
              <w:t>15</w:t>
            </w:r>
            <w:r>
              <w:rPr>
                <w:rFonts w:hint="eastAsia"/>
                <w:color w:val="000000"/>
              </w:rPr>
              <w:t>天前（澄清内容可能影响资格预审申请文件或者投标文件编制的）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376" w:hRule="atLeast"/>
          <w:jc w:val="center"/>
        </w:trPr>
        <w:tc>
          <w:tcPr>
            <w:tcW w:w="869" w:type="dxa"/>
            <w:noWrap w:val="0"/>
            <w:vAlign w:val="center"/>
          </w:tcPr>
          <w:p>
            <w:pPr>
              <w:spacing w:line="360" w:lineRule="exact"/>
              <w:jc w:val="center"/>
              <w:rPr>
                <w:color w:val="000000"/>
                <w:szCs w:val="21"/>
              </w:rPr>
            </w:pPr>
            <w:r>
              <w:rPr>
                <w:rFonts w:hint="eastAsia"/>
                <w:color w:val="000000"/>
                <w:szCs w:val="21"/>
              </w:rPr>
              <w:t>1.1</w:t>
            </w:r>
            <w:r>
              <w:rPr>
                <w:color w:val="000000"/>
                <w:szCs w:val="21"/>
              </w:rPr>
              <w:t>2</w:t>
            </w:r>
          </w:p>
        </w:tc>
        <w:tc>
          <w:tcPr>
            <w:tcW w:w="1851" w:type="dxa"/>
            <w:noWrap w:val="0"/>
            <w:vAlign w:val="center"/>
          </w:tcPr>
          <w:p>
            <w:pPr>
              <w:spacing w:line="360" w:lineRule="exact"/>
              <w:jc w:val="center"/>
              <w:rPr>
                <w:rFonts w:hint="eastAsia"/>
                <w:color w:val="000000"/>
                <w:szCs w:val="21"/>
              </w:rPr>
            </w:pPr>
            <w:r>
              <w:rPr>
                <w:rFonts w:hint="eastAsia"/>
                <w:color w:val="000000"/>
                <w:szCs w:val="21"/>
              </w:rPr>
              <w:t>投标人拟</w:t>
            </w:r>
          </w:p>
          <w:p>
            <w:pPr>
              <w:spacing w:line="360" w:lineRule="exact"/>
              <w:jc w:val="center"/>
              <w:rPr>
                <w:color w:val="000000"/>
                <w:szCs w:val="21"/>
              </w:rPr>
            </w:pPr>
            <w:r>
              <w:rPr>
                <w:rFonts w:hint="eastAsia"/>
                <w:color w:val="000000"/>
                <w:szCs w:val="21"/>
              </w:rPr>
              <w:t>分包的工作</w:t>
            </w:r>
          </w:p>
        </w:tc>
        <w:tc>
          <w:tcPr>
            <w:tcW w:w="6688" w:type="dxa"/>
            <w:noWrap w:val="0"/>
            <w:vAlign w:val="center"/>
          </w:tcPr>
          <w:p>
            <w:pPr>
              <w:spacing w:line="360" w:lineRule="exact"/>
              <w:rPr>
                <w:rFonts w:ascii="宋体" w:hAnsi="宋体"/>
                <w:color w:val="000000"/>
                <w:szCs w:val="21"/>
              </w:rPr>
            </w:pPr>
            <w:r>
              <w:rPr>
                <w:rFonts w:hint="eastAsia" w:ascii="宋体" w:hAnsi="宋体"/>
                <w:color w:val="000000"/>
                <w:szCs w:val="21"/>
              </w:rPr>
              <w:t>1、中标人可以采用直接发包的方式进行分包，分</w:t>
            </w:r>
            <w:r>
              <w:rPr>
                <w:rFonts w:ascii="宋体" w:hAnsi="宋体"/>
                <w:color w:val="000000"/>
                <w:szCs w:val="21"/>
              </w:rPr>
              <w:t>包前，</w:t>
            </w:r>
            <w:r>
              <w:rPr>
                <w:rFonts w:hint="eastAsia" w:ascii="宋体" w:hAnsi="宋体"/>
                <w:color w:val="000000"/>
                <w:szCs w:val="21"/>
              </w:rPr>
              <w:t>中标人应将其选择的分包单位的资质、专业施工能力等情况报招标人审查同意并备案后，方可签订分包合同并进行施工。</w:t>
            </w:r>
          </w:p>
          <w:p>
            <w:pPr>
              <w:spacing w:line="360" w:lineRule="exact"/>
              <w:rPr>
                <w:color w:val="000000"/>
                <w:szCs w:val="21"/>
              </w:rPr>
            </w:pPr>
            <w:r>
              <w:rPr>
                <w:rFonts w:hint="eastAsia" w:ascii="宋体" w:hAnsi="宋体"/>
                <w:color w:val="000000"/>
                <w:szCs w:val="21"/>
              </w:rPr>
              <w:t>2、以暂估价形式包括在总承包范围内的工程、货物、服务分包时，属于依法必须进行招标的项目范围且达到国家规定规模标准的，应当依法招标。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525" w:hRule="atLeast"/>
          <w:jc w:val="center"/>
        </w:trPr>
        <w:tc>
          <w:tcPr>
            <w:tcW w:w="869" w:type="dxa"/>
            <w:noWrap w:val="0"/>
            <w:vAlign w:val="center"/>
          </w:tcPr>
          <w:p>
            <w:pPr>
              <w:spacing w:line="360" w:lineRule="auto"/>
              <w:jc w:val="center"/>
              <w:rPr>
                <w:color w:val="000000"/>
                <w:szCs w:val="21"/>
              </w:rPr>
            </w:pPr>
            <w:r>
              <w:rPr>
                <w:rFonts w:hint="eastAsia"/>
                <w:color w:val="000000"/>
                <w:szCs w:val="21"/>
              </w:rPr>
              <w:t>2.1</w:t>
            </w:r>
            <w:r>
              <w:rPr>
                <w:rFonts w:hint="eastAsia" w:cs="宋体"/>
                <w:color w:val="000000"/>
              </w:rPr>
              <w:t>（</w:t>
            </w:r>
            <w:r>
              <w:rPr>
                <w:color w:val="000000"/>
              </w:rPr>
              <w:t>10</w:t>
            </w:r>
            <w:r>
              <w:rPr>
                <w:rFonts w:hint="eastAsia" w:cs="宋体"/>
                <w:color w:val="000000"/>
              </w:rPr>
              <w:t>）</w:t>
            </w:r>
          </w:p>
        </w:tc>
        <w:tc>
          <w:tcPr>
            <w:tcW w:w="1851" w:type="dxa"/>
            <w:noWrap w:val="0"/>
            <w:vAlign w:val="center"/>
          </w:tcPr>
          <w:p>
            <w:pPr>
              <w:spacing w:line="300" w:lineRule="exact"/>
              <w:jc w:val="center"/>
              <w:rPr>
                <w:rFonts w:hint="eastAsia"/>
                <w:color w:val="000000"/>
                <w:szCs w:val="21"/>
              </w:rPr>
            </w:pPr>
            <w:r>
              <w:rPr>
                <w:rFonts w:hint="eastAsia"/>
                <w:color w:val="000000"/>
                <w:szCs w:val="21"/>
              </w:rPr>
              <w:t>构成招标文件</w:t>
            </w:r>
          </w:p>
          <w:p>
            <w:pPr>
              <w:spacing w:line="300" w:lineRule="exact"/>
              <w:jc w:val="center"/>
              <w:rPr>
                <w:color w:val="000000"/>
                <w:szCs w:val="21"/>
              </w:rPr>
            </w:pPr>
            <w:r>
              <w:rPr>
                <w:rFonts w:hint="eastAsia"/>
                <w:color w:val="000000"/>
                <w:szCs w:val="21"/>
              </w:rPr>
              <w:t>的其他材料</w:t>
            </w:r>
          </w:p>
        </w:tc>
        <w:tc>
          <w:tcPr>
            <w:tcW w:w="6688" w:type="dxa"/>
            <w:noWrap w:val="0"/>
            <w:vAlign w:val="center"/>
          </w:tcPr>
          <w:p>
            <w:pPr>
              <w:spacing w:line="300" w:lineRule="exact"/>
              <w:rPr>
                <w:color w:val="000000"/>
                <w:szCs w:val="21"/>
              </w:rPr>
            </w:pPr>
            <w:r>
              <w:rPr>
                <w:rFonts w:hint="eastAsia" w:hAnsi="宋体"/>
                <w:color w:val="000000"/>
              </w:rPr>
              <w:t xml:space="preserve">招标文件的澄清、修改、补充通知等内容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525" w:hRule="atLeast"/>
          <w:jc w:val="center"/>
        </w:trPr>
        <w:tc>
          <w:tcPr>
            <w:tcW w:w="869" w:type="dxa"/>
            <w:noWrap w:val="0"/>
            <w:vAlign w:val="center"/>
          </w:tcPr>
          <w:p>
            <w:pPr>
              <w:spacing w:line="360" w:lineRule="auto"/>
              <w:jc w:val="center"/>
              <w:rPr>
                <w:color w:val="000000"/>
              </w:rPr>
            </w:pPr>
            <w:r>
              <w:rPr>
                <w:color w:val="000000"/>
              </w:rPr>
              <w:t>2.2.1</w:t>
            </w:r>
          </w:p>
        </w:tc>
        <w:tc>
          <w:tcPr>
            <w:tcW w:w="1851" w:type="dxa"/>
            <w:noWrap w:val="0"/>
            <w:vAlign w:val="center"/>
          </w:tcPr>
          <w:p>
            <w:pPr>
              <w:spacing w:line="360" w:lineRule="auto"/>
              <w:rPr>
                <w:color w:val="000000"/>
              </w:rPr>
            </w:pPr>
            <w:r>
              <w:rPr>
                <w:rFonts w:hint="eastAsia" w:cs="宋体"/>
                <w:color w:val="000000"/>
              </w:rPr>
              <w:t>投标人对招标文件提出异议的截止时间</w:t>
            </w:r>
          </w:p>
        </w:tc>
        <w:tc>
          <w:tcPr>
            <w:tcW w:w="6688" w:type="dxa"/>
            <w:noWrap w:val="0"/>
            <w:vAlign w:val="center"/>
          </w:tcPr>
          <w:p>
            <w:pPr>
              <w:spacing w:line="360" w:lineRule="auto"/>
              <w:rPr>
                <w:color w:val="000000"/>
              </w:rPr>
            </w:pPr>
            <w:r>
              <w:rPr>
                <w:rFonts w:hint="eastAsia" w:cs="宋体"/>
                <w:color w:val="000000"/>
              </w:rPr>
              <w:t>投标截止时间</w:t>
            </w:r>
            <w:r>
              <w:rPr>
                <w:color w:val="000000"/>
              </w:rPr>
              <w:t>10</w:t>
            </w:r>
            <w:r>
              <w:rPr>
                <w:rFonts w:hint="eastAsia" w:cs="宋体"/>
                <w:color w:val="000000"/>
              </w:rPr>
              <w:t>日前。投标人不在规定期限内提出，招标人有权不予答复，或答复后投标截止时间由招标人确定是否顺延。</w:t>
            </w:r>
          </w:p>
          <w:p>
            <w:pPr>
              <w:spacing w:line="360" w:lineRule="auto"/>
              <w:rPr>
                <w:color w:val="000000"/>
              </w:rPr>
            </w:pPr>
            <w:r>
              <w:rPr>
                <w:rFonts w:hint="eastAsia" w:cs="宋体"/>
                <w:color w:val="000000"/>
              </w:rPr>
              <w:t>澄清和答复须通过广西壮族自治区公共资源交易平台系统进行。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393" w:hRule="atLeast"/>
          <w:jc w:val="center"/>
        </w:trPr>
        <w:tc>
          <w:tcPr>
            <w:tcW w:w="869" w:type="dxa"/>
            <w:vMerge w:val="restart"/>
            <w:noWrap w:val="0"/>
            <w:vAlign w:val="center"/>
          </w:tcPr>
          <w:p>
            <w:pPr>
              <w:spacing w:line="360" w:lineRule="auto"/>
              <w:jc w:val="center"/>
              <w:rPr>
                <w:rFonts w:hint="eastAsia"/>
                <w:color w:val="000000"/>
                <w:szCs w:val="21"/>
              </w:rPr>
            </w:pPr>
            <w:r>
              <w:rPr>
                <w:rFonts w:hint="eastAsia"/>
                <w:color w:val="000000"/>
                <w:szCs w:val="21"/>
              </w:rPr>
              <w:t>2.</w:t>
            </w:r>
            <w:r>
              <w:rPr>
                <w:color w:val="000000"/>
                <w:szCs w:val="21"/>
              </w:rPr>
              <w:t>2</w:t>
            </w:r>
            <w:r>
              <w:rPr>
                <w:rFonts w:hint="eastAsia"/>
                <w:color w:val="000000"/>
                <w:szCs w:val="21"/>
              </w:rPr>
              <w:t>.</w:t>
            </w:r>
            <w:r>
              <w:rPr>
                <w:color w:val="000000"/>
                <w:szCs w:val="21"/>
              </w:rPr>
              <w:t>2</w:t>
            </w:r>
          </w:p>
        </w:tc>
        <w:tc>
          <w:tcPr>
            <w:tcW w:w="1851" w:type="dxa"/>
            <w:tcBorders>
              <w:bottom w:val="single" w:color="auto" w:sz="4" w:space="0"/>
            </w:tcBorders>
            <w:noWrap w:val="0"/>
            <w:vAlign w:val="top"/>
          </w:tcPr>
          <w:p>
            <w:pPr>
              <w:spacing w:line="300" w:lineRule="exact"/>
              <w:jc w:val="center"/>
              <w:rPr>
                <w:color w:val="000000"/>
                <w:szCs w:val="21"/>
              </w:rPr>
            </w:pPr>
            <w:r>
              <w:rPr>
                <w:rFonts w:hint="eastAsia"/>
                <w:color w:val="000000"/>
                <w:szCs w:val="21"/>
              </w:rPr>
              <w:t>投标截止时间</w:t>
            </w:r>
          </w:p>
        </w:tc>
        <w:tc>
          <w:tcPr>
            <w:tcW w:w="6688" w:type="dxa"/>
            <w:tcBorders>
              <w:bottom w:val="single" w:color="auto" w:sz="4" w:space="0"/>
            </w:tcBorders>
            <w:noWrap w:val="0"/>
            <w:vAlign w:val="top"/>
          </w:tcPr>
          <w:p>
            <w:pPr>
              <w:spacing w:line="300" w:lineRule="exact"/>
              <w:rPr>
                <w:color w:val="000000"/>
                <w:szCs w:val="21"/>
              </w:rPr>
            </w:pPr>
            <w:r>
              <w:rPr>
                <w:rFonts w:hint="eastAsia"/>
                <w:b/>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b/>
                <w:color w:val="000000"/>
                <w:szCs w:val="21"/>
                <w:u w:val="single"/>
              </w:rPr>
              <w:t xml:space="preserve">   </w:t>
            </w:r>
            <w:r>
              <w:rPr>
                <w:rFonts w:hint="eastAsia"/>
                <w:color w:val="000000"/>
                <w:szCs w:val="21"/>
                <w:u w:val="single"/>
              </w:rPr>
              <w:t xml:space="preserve"> </w:t>
            </w:r>
            <w:r>
              <w:rPr>
                <w:rFonts w:hint="eastAsia"/>
                <w:color w:val="000000"/>
                <w:szCs w:val="21"/>
              </w:rPr>
              <w:t xml:space="preserve"> 月</w:t>
            </w:r>
            <w:r>
              <w:rPr>
                <w:rFonts w:hint="eastAsia"/>
                <w:b/>
                <w:color w:val="000000"/>
                <w:szCs w:val="21"/>
                <w:u w:val="single"/>
              </w:rPr>
              <w:t xml:space="preserve">      </w:t>
            </w:r>
            <w:r>
              <w:rPr>
                <w:rFonts w:hint="eastAsia"/>
                <w:color w:val="000000"/>
                <w:szCs w:val="21"/>
              </w:rPr>
              <w:t>日北京时间</w:t>
            </w:r>
            <w:r>
              <w:rPr>
                <w:rFonts w:hint="eastAsia"/>
                <w:color w:val="000000"/>
                <w:szCs w:val="21"/>
                <w:u w:val="single"/>
              </w:rPr>
              <w:t xml:space="preserve"> </w:t>
            </w:r>
            <w:r>
              <w:rPr>
                <w:rFonts w:hint="eastAsia"/>
                <w:b/>
                <w:color w:val="000000"/>
                <w:szCs w:val="21"/>
                <w:u w:val="single"/>
              </w:rPr>
              <w:t xml:space="preserve">   </w:t>
            </w:r>
            <w:r>
              <w:rPr>
                <w:rFonts w:hint="eastAsia"/>
                <w:color w:val="000000"/>
                <w:szCs w:val="21"/>
                <w:u w:val="single"/>
              </w:rPr>
              <w:t xml:space="preserve"> </w:t>
            </w:r>
            <w:r>
              <w:rPr>
                <w:rFonts w:hint="eastAsia"/>
                <w:color w:val="000000"/>
                <w:szCs w:val="21"/>
              </w:rPr>
              <w:t xml:space="preserve">时 </w:t>
            </w:r>
            <w:r>
              <w:rPr>
                <w:rFonts w:hint="eastAsia"/>
                <w:color w:val="000000"/>
                <w:szCs w:val="21"/>
                <w:u w:val="single"/>
              </w:rPr>
              <w:t xml:space="preserve"> </w:t>
            </w:r>
            <w:r>
              <w:rPr>
                <w:rFonts w:hint="eastAsia"/>
                <w:b/>
                <w:color w:val="000000"/>
                <w:szCs w:val="21"/>
                <w:u w:val="single"/>
              </w:rPr>
              <w:t xml:space="preserve">  </w:t>
            </w:r>
            <w:r>
              <w:rPr>
                <w:rFonts w:hint="eastAsia"/>
                <w:color w:val="000000"/>
                <w:szCs w:val="21"/>
                <w:u w:val="single"/>
              </w:rPr>
              <w:t xml:space="preserve"> </w:t>
            </w:r>
            <w:r>
              <w:rPr>
                <w:rFonts w:hint="eastAsia"/>
                <w:color w:val="000000"/>
                <w:szCs w:val="21"/>
              </w:rPr>
              <w:t xml:space="preserve"> 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165" w:hRule="atLeast"/>
          <w:jc w:val="center"/>
        </w:trPr>
        <w:tc>
          <w:tcPr>
            <w:tcW w:w="869" w:type="dxa"/>
            <w:vMerge w:val="continue"/>
            <w:noWrap w:val="0"/>
            <w:vAlign w:val="center"/>
          </w:tcPr>
          <w:p>
            <w:pPr>
              <w:spacing w:line="360" w:lineRule="auto"/>
              <w:jc w:val="center"/>
              <w:rPr>
                <w:rFonts w:hint="eastAsia"/>
                <w:color w:val="000000"/>
                <w:szCs w:val="21"/>
              </w:rPr>
            </w:pPr>
          </w:p>
        </w:tc>
        <w:tc>
          <w:tcPr>
            <w:tcW w:w="1851" w:type="dxa"/>
            <w:tcBorders>
              <w:top w:val="single" w:color="auto" w:sz="4" w:space="0"/>
            </w:tcBorders>
            <w:noWrap w:val="0"/>
            <w:vAlign w:val="center"/>
          </w:tcPr>
          <w:p>
            <w:pPr>
              <w:spacing w:line="300" w:lineRule="exact"/>
              <w:jc w:val="center"/>
              <w:rPr>
                <w:rFonts w:hint="eastAsia"/>
                <w:color w:val="000000"/>
                <w:szCs w:val="21"/>
              </w:rPr>
            </w:pPr>
            <w:r>
              <w:rPr>
                <w:color w:val="000000"/>
              </w:rPr>
              <w:t>招标文件澄清发布方式</w:t>
            </w:r>
          </w:p>
        </w:tc>
        <w:tc>
          <w:tcPr>
            <w:tcW w:w="6688" w:type="dxa"/>
            <w:tcBorders>
              <w:top w:val="single" w:color="auto" w:sz="4" w:space="0"/>
            </w:tcBorders>
            <w:noWrap w:val="0"/>
            <w:vAlign w:val="center"/>
          </w:tcPr>
          <w:p>
            <w:pPr>
              <w:spacing w:line="300" w:lineRule="exact"/>
              <w:rPr>
                <w:rFonts w:hint="eastAsia" w:hAnsi="宋体"/>
                <w:color w:val="000000"/>
              </w:rPr>
            </w:pPr>
            <w:r>
              <w:rPr>
                <w:rFonts w:hint="eastAsia"/>
                <w:color w:val="000000"/>
              </w:rPr>
              <w:t>在发布招</w:t>
            </w:r>
            <w:r>
              <w:rPr>
                <w:color w:val="000000"/>
              </w:rPr>
              <w:t>标</w:t>
            </w:r>
            <w:r>
              <w:rPr>
                <w:rFonts w:hint="eastAsia"/>
                <w:color w:val="000000"/>
              </w:rPr>
              <w:t>公告媒介上发布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165" w:hRule="atLeast"/>
          <w:jc w:val="center"/>
        </w:trPr>
        <w:tc>
          <w:tcPr>
            <w:tcW w:w="869" w:type="dxa"/>
            <w:noWrap w:val="0"/>
            <w:vAlign w:val="center"/>
          </w:tcPr>
          <w:p>
            <w:pPr>
              <w:spacing w:line="360" w:lineRule="auto"/>
              <w:jc w:val="center"/>
              <w:rPr>
                <w:rFonts w:hint="eastAsia"/>
                <w:color w:val="000000"/>
                <w:szCs w:val="21"/>
              </w:rPr>
            </w:pPr>
            <w:r>
              <w:rPr>
                <w:rFonts w:hint="eastAsia"/>
                <w:color w:val="000000"/>
                <w:szCs w:val="21"/>
              </w:rPr>
              <w:t>2.</w:t>
            </w:r>
            <w:r>
              <w:rPr>
                <w:color w:val="000000"/>
                <w:szCs w:val="21"/>
              </w:rPr>
              <w:t>2</w:t>
            </w:r>
            <w:r>
              <w:rPr>
                <w:rFonts w:hint="eastAsia"/>
                <w:color w:val="000000"/>
                <w:szCs w:val="21"/>
              </w:rPr>
              <w:t>.</w:t>
            </w:r>
            <w:r>
              <w:rPr>
                <w:color w:val="000000"/>
                <w:szCs w:val="21"/>
              </w:rPr>
              <w:t>3</w:t>
            </w:r>
          </w:p>
        </w:tc>
        <w:tc>
          <w:tcPr>
            <w:tcW w:w="1851" w:type="dxa"/>
            <w:tcBorders>
              <w:top w:val="single" w:color="auto" w:sz="4" w:space="0"/>
            </w:tcBorders>
            <w:noWrap w:val="0"/>
            <w:vAlign w:val="center"/>
          </w:tcPr>
          <w:p>
            <w:pPr>
              <w:spacing w:line="300" w:lineRule="exact"/>
              <w:jc w:val="center"/>
              <w:rPr>
                <w:rFonts w:hint="eastAsia"/>
                <w:color w:val="000000"/>
                <w:szCs w:val="21"/>
              </w:rPr>
            </w:pPr>
            <w:r>
              <w:rPr>
                <w:rFonts w:hint="eastAsia"/>
                <w:color w:val="000000"/>
              </w:rPr>
              <w:t>投标人确认收到澄清的方式</w:t>
            </w:r>
          </w:p>
        </w:tc>
        <w:tc>
          <w:tcPr>
            <w:tcW w:w="6688" w:type="dxa"/>
            <w:tcBorders>
              <w:top w:val="single" w:color="auto" w:sz="4" w:space="0"/>
            </w:tcBorders>
            <w:noWrap w:val="0"/>
            <w:vAlign w:val="center"/>
          </w:tcPr>
          <w:p>
            <w:pPr>
              <w:spacing w:line="300" w:lineRule="exact"/>
              <w:rPr>
                <w:rFonts w:hint="eastAsia"/>
                <w:b/>
                <w:color w:val="000000"/>
                <w:szCs w:val="21"/>
                <w:u w:val="single"/>
              </w:rPr>
            </w:pPr>
            <w:r>
              <w:rPr>
                <w:rFonts w:hint="eastAsia"/>
                <w:color w:val="000000"/>
              </w:rPr>
              <w:t>澄清文件在本章第2.</w:t>
            </w:r>
            <w:r>
              <w:rPr>
                <w:color w:val="000000"/>
              </w:rPr>
              <w:t>2</w:t>
            </w:r>
            <w:r>
              <w:rPr>
                <w:rFonts w:hint="eastAsia"/>
                <w:color w:val="000000"/>
              </w:rPr>
              <w:t>.</w:t>
            </w:r>
            <w:r>
              <w:rPr>
                <w:color w:val="000000"/>
              </w:rPr>
              <w:t>2</w:t>
            </w:r>
            <w:r>
              <w:rPr>
                <w:rFonts w:hint="eastAsia"/>
                <w:color w:val="000000"/>
              </w:rPr>
              <w:t>款规定的网站上发布之日起，视为投标人已收到该澄清。投标人未及时关注招标人在网站上发布的澄清文件造成的损失，由投标人自行负责。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542" w:hRule="atLeast"/>
          <w:jc w:val="center"/>
        </w:trPr>
        <w:tc>
          <w:tcPr>
            <w:tcW w:w="869" w:type="dxa"/>
            <w:noWrap w:val="0"/>
            <w:vAlign w:val="center"/>
          </w:tcPr>
          <w:p>
            <w:pPr>
              <w:spacing w:line="300" w:lineRule="exact"/>
              <w:jc w:val="center"/>
              <w:rPr>
                <w:rFonts w:hint="eastAsia"/>
                <w:color w:val="000000"/>
              </w:rPr>
            </w:pPr>
            <w:r>
              <w:rPr>
                <w:color w:val="000000"/>
              </w:rPr>
              <w:t>2.3</w:t>
            </w:r>
          </w:p>
        </w:tc>
        <w:tc>
          <w:tcPr>
            <w:tcW w:w="1851" w:type="dxa"/>
            <w:tcBorders>
              <w:top w:val="single" w:color="auto" w:sz="4" w:space="0"/>
            </w:tcBorders>
            <w:noWrap w:val="0"/>
            <w:vAlign w:val="center"/>
          </w:tcPr>
          <w:p>
            <w:pPr>
              <w:pStyle w:val="5"/>
              <w:spacing w:line="300" w:lineRule="exact"/>
              <w:outlineLvl w:val="3"/>
              <w:rPr>
                <w:rFonts w:hint="eastAsia"/>
                <w:color w:val="000000"/>
              </w:rPr>
            </w:pPr>
            <w:r>
              <w:rPr>
                <w:rFonts w:hint="eastAsia" w:ascii="Times New Roman" w:hAnsi="Times New Roman" w:eastAsia="宋体"/>
                <w:b w:val="0"/>
                <w:bCs w:val="0"/>
                <w:color w:val="000000"/>
                <w:sz w:val="21"/>
                <w:szCs w:val="24"/>
              </w:rPr>
              <w:t>招标文件的修改</w:t>
            </w:r>
          </w:p>
        </w:tc>
        <w:tc>
          <w:tcPr>
            <w:tcW w:w="6688" w:type="dxa"/>
            <w:tcBorders>
              <w:top w:val="single" w:color="auto" w:sz="4" w:space="0"/>
            </w:tcBorders>
            <w:noWrap w:val="0"/>
            <w:vAlign w:val="center"/>
          </w:tcPr>
          <w:p>
            <w:pPr>
              <w:pStyle w:val="5"/>
              <w:spacing w:line="300" w:lineRule="exact"/>
              <w:outlineLvl w:val="3"/>
              <w:rPr>
                <w:rFonts w:hint="eastAsia" w:ascii="Times New Roman" w:hAnsi="Times New Roman" w:eastAsia="宋体"/>
                <w:b w:val="0"/>
                <w:bCs w:val="0"/>
                <w:color w:val="000000"/>
                <w:sz w:val="21"/>
                <w:szCs w:val="24"/>
              </w:rPr>
            </w:pPr>
            <w:r>
              <w:rPr>
                <w:rFonts w:hint="eastAsia" w:ascii="Times New Roman" w:hAnsi="Times New Roman" w:eastAsia="宋体"/>
                <w:b w:val="0"/>
                <w:bCs w:val="0"/>
                <w:color w:val="000000"/>
                <w:sz w:val="21"/>
                <w:szCs w:val="24"/>
              </w:rPr>
              <w:t>见</w:t>
            </w:r>
            <w:r>
              <w:rPr>
                <w:rFonts w:ascii="Times New Roman" w:hAnsi="Times New Roman" w:eastAsia="宋体"/>
                <w:b w:val="0"/>
                <w:bCs w:val="0"/>
                <w:color w:val="000000"/>
                <w:sz w:val="21"/>
                <w:szCs w:val="24"/>
              </w:rPr>
              <w:t>正文部分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525" w:hRule="atLeast"/>
          <w:jc w:val="center"/>
        </w:trPr>
        <w:tc>
          <w:tcPr>
            <w:tcW w:w="869" w:type="dxa"/>
            <w:noWrap w:val="0"/>
            <w:vAlign w:val="center"/>
          </w:tcPr>
          <w:p>
            <w:pPr>
              <w:spacing w:line="360" w:lineRule="auto"/>
              <w:jc w:val="center"/>
              <w:rPr>
                <w:color w:val="000000"/>
                <w:szCs w:val="21"/>
              </w:rPr>
            </w:pPr>
            <w:r>
              <w:rPr>
                <w:rFonts w:hint="eastAsia"/>
                <w:color w:val="000000"/>
                <w:szCs w:val="21"/>
              </w:rPr>
              <w:t>3.1.1</w:t>
            </w:r>
          </w:p>
        </w:tc>
        <w:tc>
          <w:tcPr>
            <w:tcW w:w="1851" w:type="dxa"/>
            <w:noWrap w:val="0"/>
            <w:vAlign w:val="center"/>
          </w:tcPr>
          <w:p>
            <w:pPr>
              <w:spacing w:line="320" w:lineRule="exact"/>
              <w:jc w:val="center"/>
              <w:rPr>
                <w:rFonts w:hint="eastAsia"/>
                <w:color w:val="000000"/>
                <w:szCs w:val="21"/>
              </w:rPr>
            </w:pPr>
            <w:r>
              <w:rPr>
                <w:rFonts w:hint="eastAsia"/>
                <w:color w:val="000000"/>
                <w:szCs w:val="21"/>
              </w:rPr>
              <w:t>构成投标文件</w:t>
            </w:r>
          </w:p>
          <w:p>
            <w:pPr>
              <w:spacing w:line="320" w:lineRule="exact"/>
              <w:jc w:val="center"/>
              <w:rPr>
                <w:color w:val="000000"/>
                <w:szCs w:val="21"/>
              </w:rPr>
            </w:pPr>
            <w:r>
              <w:rPr>
                <w:rFonts w:hint="eastAsia"/>
                <w:color w:val="000000"/>
                <w:szCs w:val="21"/>
              </w:rPr>
              <w:t>的材料</w:t>
            </w:r>
          </w:p>
        </w:tc>
        <w:tc>
          <w:tcPr>
            <w:tcW w:w="6688" w:type="dxa"/>
            <w:noWrap w:val="0"/>
            <w:vAlign w:val="center"/>
          </w:tcPr>
          <w:p>
            <w:pPr>
              <w:spacing w:line="320" w:lineRule="exact"/>
              <w:rPr>
                <w:rFonts w:hint="eastAsia" w:hAnsi="宋体"/>
                <w:color w:val="000000"/>
              </w:rPr>
            </w:pPr>
            <w:r>
              <w:rPr>
                <w:rFonts w:hint="eastAsia" w:hAnsi="宋体"/>
                <w:color w:val="000000"/>
              </w:rPr>
              <w:t>（根据工程实际情况编写，以下仅供参考）</w:t>
            </w:r>
          </w:p>
          <w:p>
            <w:pPr>
              <w:spacing w:line="320" w:lineRule="exact"/>
              <w:rPr>
                <w:rFonts w:hint="eastAsia"/>
                <w:b/>
                <w:color w:val="000000"/>
              </w:rPr>
            </w:pPr>
            <w:r>
              <w:rPr>
                <w:rFonts w:hint="eastAsia" w:hAnsi="宋体"/>
                <w:color w:val="000000"/>
              </w:rPr>
              <w:t>投标文件的组成部分：</w:t>
            </w:r>
            <w:r>
              <w:rPr>
                <w:rFonts w:hint="eastAsia" w:hAnsi="宋体"/>
                <w:b/>
                <w:color w:val="000000"/>
              </w:rPr>
              <w:t>□资格审查  □</w:t>
            </w:r>
            <w:r>
              <w:rPr>
                <w:rFonts w:hint="eastAsia"/>
                <w:b/>
                <w:color w:val="000000"/>
                <w:szCs w:val="21"/>
              </w:rPr>
              <w:t xml:space="preserve">商务标   </w:t>
            </w:r>
            <w:r>
              <w:rPr>
                <w:rFonts w:hint="eastAsia" w:hAnsi="宋体"/>
                <w:b/>
                <w:color w:val="000000"/>
              </w:rPr>
              <w:t>□</w:t>
            </w:r>
            <w:r>
              <w:rPr>
                <w:rFonts w:hint="eastAsia"/>
                <w:b/>
                <w:color w:val="000000"/>
              </w:rPr>
              <w:t>技术标</w:t>
            </w:r>
          </w:p>
          <w:p>
            <w:pPr>
              <w:spacing w:line="320" w:lineRule="exact"/>
              <w:rPr>
                <w:rFonts w:hint="eastAsia"/>
                <w:color w:val="000000"/>
                <w:u w:val="single"/>
              </w:rPr>
            </w:pPr>
            <w:r>
              <w:rPr>
                <w:rFonts w:hint="eastAsia"/>
                <w:b/>
                <w:color w:val="000000"/>
                <w:szCs w:val="21"/>
              </w:rPr>
              <w:t>□设计标</w:t>
            </w:r>
            <w:r>
              <w:rPr>
                <w:rFonts w:hAnsi="宋体"/>
                <w:color w:val="000000"/>
              </w:rPr>
              <w:t xml:space="preserve"> </w:t>
            </w:r>
            <w:r>
              <w:rPr>
                <w:rFonts w:hint="eastAsia" w:hAnsi="宋体"/>
                <w:color w:val="000000"/>
              </w:rPr>
              <w:t xml:space="preserve">   </w:t>
            </w:r>
            <w:r>
              <w:rPr>
                <w:rFonts w:hint="eastAsia" w:hAnsi="宋体"/>
                <w:b/>
                <w:color w:val="000000"/>
              </w:rPr>
              <w:t>□资信业绩</w:t>
            </w:r>
          </w:p>
          <w:p>
            <w:pPr>
              <w:spacing w:line="320" w:lineRule="exact"/>
              <w:rPr>
                <w:rFonts w:hint="eastAsia" w:hAnsi="宋体"/>
                <w:b/>
                <w:color w:val="000000"/>
              </w:rPr>
            </w:pP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1、资格审查</w:t>
            </w:r>
          </w:p>
          <w:p>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（联合体投标时，企业相关文件联合体各方均需提供）</w:t>
            </w:r>
          </w:p>
          <w:p>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（1）专职投标员身份证原件扫描件【法定代表人参加现场开标会时，需同时提供法定代表人身份证原件、本</w:t>
            </w:r>
            <w:r>
              <w:rPr>
                <w:rFonts w:ascii="宋体" w:hAnsi="宋体"/>
                <w:color w:val="000000"/>
                <w:szCs w:val="21"/>
              </w:rPr>
              <w:t>企业任一</w:t>
            </w:r>
            <w:r>
              <w:rPr>
                <w:rFonts w:hint="eastAsia" w:ascii="宋体" w:hAnsi="宋体"/>
                <w:color w:val="000000"/>
                <w:szCs w:val="21"/>
              </w:rPr>
              <w:t>专职投标员（</w:t>
            </w:r>
            <w:r>
              <w:rPr>
                <w:rFonts w:ascii="宋体" w:hAnsi="宋体"/>
                <w:color w:val="000000"/>
                <w:szCs w:val="21"/>
              </w:rPr>
              <w:t>与投标文件内放的专职投标员身份证扫描件一致）</w:t>
            </w:r>
            <w:r>
              <w:rPr>
                <w:rFonts w:hint="eastAsia" w:ascii="宋体" w:hAnsi="宋体"/>
                <w:color w:val="000000"/>
                <w:szCs w:val="21"/>
              </w:rPr>
              <w:t>身份证复印件现场验</w:t>
            </w:r>
            <w:r>
              <w:rPr>
                <w:rFonts w:ascii="宋体" w:hAnsi="宋体"/>
                <w:color w:val="000000"/>
                <w:szCs w:val="21"/>
              </w:rPr>
              <w:t>证</w:t>
            </w:r>
            <w:r>
              <w:rPr>
                <w:rFonts w:hint="eastAsia" w:ascii="宋体" w:hAnsi="宋体"/>
                <w:color w:val="000000"/>
                <w:szCs w:val="21"/>
              </w:rPr>
              <w:t>】；</w:t>
            </w:r>
          </w:p>
          <w:p>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 xml:space="preserve">（2）联合体协议书原件扫描件（如有）； </w:t>
            </w:r>
          </w:p>
          <w:p>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3）投标人基本情况表【附已录入广西建筑业企业诚信信息库的有效的企业法人营业执照、企业资质证书、安全生产许可证（联合体投标时仅为联合体中的施工单位安全生产许可证）等相关证件的原件扫描件（联合体投标的则联合体各方均须提供）。施工单位相关证明材料未通过广西建筑业企业诚信信息库审核的在评审时不予承认，设计单位相关证明材料不需要诚信库审核】；</w:t>
            </w:r>
            <w:r>
              <w:rPr>
                <w:rFonts w:ascii="宋体" w:hAnsi="宋体"/>
                <w:color w:val="000000"/>
                <w:szCs w:val="21"/>
              </w:rPr>
              <w:t xml:space="preserve"> </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）投标保证金的转帐（或电汇、网上支付）底单原件的扫描件、电子转账截图或保函（银行保函、保证保险保函、工程担保保函）原件扫描件或电子保函截图；</w:t>
            </w:r>
          </w:p>
          <w:p>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）建设工程项目管理承诺书；</w:t>
            </w:r>
          </w:p>
          <w:p>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）管理机构配备情况表、拟投入本工程的主要施工设备表、拟配备本工程的试验和检测仪器设备表；</w:t>
            </w:r>
          </w:p>
          <w:p>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7</w:t>
            </w:r>
            <w:r>
              <w:rPr>
                <w:rFonts w:hint="eastAsia" w:ascii="宋体" w:hAnsi="宋体"/>
                <w:color w:val="000000"/>
                <w:szCs w:val="21"/>
              </w:rPr>
              <w:t>）资格审查需要的其他材料：近年完成的类似工程总承包项目情况材料（如有）、近年承接的类似工程总承包项目情况材料（如有）、近年承接的类似工程设计项目情况材料（如有）、近年完成的类似施工项目情况材料（如有）、正在实施和新承接的类似施工项目情况材料（如有）、采用建筑模型（BIM）技术项目业绩（如有）、企业信誉实力材料、企业近三年财务状况材料（联合体投标的则联合体各方均须提供）等（详见第三章评标办法）。施工单位须提供已完成类似工程证明材料以诚信库链接为准。</w:t>
            </w:r>
          </w:p>
          <w:p>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2、商务标</w:t>
            </w:r>
          </w:p>
          <w:p>
            <w:pPr>
              <w:adjustRightInd w:val="0"/>
              <w:snapToGrid w:val="0"/>
              <w:spacing w:line="360" w:lineRule="auto"/>
              <w:ind w:firstLine="420" w:firstLineChars="200"/>
              <w:rPr>
                <w:rFonts w:ascii="宋体"/>
                <w:color w:val="000000"/>
                <w:szCs w:val="21"/>
              </w:rPr>
            </w:pPr>
            <w:r>
              <w:rPr>
                <w:rFonts w:hint="eastAsia" w:ascii="宋体" w:hAnsi="宋体"/>
                <w:color w:val="000000"/>
                <w:szCs w:val="21"/>
              </w:rPr>
              <w:t>（1）投标函；</w:t>
            </w:r>
          </w:p>
          <w:p>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（2）投标函附录；</w:t>
            </w:r>
          </w:p>
          <w:p>
            <w:pPr>
              <w:adjustRightInd w:val="0"/>
              <w:snapToGrid w:val="0"/>
              <w:spacing w:line="360" w:lineRule="auto"/>
              <w:ind w:firstLine="420" w:firstLineChars="200"/>
              <w:rPr>
                <w:rFonts w:hint="eastAsia" w:ascii="宋体"/>
                <w:color w:val="000000"/>
                <w:szCs w:val="21"/>
              </w:rPr>
            </w:pPr>
            <w:r>
              <w:rPr>
                <w:rFonts w:hint="eastAsia" w:ascii="宋体"/>
                <w:color w:val="000000"/>
                <w:szCs w:val="21"/>
              </w:rPr>
              <w:t>（3）投标报价要求；</w:t>
            </w:r>
          </w:p>
          <w:p>
            <w:pPr>
              <w:adjustRightInd w:val="0"/>
              <w:snapToGrid w:val="0"/>
              <w:spacing w:line="360" w:lineRule="auto"/>
              <w:ind w:firstLine="420" w:firstLineChars="200"/>
              <w:rPr>
                <w:rFonts w:asci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）投标报价一览表；</w:t>
            </w:r>
          </w:p>
          <w:p>
            <w:pPr>
              <w:adjustRightInd w:val="0"/>
              <w:snapToGrid w:val="0"/>
              <w:spacing w:line="360" w:lineRule="auto"/>
              <w:ind w:firstLine="420" w:firstLineChars="200"/>
              <w:rPr>
                <w:rFonts w:ascii="宋体"/>
                <w:color w:val="000000"/>
                <w:szCs w:val="21"/>
              </w:rPr>
            </w:pPr>
            <w:r>
              <w:rPr>
                <w:rFonts w:hint="eastAsia" w:ascii="宋体" w:hAnsi="宋体"/>
                <w:color w:val="000000"/>
                <w:szCs w:val="21"/>
              </w:rPr>
              <w:t>（5）投标人认为应提交的其他投标资料。</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3、技术标</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（1）工程总承包工作大纲；</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包括：概述、总体实施方案、项目实施要点、项目管理要点、设计及施工的配合。</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（2）施工组织设计。</w:t>
            </w:r>
          </w:p>
          <w:p>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4、设计标</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方案设计完成后初步设计完成前：□初步设计</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初步设计完成后施工图设计完成前：□深化初步设计</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5、资信业绩</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详见第三章评标办法。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525" w:hRule="atLeast"/>
          <w:jc w:val="center"/>
        </w:trPr>
        <w:tc>
          <w:tcPr>
            <w:tcW w:w="869" w:type="dxa"/>
            <w:vMerge w:val="restart"/>
            <w:noWrap w:val="0"/>
            <w:vAlign w:val="center"/>
          </w:tcPr>
          <w:p>
            <w:pPr>
              <w:jc w:val="center"/>
              <w:rPr>
                <w:rFonts w:hint="eastAsia"/>
                <w:color w:val="000000"/>
              </w:rPr>
            </w:pPr>
            <w:r>
              <w:rPr>
                <w:color w:val="000000"/>
              </w:rPr>
              <w:t>3.1.9</w:t>
            </w:r>
          </w:p>
        </w:tc>
        <w:tc>
          <w:tcPr>
            <w:tcW w:w="1851" w:type="dxa"/>
            <w:noWrap w:val="0"/>
            <w:vAlign w:val="center"/>
          </w:tcPr>
          <w:p>
            <w:pPr>
              <w:jc w:val="center"/>
              <w:rPr>
                <w:rFonts w:hint="eastAsia"/>
                <w:color w:val="000000"/>
              </w:rPr>
            </w:pPr>
            <w:r>
              <w:rPr>
                <w:rFonts w:hint="eastAsia" w:cs="宋体"/>
                <w:color w:val="000000"/>
              </w:rPr>
              <w:t>近年财务状况的年份要求</w:t>
            </w:r>
          </w:p>
        </w:tc>
        <w:tc>
          <w:tcPr>
            <w:tcW w:w="6688" w:type="dxa"/>
            <w:noWrap w:val="0"/>
            <w:vAlign w:val="center"/>
          </w:tcPr>
          <w:p>
            <w:pPr>
              <w:spacing w:line="400" w:lineRule="exact"/>
              <w:rPr>
                <w:rFonts w:hint="eastAsia"/>
                <w:color w:val="000000"/>
              </w:rPr>
            </w:pPr>
            <w:r>
              <w:rPr>
                <w:rFonts w:hint="eastAsia" w:cs="宋体"/>
                <w:color w:val="000000"/>
              </w:rPr>
              <w:t>指</w:t>
            </w:r>
            <w:r>
              <w:rPr>
                <w:color w:val="000000"/>
                <w:u w:val="single"/>
              </w:rPr>
              <w:t xml:space="preserve">   </w:t>
            </w:r>
            <w:r>
              <w:rPr>
                <w:rFonts w:hint="eastAsia"/>
                <w:color w:val="000000"/>
                <w:u w:val="single"/>
              </w:rPr>
              <w:t xml:space="preserve">    </w:t>
            </w:r>
            <w:r>
              <w:rPr>
                <w:rFonts w:hint="eastAsia" w:cs="宋体"/>
                <w:color w:val="000000"/>
              </w:rPr>
              <w:t>年度、</w:t>
            </w:r>
            <w:r>
              <w:rPr>
                <w:color w:val="000000"/>
                <w:u w:val="single"/>
              </w:rPr>
              <w:t xml:space="preserve">  </w:t>
            </w:r>
            <w:r>
              <w:rPr>
                <w:rFonts w:hint="eastAsia"/>
                <w:color w:val="000000"/>
                <w:u w:val="single"/>
              </w:rPr>
              <w:t xml:space="preserve">     </w:t>
            </w:r>
            <w:r>
              <w:rPr>
                <w:rFonts w:hint="eastAsia" w:cs="宋体"/>
                <w:color w:val="000000"/>
              </w:rPr>
              <w:t>年度和</w:t>
            </w:r>
            <w:r>
              <w:rPr>
                <w:rFonts w:hint="eastAsia"/>
                <w:color w:val="000000"/>
                <w:u w:val="single"/>
              </w:rPr>
              <w:t xml:space="preserve">  </w:t>
            </w:r>
            <w:r>
              <w:rPr>
                <w:color w:val="000000"/>
                <w:u w:val="single"/>
              </w:rPr>
              <w:t xml:space="preserve">  </w:t>
            </w:r>
            <w:r>
              <w:rPr>
                <w:rFonts w:hint="eastAsia"/>
                <w:color w:val="000000"/>
                <w:u w:val="single"/>
              </w:rPr>
              <w:t xml:space="preserve">  </w:t>
            </w:r>
            <w:r>
              <w:rPr>
                <w:rFonts w:hint="eastAsia" w:cs="宋体"/>
                <w:color w:val="000000"/>
              </w:rPr>
              <w:t>年度</w:t>
            </w:r>
            <w:r>
              <w:rPr>
                <w:rFonts w:hint="eastAsia" w:hAnsi="宋体" w:cs="宋体"/>
                <w:color w:val="000000"/>
              </w:rPr>
              <w:t>，</w:t>
            </w:r>
            <w:r>
              <w:rPr>
                <w:rFonts w:hint="eastAsia" w:cs="宋体"/>
                <w:color w:val="000000"/>
              </w:rPr>
              <w:t>（对于从取得营业执照时间起到投标截止时间为止不足要求年数的企业，只需提交企业取得营业执照年份至所要求最近年份经会计</w:t>
            </w:r>
            <w:r>
              <w:rPr>
                <w:rFonts w:cs="宋体"/>
                <w:color w:val="000000"/>
              </w:rPr>
              <w:t>师事务所</w:t>
            </w:r>
            <w:r>
              <w:rPr>
                <w:rFonts w:hint="eastAsia" w:cs="宋体"/>
                <w:color w:val="000000"/>
              </w:rPr>
              <w:t>审计的财务报表）。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525" w:hRule="atLeast"/>
          <w:jc w:val="center"/>
        </w:trPr>
        <w:tc>
          <w:tcPr>
            <w:tcW w:w="869" w:type="dxa"/>
            <w:vMerge w:val="continue"/>
            <w:noWrap w:val="0"/>
            <w:vAlign w:val="center"/>
          </w:tcPr>
          <w:p>
            <w:pPr>
              <w:jc w:val="center"/>
              <w:rPr>
                <w:rFonts w:hint="eastAsia"/>
                <w:color w:val="000000"/>
              </w:rPr>
            </w:pPr>
          </w:p>
        </w:tc>
        <w:tc>
          <w:tcPr>
            <w:tcW w:w="1851" w:type="dxa"/>
            <w:noWrap w:val="0"/>
            <w:vAlign w:val="center"/>
          </w:tcPr>
          <w:p>
            <w:pPr>
              <w:jc w:val="center"/>
              <w:rPr>
                <w:rFonts w:hint="eastAsia"/>
                <w:color w:val="000000"/>
              </w:rPr>
            </w:pPr>
            <w:r>
              <w:rPr>
                <w:rFonts w:hint="eastAsia" w:cs="宋体"/>
                <w:color w:val="000000"/>
              </w:rPr>
              <w:t>近年完成或</w:t>
            </w:r>
            <w:r>
              <w:rPr>
                <w:rFonts w:cs="宋体"/>
                <w:color w:val="000000"/>
              </w:rPr>
              <w:t>承接</w:t>
            </w:r>
            <w:r>
              <w:rPr>
                <w:rFonts w:hint="eastAsia" w:cs="宋体"/>
                <w:color w:val="000000"/>
              </w:rPr>
              <w:t>的类似项目的年份要求</w:t>
            </w:r>
          </w:p>
        </w:tc>
        <w:tc>
          <w:tcPr>
            <w:tcW w:w="6688" w:type="dxa"/>
            <w:noWrap w:val="0"/>
            <w:vAlign w:val="center"/>
          </w:tcPr>
          <w:p>
            <w:pPr>
              <w:spacing w:line="360" w:lineRule="auto"/>
              <w:rPr>
                <w:color w:val="000000"/>
              </w:rPr>
            </w:pPr>
            <w:r>
              <w:rPr>
                <w:rFonts w:hint="eastAsia"/>
                <w:color w:val="000000"/>
              </w:rPr>
              <w:t>□不需要</w:t>
            </w:r>
            <w:r>
              <w:rPr>
                <w:color w:val="000000"/>
              </w:rPr>
              <w:t>业</w:t>
            </w:r>
            <w:r>
              <w:rPr>
                <w:rFonts w:hint="eastAsia"/>
                <w:color w:val="000000"/>
              </w:rPr>
              <w:t>绩</w:t>
            </w:r>
          </w:p>
          <w:p>
            <w:pPr>
              <w:spacing w:line="400" w:lineRule="exact"/>
              <w:rPr>
                <w:rFonts w:cs="宋体"/>
                <w:color w:val="000000"/>
              </w:rPr>
            </w:pPr>
            <w:r>
              <w:rPr>
                <w:rFonts w:hint="eastAsia"/>
                <w:color w:val="000000"/>
              </w:rPr>
              <w:t>□需要竣工</w:t>
            </w:r>
            <w:r>
              <w:rPr>
                <w:color w:val="000000"/>
              </w:rPr>
              <w:t>业</w:t>
            </w:r>
            <w:r>
              <w:rPr>
                <w:rFonts w:hint="eastAsia"/>
                <w:color w:val="000000"/>
              </w:rPr>
              <w:t>绩</w:t>
            </w:r>
            <w:r>
              <w:rPr>
                <w:rFonts w:hint="eastAsia"/>
                <w:color w:val="000000"/>
                <w:u w:val="single"/>
              </w:rPr>
              <w:t xml:space="preserve"> </w:t>
            </w:r>
            <w:r>
              <w:rPr>
                <w:color w:val="000000"/>
                <w:u w:val="single"/>
              </w:rPr>
              <w:t xml:space="preserve">  </w:t>
            </w:r>
            <w:r>
              <w:rPr>
                <w:rFonts w:ascii="仿宋_GB2312" w:hAnsi="宋体"/>
                <w:color w:val="000000"/>
              </w:rPr>
              <w:t>年</w:t>
            </w:r>
            <w:r>
              <w:rPr>
                <w:color w:val="000000"/>
                <w:u w:val="single"/>
              </w:rPr>
              <w:t xml:space="preserve">   </w:t>
            </w:r>
            <w:r>
              <w:rPr>
                <w:rFonts w:ascii="仿宋_GB2312" w:hAnsi="宋体"/>
                <w:color w:val="000000"/>
              </w:rPr>
              <w:t>月至</w:t>
            </w:r>
            <w:r>
              <w:rPr>
                <w:rFonts w:hint="eastAsia" w:ascii="仿宋_GB2312" w:hAnsi="宋体"/>
                <w:color w:val="000000"/>
              </w:rPr>
              <w:t>投标截止日期止</w:t>
            </w:r>
            <w:r>
              <w:rPr>
                <w:rFonts w:hint="eastAsia" w:hAnsi="宋体" w:cs="宋体"/>
                <w:color w:val="000000"/>
              </w:rPr>
              <w:t>，</w:t>
            </w:r>
            <w:r>
              <w:rPr>
                <w:rFonts w:hint="eastAsia" w:cs="宋体"/>
                <w:color w:val="000000"/>
              </w:rPr>
              <w:t>指项目竣工时间至投标截止时间止</w:t>
            </w:r>
          </w:p>
          <w:p>
            <w:pPr>
              <w:spacing w:line="400" w:lineRule="exact"/>
              <w:rPr>
                <w:rFonts w:hint="eastAsia"/>
                <w:b/>
                <w:color w:val="000000"/>
              </w:rPr>
            </w:pPr>
            <w:r>
              <w:rPr>
                <w:rFonts w:hint="eastAsia"/>
                <w:color w:val="000000"/>
              </w:rPr>
              <w:t>□需要承接</w:t>
            </w:r>
            <w:r>
              <w:rPr>
                <w:color w:val="000000"/>
              </w:rPr>
              <w:t>过项目业</w:t>
            </w:r>
            <w:r>
              <w:rPr>
                <w:rFonts w:hint="eastAsia"/>
                <w:color w:val="000000"/>
              </w:rPr>
              <w:t>绩</w:t>
            </w:r>
            <w:r>
              <w:rPr>
                <w:rFonts w:hint="eastAsia"/>
                <w:color w:val="000000"/>
                <w:u w:val="single"/>
              </w:rPr>
              <w:t xml:space="preserve"> </w:t>
            </w:r>
            <w:r>
              <w:rPr>
                <w:color w:val="000000"/>
                <w:u w:val="single"/>
              </w:rPr>
              <w:t xml:space="preserve">  </w:t>
            </w:r>
            <w:r>
              <w:rPr>
                <w:rFonts w:ascii="仿宋_GB2312" w:hAnsi="宋体"/>
                <w:color w:val="000000"/>
              </w:rPr>
              <w:t>年</w:t>
            </w:r>
            <w:r>
              <w:rPr>
                <w:color w:val="000000"/>
                <w:u w:val="single"/>
              </w:rPr>
              <w:t xml:space="preserve">   </w:t>
            </w:r>
            <w:r>
              <w:rPr>
                <w:rFonts w:ascii="仿宋_GB2312" w:hAnsi="宋体"/>
                <w:color w:val="000000"/>
              </w:rPr>
              <w:t>月至</w:t>
            </w:r>
            <w:r>
              <w:rPr>
                <w:rFonts w:hint="eastAsia" w:ascii="仿宋_GB2312" w:hAnsi="宋体"/>
                <w:color w:val="000000"/>
              </w:rPr>
              <w:t>投标截止日期止</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525" w:hRule="atLeast"/>
          <w:jc w:val="center"/>
        </w:trPr>
        <w:tc>
          <w:tcPr>
            <w:tcW w:w="869" w:type="dxa"/>
            <w:noWrap w:val="0"/>
            <w:vAlign w:val="center"/>
          </w:tcPr>
          <w:p>
            <w:pPr>
              <w:jc w:val="center"/>
              <w:rPr>
                <w:rFonts w:hint="eastAsia"/>
                <w:color w:val="000000"/>
              </w:rPr>
            </w:pPr>
            <w:r>
              <w:rPr>
                <w:rFonts w:hint="eastAsia"/>
                <w:color w:val="000000"/>
              </w:rPr>
              <w:t>3.2.4</w:t>
            </w:r>
          </w:p>
        </w:tc>
        <w:tc>
          <w:tcPr>
            <w:tcW w:w="1851" w:type="dxa"/>
            <w:noWrap w:val="0"/>
            <w:vAlign w:val="center"/>
          </w:tcPr>
          <w:p>
            <w:pPr>
              <w:jc w:val="center"/>
              <w:rPr>
                <w:rFonts w:hint="eastAsia"/>
                <w:color w:val="000000"/>
              </w:rPr>
            </w:pPr>
            <w:r>
              <w:rPr>
                <w:rFonts w:hint="eastAsia"/>
                <w:color w:val="000000"/>
              </w:rPr>
              <w:t>招标控制价或</w:t>
            </w:r>
          </w:p>
          <w:p>
            <w:pPr>
              <w:jc w:val="center"/>
              <w:rPr>
                <w:rFonts w:hint="eastAsia"/>
                <w:color w:val="000000"/>
              </w:rPr>
            </w:pPr>
            <w:r>
              <w:rPr>
                <w:rFonts w:hint="eastAsia"/>
                <w:color w:val="000000"/>
              </w:rPr>
              <w:t>其计算方法</w:t>
            </w:r>
          </w:p>
        </w:tc>
        <w:tc>
          <w:tcPr>
            <w:tcW w:w="6688" w:type="dxa"/>
            <w:noWrap w:val="0"/>
            <w:vAlign w:val="top"/>
          </w:tcPr>
          <w:p>
            <w:pPr>
              <w:spacing w:line="400" w:lineRule="exact"/>
              <w:rPr>
                <w:rFonts w:hint="eastAsia"/>
                <w:b/>
                <w:color w:val="000000"/>
              </w:rPr>
            </w:pPr>
            <w:r>
              <w:rPr>
                <w:rFonts w:hint="eastAsia"/>
                <w:b/>
                <w:color w:val="000000"/>
              </w:rPr>
              <w:t>（1）本工程招标控制价为</w:t>
            </w:r>
            <w:r>
              <w:rPr>
                <w:rFonts w:hint="eastAsia"/>
                <w:b/>
                <w:color w:val="000000"/>
                <w:u w:val="single"/>
              </w:rPr>
              <w:t xml:space="preserve">             </w:t>
            </w:r>
            <w:r>
              <w:rPr>
                <w:rFonts w:hint="eastAsia"/>
                <w:b/>
                <w:color w:val="000000"/>
              </w:rPr>
              <w:t>万元；</w:t>
            </w:r>
          </w:p>
          <w:p>
            <w:pPr>
              <w:spacing w:line="400" w:lineRule="exact"/>
              <w:rPr>
                <w:rFonts w:hint="eastAsia"/>
                <w:color w:val="000000"/>
              </w:rPr>
            </w:pPr>
            <w:r>
              <w:rPr>
                <w:rFonts w:hint="eastAsia"/>
                <w:color w:val="000000"/>
              </w:rPr>
              <w:t>其中：</w:t>
            </w:r>
            <w:r>
              <w:rPr>
                <w:color w:val="000000"/>
              </w:rPr>
              <w:t xml:space="preserve"> </w:t>
            </w:r>
          </w:p>
          <w:p>
            <w:pPr>
              <w:spacing w:line="400" w:lineRule="exact"/>
              <w:rPr>
                <w:rFonts w:hint="eastAsia"/>
                <w:color w:val="000000"/>
              </w:rPr>
            </w:pPr>
            <w:r>
              <w:rPr>
                <w:rFonts w:hint="eastAsia" w:hAnsi="宋体"/>
                <w:b/>
                <w:color w:val="000000"/>
              </w:rPr>
              <w:t>□</w:t>
            </w:r>
            <w:r>
              <w:rPr>
                <w:rFonts w:hint="eastAsia"/>
                <w:color w:val="000000"/>
              </w:rPr>
              <w:t>设计费为</w:t>
            </w:r>
            <w:r>
              <w:rPr>
                <w:rFonts w:hint="eastAsia"/>
                <w:color w:val="000000"/>
                <w:u w:val="single"/>
              </w:rPr>
              <w:t xml:space="preserve">       </w:t>
            </w:r>
            <w:r>
              <w:rPr>
                <w:rFonts w:hint="eastAsia"/>
                <w:color w:val="000000"/>
              </w:rPr>
              <w:t>万元；</w:t>
            </w:r>
          </w:p>
          <w:p>
            <w:pPr>
              <w:spacing w:line="400" w:lineRule="exact"/>
              <w:rPr>
                <w:rFonts w:hint="eastAsia"/>
                <w:color w:val="000000"/>
              </w:rPr>
            </w:pPr>
            <w:r>
              <w:rPr>
                <w:rFonts w:hint="eastAsia" w:hAnsi="宋体"/>
                <w:b/>
                <w:color w:val="000000"/>
              </w:rPr>
              <w:t>□</w:t>
            </w:r>
            <w:r>
              <w:rPr>
                <w:rFonts w:hint="eastAsia"/>
                <w:color w:val="000000"/>
              </w:rPr>
              <w:t>建筑安装工程费为</w:t>
            </w:r>
            <w:r>
              <w:rPr>
                <w:rFonts w:hint="eastAsia"/>
                <w:color w:val="000000"/>
                <w:u w:val="single"/>
              </w:rPr>
              <w:t xml:space="preserve">       </w:t>
            </w:r>
            <w:r>
              <w:rPr>
                <w:rFonts w:hint="eastAsia"/>
                <w:color w:val="000000"/>
              </w:rPr>
              <w:t>万元</w:t>
            </w:r>
          </w:p>
          <w:p>
            <w:pPr>
              <w:spacing w:line="400" w:lineRule="exact"/>
              <w:ind w:left="1680" w:hanging="1680" w:hangingChars="800"/>
              <w:jc w:val="left"/>
              <w:rPr>
                <w:color w:val="000000"/>
              </w:rPr>
            </w:pPr>
            <w:r>
              <w:rPr>
                <w:rFonts w:hint="eastAsia"/>
                <w:color w:val="000000"/>
              </w:rPr>
              <w:t>其中：暂估价</w:t>
            </w:r>
            <w:r>
              <w:rPr>
                <w:rFonts w:hint="eastAsia"/>
                <w:color w:val="000000"/>
                <w:u w:val="single"/>
              </w:rPr>
              <w:t xml:space="preserve"> </w:t>
            </w:r>
            <w:r>
              <w:rPr>
                <w:color w:val="000000"/>
                <w:u w:val="single"/>
              </w:rPr>
              <w:t xml:space="preserve"> </w:t>
            </w:r>
            <w:r>
              <w:rPr>
                <w:rFonts w:hint="eastAsia"/>
                <w:color w:val="000000"/>
                <w:u w:val="single"/>
              </w:rPr>
              <w:t xml:space="preserve"> </w:t>
            </w:r>
            <w:r>
              <w:rPr>
                <w:color w:val="000000"/>
                <w:u w:val="single"/>
              </w:rPr>
              <w:t xml:space="preserve">    </w:t>
            </w:r>
            <w:r>
              <w:rPr>
                <w:rFonts w:hint="eastAsia"/>
                <w:color w:val="000000"/>
                <w:u w:val="single"/>
              </w:rPr>
              <w:t xml:space="preserve"> </w:t>
            </w:r>
            <w:r>
              <w:rPr>
                <w:rFonts w:hint="eastAsia"/>
                <w:color w:val="000000"/>
              </w:rPr>
              <w:t>万元，</w:t>
            </w:r>
          </w:p>
          <w:p>
            <w:pPr>
              <w:spacing w:line="400" w:lineRule="exact"/>
              <w:ind w:left="1680" w:hanging="1680" w:hangingChars="800"/>
              <w:jc w:val="left"/>
              <w:rPr>
                <w:rFonts w:hint="eastAsia"/>
                <w:b/>
                <w:color w:val="000000"/>
              </w:rPr>
            </w:pPr>
            <w:r>
              <w:rPr>
                <w:rFonts w:hint="eastAsia"/>
                <w:color w:val="000000"/>
              </w:rPr>
              <w:t>暂列金额</w:t>
            </w:r>
            <w:r>
              <w:rPr>
                <w:rFonts w:hint="eastAsia"/>
                <w:color w:val="000000"/>
                <w:u w:val="single"/>
              </w:rPr>
              <w:t xml:space="preserve">      </w:t>
            </w:r>
            <w:r>
              <w:rPr>
                <w:rFonts w:hint="eastAsia"/>
                <w:color w:val="000000"/>
              </w:rPr>
              <w:t>万元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525" w:hRule="atLeast"/>
          <w:jc w:val="center"/>
        </w:trPr>
        <w:tc>
          <w:tcPr>
            <w:tcW w:w="869" w:type="dxa"/>
            <w:noWrap w:val="0"/>
            <w:vAlign w:val="center"/>
          </w:tcPr>
          <w:p>
            <w:pPr>
              <w:jc w:val="center"/>
              <w:rPr>
                <w:rFonts w:hint="eastAsia"/>
                <w:color w:val="000000"/>
              </w:rPr>
            </w:pPr>
            <w:r>
              <w:rPr>
                <w:rFonts w:hint="eastAsia"/>
                <w:color w:val="000000"/>
              </w:rPr>
              <w:t>3.2.5</w:t>
            </w:r>
          </w:p>
        </w:tc>
        <w:tc>
          <w:tcPr>
            <w:tcW w:w="1851" w:type="dxa"/>
            <w:noWrap w:val="0"/>
            <w:vAlign w:val="center"/>
          </w:tcPr>
          <w:p>
            <w:pPr>
              <w:jc w:val="center"/>
              <w:rPr>
                <w:rFonts w:hint="eastAsia"/>
                <w:color w:val="000000"/>
              </w:rPr>
            </w:pPr>
            <w:r>
              <w:rPr>
                <w:rFonts w:hint="eastAsia"/>
                <w:color w:val="000000"/>
              </w:rPr>
              <w:t>投标报价的</w:t>
            </w:r>
          </w:p>
          <w:p>
            <w:pPr>
              <w:jc w:val="center"/>
              <w:rPr>
                <w:rFonts w:hint="eastAsia"/>
                <w:color w:val="000000"/>
              </w:rPr>
            </w:pPr>
            <w:r>
              <w:rPr>
                <w:rFonts w:hint="eastAsia"/>
                <w:color w:val="000000"/>
              </w:rPr>
              <w:t>其他要求</w:t>
            </w:r>
          </w:p>
        </w:tc>
        <w:tc>
          <w:tcPr>
            <w:tcW w:w="6688" w:type="dxa"/>
            <w:noWrap w:val="0"/>
            <w:vAlign w:val="top"/>
          </w:tcPr>
          <w:p>
            <w:pPr>
              <w:spacing w:line="360" w:lineRule="auto"/>
              <w:jc w:val="center"/>
              <w:rPr>
                <w:rFonts w:hint="eastAsia"/>
                <w:color w:val="000000"/>
                <w:szCs w:val="21"/>
              </w:rPr>
            </w:pPr>
            <w:r>
              <w:rPr>
                <w:rFonts w:hint="eastAsia"/>
                <w:color w:val="000000"/>
                <w:szCs w:val="21"/>
              </w:rPr>
              <w:t>（1）</w:t>
            </w:r>
            <w:r>
              <w:rPr>
                <w:color w:val="000000"/>
                <w:szCs w:val="21"/>
              </w:rPr>
              <w:t>投标报价为投标人在投标文件中提出的各项支付金额的总和。</w:t>
            </w:r>
          </w:p>
          <w:p>
            <w:pPr>
              <w:spacing w:line="360" w:lineRule="auto"/>
              <w:jc w:val="center"/>
              <w:rPr>
                <w:rFonts w:hint="eastAsia"/>
                <w:color w:val="000000"/>
                <w:szCs w:val="21"/>
              </w:rPr>
            </w:pPr>
            <w:r>
              <w:rPr>
                <w:rFonts w:hint="eastAsia"/>
                <w:color w:val="000000"/>
                <w:szCs w:val="21"/>
              </w:rPr>
              <w:t>（2）投标人</w:t>
            </w:r>
            <w:r>
              <w:rPr>
                <w:color w:val="000000"/>
                <w:szCs w:val="21"/>
              </w:rPr>
              <w:t>投标报价由设计费、建筑安装工程费等组成</w:t>
            </w:r>
            <w:r>
              <w:rPr>
                <w:rFonts w:hint="eastAsia"/>
                <w:color w:val="000000"/>
                <w:szCs w:val="21"/>
              </w:rPr>
              <w:t>。其中：</w:t>
            </w:r>
          </w:p>
          <w:p>
            <w:pPr>
              <w:spacing w:line="360" w:lineRule="auto"/>
              <w:ind w:firstLine="435"/>
              <w:rPr>
                <w:color w:val="000000"/>
              </w:rPr>
            </w:pPr>
            <w:r>
              <w:rPr>
                <w:rFonts w:hint="eastAsia"/>
                <w:color w:val="000000"/>
              </w:rPr>
              <w:t>①如要求采用建筑信息模型（BIM）技术设计，设计费应包含</w:t>
            </w:r>
            <w:r>
              <w:rPr>
                <w:color w:val="000000"/>
              </w:rPr>
              <w:t>BIM</w:t>
            </w:r>
            <w:r>
              <w:rPr>
                <w:rFonts w:hint="eastAsia"/>
                <w:color w:val="000000"/>
              </w:rPr>
              <w:t>技术应用费用，BIM技术应用费用按照模型的精度及成果交付标准计算。</w:t>
            </w:r>
          </w:p>
          <w:p>
            <w:pPr>
              <w:spacing w:line="360" w:lineRule="auto"/>
              <w:ind w:firstLine="435"/>
              <w:rPr>
                <w:rFonts w:hint="eastAsia"/>
                <w:color w:val="000000"/>
              </w:rPr>
            </w:pPr>
            <w:r>
              <w:rPr>
                <w:rFonts w:hint="eastAsia"/>
                <w:color w:val="000000"/>
                <w:szCs w:val="21"/>
              </w:rPr>
              <w:t>②建筑安装工程费包含固定总价、暂估价、暂列金额三部分。暂估价为不确定性价格，投标人投标时须按招标人给出的各项暂估价金额填写，实施过程将暂估价作为该部分项目的最高额度进行限额设计，并按实结算。暂列金额用于合同约定的允许调整合同价款所发生的费用，投标时投标人按照招标人给出的暂列金额填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699" w:hRule="atLeast"/>
          <w:jc w:val="center"/>
        </w:trPr>
        <w:tc>
          <w:tcPr>
            <w:tcW w:w="869" w:type="dxa"/>
            <w:noWrap w:val="0"/>
            <w:vAlign w:val="center"/>
          </w:tcPr>
          <w:p>
            <w:pPr>
              <w:spacing w:line="360" w:lineRule="auto"/>
              <w:jc w:val="center"/>
              <w:rPr>
                <w:color w:val="000000"/>
                <w:szCs w:val="21"/>
              </w:rPr>
            </w:pPr>
            <w:r>
              <w:rPr>
                <w:rFonts w:hint="eastAsia"/>
                <w:color w:val="000000"/>
                <w:szCs w:val="21"/>
              </w:rPr>
              <w:t>3.3.1</w:t>
            </w:r>
          </w:p>
        </w:tc>
        <w:tc>
          <w:tcPr>
            <w:tcW w:w="1851" w:type="dxa"/>
            <w:noWrap w:val="0"/>
            <w:vAlign w:val="center"/>
          </w:tcPr>
          <w:p>
            <w:pPr>
              <w:spacing w:line="320" w:lineRule="exact"/>
              <w:jc w:val="center"/>
              <w:rPr>
                <w:color w:val="000000"/>
                <w:szCs w:val="21"/>
              </w:rPr>
            </w:pPr>
            <w:r>
              <w:rPr>
                <w:rFonts w:hint="eastAsia"/>
                <w:color w:val="000000"/>
                <w:szCs w:val="21"/>
              </w:rPr>
              <w:t>投标有效期</w:t>
            </w:r>
          </w:p>
        </w:tc>
        <w:tc>
          <w:tcPr>
            <w:tcW w:w="6688" w:type="dxa"/>
            <w:noWrap w:val="0"/>
            <w:vAlign w:val="center"/>
          </w:tcPr>
          <w:p>
            <w:pPr>
              <w:spacing w:line="320" w:lineRule="exact"/>
              <w:rPr>
                <w:rFonts w:ascii="宋体" w:hAnsi="宋体"/>
                <w:color w:val="000000"/>
                <w:szCs w:val="21"/>
              </w:rPr>
            </w:pPr>
            <w:r>
              <w:rPr>
                <w:rFonts w:hint="eastAsia" w:ascii="宋体" w:hAnsi="宋体"/>
                <w:color w:val="000000"/>
                <w:szCs w:val="21"/>
              </w:rPr>
              <w:t xml:space="preserve"> </w:t>
            </w:r>
            <w:r>
              <w:rPr>
                <w:rFonts w:hint="eastAsia" w:hAnsi="宋体"/>
                <w:b/>
                <w:color w:val="000000"/>
              </w:rPr>
              <w:t>□</w:t>
            </w:r>
            <w:r>
              <w:rPr>
                <w:rFonts w:hint="eastAsia" w:ascii="宋体" w:hAnsi="宋体"/>
                <w:color w:val="000000"/>
                <w:szCs w:val="21"/>
              </w:rPr>
              <w:t xml:space="preserve">90天 </w:t>
            </w:r>
            <w:r>
              <w:rPr>
                <w:rFonts w:hint="eastAsia" w:hAnsi="宋体"/>
                <w:b/>
                <w:color w:val="000000"/>
              </w:rPr>
              <w:t>□</w:t>
            </w:r>
            <w:r>
              <w:rPr>
                <w:rFonts w:hint="eastAsia" w:ascii="宋体" w:hAnsi="宋体"/>
                <w:color w:val="000000"/>
                <w:szCs w:val="21"/>
              </w:rPr>
              <w:t>120 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569" w:hRule="atLeast"/>
          <w:jc w:val="center"/>
        </w:trPr>
        <w:tc>
          <w:tcPr>
            <w:tcW w:w="869" w:type="dxa"/>
            <w:noWrap w:val="0"/>
            <w:vAlign w:val="center"/>
          </w:tcPr>
          <w:p>
            <w:pPr>
              <w:spacing w:line="360" w:lineRule="auto"/>
              <w:jc w:val="center"/>
              <w:rPr>
                <w:color w:val="000000"/>
                <w:szCs w:val="21"/>
              </w:rPr>
            </w:pPr>
            <w:r>
              <w:rPr>
                <w:rFonts w:hint="eastAsia"/>
                <w:color w:val="000000"/>
                <w:szCs w:val="21"/>
              </w:rPr>
              <w:t>3.4.1</w:t>
            </w:r>
          </w:p>
        </w:tc>
        <w:tc>
          <w:tcPr>
            <w:tcW w:w="1851" w:type="dxa"/>
            <w:noWrap w:val="0"/>
            <w:vAlign w:val="center"/>
          </w:tcPr>
          <w:p>
            <w:pPr>
              <w:spacing w:line="320" w:lineRule="exact"/>
              <w:jc w:val="center"/>
              <w:rPr>
                <w:color w:val="000000"/>
                <w:szCs w:val="21"/>
              </w:rPr>
            </w:pPr>
            <w:r>
              <w:rPr>
                <w:rFonts w:hint="eastAsia"/>
                <w:color w:val="000000"/>
                <w:szCs w:val="21"/>
              </w:rPr>
              <w:t>投标保证金</w:t>
            </w:r>
          </w:p>
        </w:tc>
        <w:tc>
          <w:tcPr>
            <w:tcW w:w="6688" w:type="dxa"/>
            <w:noWrap w:val="0"/>
            <w:vAlign w:val="center"/>
          </w:tcPr>
          <w:p>
            <w:pPr>
              <w:spacing w:line="348" w:lineRule="auto"/>
              <w:rPr>
                <w:color w:val="000000"/>
                <w:szCs w:val="21"/>
              </w:rPr>
            </w:pPr>
            <w:r>
              <w:rPr>
                <w:rFonts w:hint="eastAsia"/>
                <w:color w:val="000000"/>
                <w:szCs w:val="21"/>
              </w:rPr>
              <w:t>□不</w:t>
            </w:r>
            <w:r>
              <w:rPr>
                <w:color w:val="000000"/>
                <w:szCs w:val="21"/>
              </w:rPr>
              <w:t>需要</w:t>
            </w:r>
            <w:r>
              <w:rPr>
                <w:rFonts w:hint="eastAsia"/>
                <w:color w:val="000000"/>
                <w:szCs w:val="21"/>
              </w:rPr>
              <w:t>提交。</w:t>
            </w:r>
          </w:p>
          <w:p>
            <w:pPr>
              <w:spacing w:line="348" w:lineRule="auto"/>
              <w:rPr>
                <w:color w:val="000000"/>
                <w:szCs w:val="21"/>
              </w:rPr>
            </w:pPr>
            <w:r>
              <w:rPr>
                <w:rFonts w:hint="eastAsia" w:hAnsi="宋体"/>
                <w:color w:val="000000"/>
              </w:rPr>
              <w:t>□需要提交，</w:t>
            </w:r>
            <w:r>
              <w:rPr>
                <w:color w:val="000000"/>
                <w:szCs w:val="21"/>
              </w:rPr>
              <w:t>投标保证金的</w:t>
            </w:r>
            <w:r>
              <w:rPr>
                <w:rFonts w:hint="eastAsia"/>
                <w:color w:val="000000"/>
                <w:szCs w:val="21"/>
              </w:rPr>
              <w:t>提交方式：</w:t>
            </w:r>
            <w:r>
              <w:rPr>
                <w:rFonts w:hint="eastAsia" w:hAnsi="宋体" w:cs="宋体"/>
                <w:color w:val="000000"/>
              </w:rPr>
              <w:t>银行转账、电汇或网上支付、保函（银行保函、电子</w:t>
            </w:r>
            <w:r>
              <w:rPr>
                <w:rFonts w:hAnsi="宋体" w:cs="宋体"/>
                <w:color w:val="000000"/>
              </w:rPr>
              <w:t>保函</w:t>
            </w:r>
            <w:r>
              <w:rPr>
                <w:rFonts w:hint="eastAsia" w:hAnsi="宋体" w:cs="宋体"/>
                <w:color w:val="000000"/>
              </w:rPr>
              <w:t>、保证保险保函、工程担保保函）</w:t>
            </w:r>
            <w:r>
              <w:rPr>
                <w:rFonts w:hint="eastAsia" w:hAnsi="宋体"/>
                <w:color w:val="000000"/>
                <w:szCs w:val="21"/>
              </w:rPr>
              <w:t>等方式提交</w:t>
            </w:r>
            <w:r>
              <w:rPr>
                <w:color w:val="000000"/>
                <w:szCs w:val="21"/>
              </w:rPr>
              <w:t>。</w:t>
            </w:r>
            <w:r>
              <w:rPr>
                <w:rFonts w:hint="eastAsia"/>
                <w:color w:val="000000"/>
                <w:szCs w:val="21"/>
              </w:rPr>
              <w:t>【备注：严禁要求投标人以现金方式提交保证金的行为</w:t>
            </w:r>
            <w:r>
              <w:rPr>
                <w:rFonts w:hint="eastAsia" w:cs="宋体"/>
                <w:color w:val="000000"/>
              </w:rPr>
              <w:t>；采用银行保函、工程担保或工程保证保险方式的，保函有效期不得低于投标有效期；</w:t>
            </w:r>
            <w:r>
              <w:rPr>
                <w:rFonts w:cs="宋体"/>
                <w:color w:val="000000"/>
              </w:rPr>
              <w:t>鼓励</w:t>
            </w:r>
            <w:r>
              <w:rPr>
                <w:rFonts w:hint="eastAsia" w:cs="宋体"/>
                <w:color w:val="000000"/>
              </w:rPr>
              <w:t>采</w:t>
            </w:r>
            <w:r>
              <w:rPr>
                <w:rFonts w:cs="宋体"/>
                <w:color w:val="000000"/>
              </w:rPr>
              <w:t>用电子保函等形式</w:t>
            </w:r>
            <w:r>
              <w:rPr>
                <w:rFonts w:hint="eastAsia" w:cs="宋体"/>
                <w:color w:val="000000"/>
              </w:rPr>
              <w:t>。</w:t>
            </w:r>
            <w:r>
              <w:rPr>
                <w:rFonts w:hint="eastAsia"/>
                <w:color w:val="000000"/>
                <w:szCs w:val="21"/>
              </w:rPr>
              <w:t>】</w:t>
            </w:r>
          </w:p>
          <w:p>
            <w:pPr>
              <w:spacing w:line="348" w:lineRule="auto"/>
              <w:rPr>
                <w:color w:val="000000"/>
                <w:szCs w:val="21"/>
              </w:rPr>
            </w:pPr>
            <w:r>
              <w:rPr>
                <w:color w:val="000000"/>
                <w:szCs w:val="21"/>
              </w:rPr>
              <w:t>投标保证金的金额：</w:t>
            </w:r>
            <w:r>
              <w:rPr>
                <w:color w:val="000000"/>
                <w:szCs w:val="21"/>
                <w:u w:val="single"/>
              </w:rPr>
              <w:t xml:space="preserve">       </w:t>
            </w:r>
            <w:r>
              <w:rPr>
                <w:rFonts w:hint="eastAsia"/>
                <w:color w:val="000000"/>
                <w:szCs w:val="21"/>
              </w:rPr>
              <w:t>。</w:t>
            </w:r>
            <w:r>
              <w:rPr>
                <w:rFonts w:eastAsia="楷体_GB2312"/>
                <w:color w:val="000000"/>
                <w:szCs w:val="21"/>
              </w:rPr>
              <w:t>【备注：</w:t>
            </w:r>
            <w:r>
              <w:rPr>
                <w:rFonts w:hint="eastAsia" w:eastAsia="楷体_GB2312"/>
                <w:color w:val="000000"/>
                <w:szCs w:val="21"/>
              </w:rPr>
              <w:t>不得超过</w:t>
            </w:r>
            <w:r>
              <w:rPr>
                <w:rFonts w:hint="eastAsia" w:eastAsia="楷体_GB2312"/>
                <w:color w:val="000000"/>
                <w:kern w:val="0"/>
                <w:szCs w:val="21"/>
              </w:rPr>
              <w:t>控制价</w:t>
            </w:r>
            <w:r>
              <w:rPr>
                <w:rFonts w:eastAsia="楷体_GB2312"/>
                <w:color w:val="000000"/>
                <w:kern w:val="0"/>
                <w:szCs w:val="21"/>
              </w:rPr>
              <w:t>的2%，且最多不</w:t>
            </w:r>
            <w:r>
              <w:rPr>
                <w:rFonts w:hint="eastAsia" w:eastAsia="楷体_GB2312"/>
                <w:color w:val="000000"/>
                <w:kern w:val="0"/>
                <w:szCs w:val="21"/>
              </w:rPr>
              <w:t>得</w:t>
            </w:r>
            <w:r>
              <w:rPr>
                <w:rFonts w:eastAsia="楷体_GB2312"/>
                <w:color w:val="000000"/>
                <w:kern w:val="0"/>
                <w:szCs w:val="21"/>
              </w:rPr>
              <w:t>超过50万元</w:t>
            </w:r>
            <w:r>
              <w:rPr>
                <w:rFonts w:hint="eastAsia" w:eastAsia="楷体_GB2312"/>
                <w:color w:val="000000"/>
                <w:kern w:val="0"/>
                <w:szCs w:val="21"/>
              </w:rPr>
              <w:t>，鼓励招标人减少或免除投标保证金</w:t>
            </w:r>
            <w:r>
              <w:rPr>
                <w:rFonts w:eastAsia="楷体_GB2312"/>
                <w:color w:val="000000"/>
                <w:szCs w:val="21"/>
              </w:rPr>
              <w:t>】</w:t>
            </w:r>
          </w:p>
          <w:p>
            <w:pPr>
              <w:spacing w:line="348" w:lineRule="auto"/>
              <w:rPr>
                <w:rFonts w:hAnsi="宋体"/>
                <w:color w:val="000000"/>
              </w:rPr>
            </w:pPr>
            <w:r>
              <w:rPr>
                <w:rFonts w:hint="eastAsia" w:cs="宋体"/>
                <w:color w:val="000000"/>
              </w:rPr>
              <w:t>提交方式：</w:t>
            </w:r>
            <w:r>
              <w:rPr>
                <w:rFonts w:hint="eastAsia" w:cs="宋体"/>
                <w:color w:val="000000"/>
                <w:u w:val="single"/>
              </w:rPr>
              <w:t xml:space="preserve">  </w:t>
            </w:r>
            <w:r>
              <w:rPr>
                <w:rFonts w:cs="宋体"/>
                <w:color w:val="000000"/>
                <w:u w:val="single"/>
              </w:rPr>
              <w:t xml:space="preserve"> </w:t>
            </w:r>
            <w:r>
              <w:rPr>
                <w:rFonts w:hAnsi="宋体"/>
                <w:color w:val="000000"/>
                <w:u w:val="single"/>
              </w:rPr>
              <w:t xml:space="preserve">   </w:t>
            </w:r>
          </w:p>
          <w:p>
            <w:pPr>
              <w:spacing w:line="348" w:lineRule="auto"/>
              <w:rPr>
                <w:rFonts w:hint="eastAsia" w:hAnsi="宋体"/>
                <w:color w:val="000000"/>
              </w:rPr>
            </w:pPr>
            <w:r>
              <w:rPr>
                <w:rFonts w:hint="eastAsia" w:hAnsi="宋体"/>
                <w:color w:val="000000"/>
              </w:rPr>
              <w:t xml:space="preserve">    1、使用银行转账时投标保证金必须从投标人的企业基本账户汇到以下指定的投标保证金专用帐户，否则投标无效。</w:t>
            </w:r>
          </w:p>
          <w:p>
            <w:pPr>
              <w:spacing w:line="348" w:lineRule="auto"/>
              <w:rPr>
                <w:rFonts w:hint="eastAsia" w:hAnsi="宋体"/>
                <w:color w:val="000000"/>
              </w:rPr>
            </w:pPr>
            <w:r>
              <w:rPr>
                <w:rFonts w:hint="eastAsia" w:hAnsi="宋体"/>
                <w:color w:val="000000"/>
              </w:rPr>
              <w:t xml:space="preserve">    账户名称： </w:t>
            </w:r>
          </w:p>
          <w:p>
            <w:pPr>
              <w:spacing w:line="348" w:lineRule="auto"/>
              <w:rPr>
                <w:rFonts w:hint="eastAsia" w:hAnsi="宋体"/>
                <w:color w:val="000000"/>
              </w:rPr>
            </w:pPr>
            <w:r>
              <w:rPr>
                <w:rFonts w:hint="eastAsia" w:hAnsi="宋体"/>
                <w:color w:val="000000"/>
              </w:rPr>
              <w:t xml:space="preserve">    开户银行：</w:t>
            </w:r>
          </w:p>
          <w:p>
            <w:pPr>
              <w:spacing w:line="348" w:lineRule="auto"/>
              <w:ind w:firstLine="420" w:firstLineChars="200"/>
              <w:rPr>
                <w:rFonts w:hint="eastAsia" w:hAnsi="宋体"/>
                <w:color w:val="000000"/>
              </w:rPr>
            </w:pPr>
            <w:r>
              <w:rPr>
                <w:rFonts w:hint="eastAsia" w:hAnsi="宋体"/>
                <w:color w:val="000000"/>
              </w:rPr>
              <w:t>银行账号：</w:t>
            </w:r>
          </w:p>
          <w:p>
            <w:pPr>
              <w:spacing w:line="348" w:lineRule="auto"/>
              <w:rPr>
                <w:rFonts w:hAnsi="宋体"/>
                <w:color w:val="000000"/>
              </w:rPr>
            </w:pPr>
            <w:r>
              <w:rPr>
                <w:rFonts w:hint="eastAsia" w:hAnsi="宋体"/>
                <w:color w:val="000000"/>
              </w:rPr>
              <w:t xml:space="preserve">    2、投标人使用银行保函、保证保险保函、工程担保保函时，投标人将保函原件扫描件或电子保</w:t>
            </w:r>
            <w:r>
              <w:rPr>
                <w:rFonts w:hAnsi="宋体"/>
                <w:color w:val="000000"/>
              </w:rPr>
              <w:t>函</w:t>
            </w:r>
            <w:r>
              <w:rPr>
                <w:rFonts w:hint="eastAsia" w:hAnsi="宋体"/>
                <w:color w:val="000000"/>
              </w:rPr>
              <w:t>截图作为投标文件的组成部分同步上传至广西壮族自治区公共资源交易平台系统，否则投标无效。</w:t>
            </w:r>
          </w:p>
          <w:p>
            <w:pPr>
              <w:spacing w:line="348" w:lineRule="auto"/>
              <w:rPr>
                <w:rFonts w:hint="eastAsia" w:hAnsi="宋体"/>
                <w:color w:val="000000"/>
              </w:rPr>
            </w:pPr>
            <w:r>
              <w:rPr>
                <w:rFonts w:hint="eastAsia" w:hAnsi="宋体"/>
                <w:color w:val="000000"/>
              </w:rPr>
              <w:t xml:space="preserve">    投标保证金不足额缴纳的，或保函（银行保函、保证保险保函、工程担保保函）额度不足的，其投标无效。</w:t>
            </w:r>
          </w:p>
          <w:p>
            <w:pPr>
              <w:spacing w:line="360" w:lineRule="auto"/>
              <w:ind w:firstLine="315" w:firstLineChars="150"/>
              <w:rPr>
                <w:rFonts w:hint="eastAsia" w:ascii="宋体" w:hAnsi="宋体"/>
                <w:b/>
                <w:color w:val="000000"/>
                <w:szCs w:val="21"/>
                <w:u w:val="single"/>
              </w:rPr>
            </w:pPr>
            <w:r>
              <w:rPr>
                <w:rFonts w:hint="eastAsia" w:hAnsi="宋体"/>
                <w:color w:val="000000"/>
              </w:rPr>
              <w:t xml:space="preserve"> </w:t>
            </w:r>
            <w:r>
              <w:rPr>
                <w:rFonts w:ascii="宋体" w:hAnsi="宋体"/>
                <w:color w:val="000000"/>
                <w:szCs w:val="21"/>
              </w:rPr>
              <w:t>投标保证金必须以投标人自身的名义提交，不得以分支机构等其他名义提交。</w:t>
            </w:r>
            <w:r>
              <w:rPr>
                <w:rFonts w:hint="eastAsia" w:ascii="宋体" w:hAnsi="宋体"/>
                <w:color w:val="000000"/>
                <w:szCs w:val="21"/>
              </w:rPr>
              <w:t>当投标人为联合体时，可由联合体中的任一方缴纳，并在联合体协议书中明确。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761" w:hRule="atLeast"/>
          <w:jc w:val="center"/>
        </w:trPr>
        <w:tc>
          <w:tcPr>
            <w:tcW w:w="869" w:type="dxa"/>
            <w:noWrap w:val="0"/>
            <w:vAlign w:val="center"/>
          </w:tcPr>
          <w:p>
            <w:pPr>
              <w:spacing w:line="360" w:lineRule="auto"/>
              <w:jc w:val="center"/>
              <w:rPr>
                <w:color w:val="000000"/>
                <w:szCs w:val="21"/>
              </w:rPr>
            </w:pPr>
            <w:r>
              <w:rPr>
                <w:rFonts w:hint="eastAsia"/>
                <w:color w:val="000000"/>
                <w:szCs w:val="21"/>
              </w:rPr>
              <w:t>3.6</w:t>
            </w:r>
          </w:p>
        </w:tc>
        <w:tc>
          <w:tcPr>
            <w:tcW w:w="1851" w:type="dxa"/>
            <w:noWrap w:val="0"/>
            <w:vAlign w:val="center"/>
          </w:tcPr>
          <w:p>
            <w:pPr>
              <w:spacing w:line="320" w:lineRule="exact"/>
              <w:jc w:val="center"/>
              <w:rPr>
                <w:rFonts w:hint="eastAsia"/>
                <w:color w:val="000000"/>
                <w:szCs w:val="21"/>
              </w:rPr>
            </w:pPr>
            <w:r>
              <w:rPr>
                <w:rFonts w:hint="eastAsia"/>
                <w:color w:val="000000"/>
                <w:szCs w:val="21"/>
              </w:rPr>
              <w:t>是否允许递交</w:t>
            </w:r>
          </w:p>
          <w:p>
            <w:pPr>
              <w:spacing w:line="320" w:lineRule="exact"/>
              <w:jc w:val="center"/>
              <w:rPr>
                <w:color w:val="000000"/>
                <w:szCs w:val="21"/>
              </w:rPr>
            </w:pPr>
            <w:r>
              <w:rPr>
                <w:rFonts w:hint="eastAsia"/>
                <w:color w:val="000000"/>
                <w:szCs w:val="21"/>
              </w:rPr>
              <w:t>备选投标方案</w:t>
            </w:r>
          </w:p>
        </w:tc>
        <w:tc>
          <w:tcPr>
            <w:tcW w:w="6688" w:type="dxa"/>
            <w:noWrap w:val="0"/>
            <w:vAlign w:val="center"/>
          </w:tcPr>
          <w:p>
            <w:pPr>
              <w:spacing w:line="320" w:lineRule="exact"/>
              <w:rPr>
                <w:rFonts w:hint="eastAsia"/>
                <w:color w:val="000000"/>
                <w:szCs w:val="21"/>
              </w:rPr>
            </w:pPr>
            <w:r>
              <w:rPr>
                <w:rFonts w:hint="eastAsia" w:hAnsi="宋体"/>
                <w:b/>
                <w:color w:val="000000"/>
              </w:rPr>
              <w:t>□</w:t>
            </w:r>
            <w:r>
              <w:rPr>
                <w:rFonts w:hint="eastAsia"/>
                <w:color w:val="000000"/>
                <w:szCs w:val="21"/>
              </w:rPr>
              <w:t>不允许</w:t>
            </w:r>
          </w:p>
          <w:p>
            <w:pPr>
              <w:spacing w:line="320" w:lineRule="exact"/>
              <w:rPr>
                <w:color w:val="000000"/>
                <w:szCs w:val="21"/>
              </w:rPr>
            </w:pPr>
            <w:r>
              <w:rPr>
                <w:rFonts w:hint="eastAsia" w:hAnsi="宋体"/>
                <w:b/>
                <w:color w:val="000000"/>
              </w:rPr>
              <w:t>□</w:t>
            </w:r>
            <w:r>
              <w:rPr>
                <w:rFonts w:hint="eastAsia" w:hAnsi="宋体"/>
                <w:color w:val="000000"/>
              </w:rPr>
              <w:t>允许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1096" w:hRule="atLeast"/>
          <w:jc w:val="center"/>
        </w:trPr>
        <w:tc>
          <w:tcPr>
            <w:tcW w:w="869" w:type="dxa"/>
            <w:noWrap w:val="0"/>
            <w:vAlign w:val="center"/>
          </w:tcPr>
          <w:p>
            <w:pPr>
              <w:spacing w:line="360" w:lineRule="auto"/>
              <w:jc w:val="center"/>
              <w:rPr>
                <w:color w:val="000000"/>
                <w:szCs w:val="21"/>
              </w:rPr>
            </w:pPr>
            <w:r>
              <w:rPr>
                <w:rFonts w:hint="eastAsia"/>
                <w:color w:val="000000"/>
                <w:szCs w:val="21"/>
              </w:rPr>
              <w:t>3.7.3</w:t>
            </w:r>
          </w:p>
        </w:tc>
        <w:tc>
          <w:tcPr>
            <w:tcW w:w="1851" w:type="dxa"/>
            <w:noWrap w:val="0"/>
            <w:vAlign w:val="center"/>
          </w:tcPr>
          <w:p>
            <w:pPr>
              <w:spacing w:line="320" w:lineRule="exact"/>
              <w:jc w:val="center"/>
              <w:rPr>
                <w:color w:val="000000"/>
                <w:szCs w:val="21"/>
              </w:rPr>
            </w:pPr>
            <w:r>
              <w:rPr>
                <w:rFonts w:hint="eastAsia"/>
                <w:color w:val="000000"/>
                <w:szCs w:val="21"/>
              </w:rPr>
              <w:t>盖章要求</w:t>
            </w:r>
          </w:p>
        </w:tc>
        <w:tc>
          <w:tcPr>
            <w:tcW w:w="6688" w:type="dxa"/>
            <w:noWrap w:val="0"/>
            <w:vAlign w:val="center"/>
          </w:tcPr>
          <w:p>
            <w:pPr>
              <w:spacing w:line="320" w:lineRule="exact"/>
              <w:rPr>
                <w:color w:val="000000"/>
                <w:szCs w:val="21"/>
              </w:rPr>
            </w:pPr>
            <w:r>
              <w:rPr>
                <w:rFonts w:hint="eastAsia"/>
                <w:color w:val="000000"/>
              </w:rPr>
              <w:t>电子投标文件由投标人在招标文件规定的投标文件相关位置加盖投标人法人单位电子印章。投标文件未经投标人加盖法人单位电子印章的，作否决投标处理。联合体投标的，除联合体协议书需要双方盖章，其他只需盖联合体</w:t>
            </w:r>
            <w:r>
              <w:rPr>
                <w:color w:val="000000"/>
              </w:rPr>
              <w:t>任一</w:t>
            </w:r>
            <w:r>
              <w:rPr>
                <w:rFonts w:hint="eastAsia"/>
                <w:color w:val="000000"/>
              </w:rPr>
              <w:t>单位的电子印章。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525" w:hRule="atLeast"/>
          <w:jc w:val="center"/>
        </w:trPr>
        <w:tc>
          <w:tcPr>
            <w:tcW w:w="869" w:type="dxa"/>
            <w:noWrap w:val="0"/>
            <w:vAlign w:val="center"/>
          </w:tcPr>
          <w:p>
            <w:pPr>
              <w:spacing w:line="360" w:lineRule="auto"/>
              <w:jc w:val="center"/>
              <w:rPr>
                <w:color w:val="000000"/>
                <w:szCs w:val="21"/>
              </w:rPr>
            </w:pPr>
            <w:r>
              <w:rPr>
                <w:rFonts w:hint="eastAsia"/>
                <w:color w:val="000000"/>
                <w:szCs w:val="21"/>
              </w:rPr>
              <w:t>3.7.4</w:t>
            </w:r>
          </w:p>
        </w:tc>
        <w:tc>
          <w:tcPr>
            <w:tcW w:w="1851" w:type="dxa"/>
            <w:noWrap w:val="0"/>
            <w:vAlign w:val="center"/>
          </w:tcPr>
          <w:p>
            <w:pPr>
              <w:spacing w:line="320" w:lineRule="exact"/>
              <w:jc w:val="center"/>
              <w:rPr>
                <w:color w:val="000000"/>
                <w:szCs w:val="21"/>
              </w:rPr>
            </w:pPr>
            <w:r>
              <w:rPr>
                <w:rFonts w:hint="eastAsia"/>
                <w:color w:val="000000"/>
                <w:szCs w:val="21"/>
              </w:rPr>
              <w:t>投标文件份数</w:t>
            </w:r>
          </w:p>
        </w:tc>
        <w:tc>
          <w:tcPr>
            <w:tcW w:w="6688" w:type="dxa"/>
            <w:noWrap w:val="0"/>
            <w:vAlign w:val="center"/>
          </w:tcPr>
          <w:p>
            <w:pPr>
              <w:spacing w:line="320" w:lineRule="exact"/>
              <w:rPr>
                <w:rFonts w:hint="eastAsia"/>
                <w:color w:val="000000"/>
                <w:szCs w:val="21"/>
              </w:rPr>
            </w:pPr>
            <w:r>
              <w:rPr>
                <w:rFonts w:hint="eastAsia" w:hAnsi="宋体"/>
                <w:color w:val="000000"/>
              </w:rPr>
              <w:t>电子投标文件一份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1548" w:hRule="atLeast"/>
          <w:jc w:val="center"/>
        </w:trPr>
        <w:tc>
          <w:tcPr>
            <w:tcW w:w="869" w:type="dxa"/>
            <w:tcBorders>
              <w:bottom w:val="single" w:color="auto" w:sz="4" w:space="0"/>
            </w:tcBorders>
            <w:noWrap w:val="0"/>
            <w:vAlign w:val="center"/>
          </w:tcPr>
          <w:p>
            <w:pPr>
              <w:spacing w:line="360" w:lineRule="auto"/>
              <w:jc w:val="center"/>
              <w:rPr>
                <w:rFonts w:hint="eastAsia"/>
                <w:color w:val="000000"/>
                <w:szCs w:val="21"/>
              </w:rPr>
            </w:pPr>
            <w:r>
              <w:rPr>
                <w:rFonts w:hint="eastAsia" w:hAnsi="宋体"/>
                <w:color w:val="000000"/>
              </w:rPr>
              <w:t>4.1.1</w:t>
            </w:r>
          </w:p>
        </w:tc>
        <w:tc>
          <w:tcPr>
            <w:tcW w:w="1851" w:type="dxa"/>
            <w:tcBorders>
              <w:bottom w:val="single" w:color="auto" w:sz="4" w:space="0"/>
            </w:tcBorders>
            <w:noWrap w:val="0"/>
            <w:vAlign w:val="center"/>
          </w:tcPr>
          <w:p>
            <w:pPr>
              <w:spacing w:line="320" w:lineRule="exact"/>
              <w:jc w:val="center"/>
              <w:rPr>
                <w:rFonts w:hint="eastAsia"/>
                <w:color w:val="000000"/>
                <w:szCs w:val="21"/>
              </w:rPr>
            </w:pPr>
            <w:r>
              <w:rPr>
                <w:rFonts w:hint="eastAsia" w:hAnsi="宋体"/>
                <w:color w:val="000000"/>
              </w:rPr>
              <w:t>投标文件的加密和数字证书认证</w:t>
            </w:r>
          </w:p>
        </w:tc>
        <w:tc>
          <w:tcPr>
            <w:tcW w:w="6688" w:type="dxa"/>
            <w:tcBorders>
              <w:bottom w:val="single" w:color="auto" w:sz="4" w:space="0"/>
            </w:tcBorders>
            <w:noWrap w:val="0"/>
            <w:vAlign w:val="center"/>
          </w:tcPr>
          <w:p>
            <w:pPr>
              <w:spacing w:line="320" w:lineRule="exact"/>
              <w:rPr>
                <w:rFonts w:hint="eastAsia"/>
                <w:color w:val="000000"/>
                <w:szCs w:val="21"/>
              </w:rPr>
            </w:pPr>
            <w:r>
              <w:rPr>
                <w:rFonts w:hint="eastAsia" w:hAnsi="宋体"/>
                <w:color w:val="000000"/>
              </w:rPr>
              <w:t>投标文件应通过投标文件制作软件进行制作，并通过数字证书认证和加密，最终生成一份加密格式（*.GXTF）的投标文件。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848" w:hRule="atLeast"/>
          <w:jc w:val="center"/>
        </w:trPr>
        <w:tc>
          <w:tcPr>
            <w:tcW w:w="869" w:type="dxa"/>
            <w:noWrap w:val="0"/>
            <w:vAlign w:val="center"/>
          </w:tcPr>
          <w:p>
            <w:pPr>
              <w:spacing w:line="360" w:lineRule="exact"/>
              <w:jc w:val="center"/>
              <w:rPr>
                <w:color w:val="000000"/>
                <w:szCs w:val="21"/>
              </w:rPr>
            </w:pPr>
            <w:r>
              <w:rPr>
                <w:rFonts w:hint="eastAsia"/>
                <w:color w:val="000000"/>
                <w:szCs w:val="21"/>
              </w:rPr>
              <w:t>4.2.</w:t>
            </w:r>
            <w:r>
              <w:rPr>
                <w:color w:val="000000"/>
                <w:szCs w:val="21"/>
              </w:rPr>
              <w:t>2</w:t>
            </w:r>
          </w:p>
        </w:tc>
        <w:tc>
          <w:tcPr>
            <w:tcW w:w="1851" w:type="dxa"/>
            <w:noWrap w:val="0"/>
            <w:vAlign w:val="center"/>
          </w:tcPr>
          <w:p>
            <w:pPr>
              <w:spacing w:line="360" w:lineRule="exact"/>
              <w:jc w:val="center"/>
              <w:rPr>
                <w:rFonts w:hint="eastAsia"/>
                <w:color w:val="000000"/>
                <w:szCs w:val="21"/>
              </w:rPr>
            </w:pPr>
            <w:r>
              <w:rPr>
                <w:rFonts w:hint="eastAsia"/>
                <w:color w:val="000000"/>
                <w:szCs w:val="21"/>
              </w:rPr>
              <w:t>递交投标文件</w:t>
            </w:r>
          </w:p>
          <w:p>
            <w:pPr>
              <w:spacing w:line="360" w:lineRule="exact"/>
              <w:jc w:val="center"/>
              <w:rPr>
                <w:color w:val="000000"/>
                <w:szCs w:val="21"/>
              </w:rPr>
            </w:pPr>
            <w:r>
              <w:rPr>
                <w:rFonts w:hint="eastAsia"/>
                <w:color w:val="000000"/>
                <w:szCs w:val="21"/>
              </w:rPr>
              <w:t>地点</w:t>
            </w:r>
          </w:p>
        </w:tc>
        <w:tc>
          <w:tcPr>
            <w:tcW w:w="6688" w:type="dxa"/>
            <w:noWrap w:val="0"/>
            <w:vAlign w:val="center"/>
          </w:tcPr>
          <w:p>
            <w:pPr>
              <w:spacing w:line="360" w:lineRule="exact"/>
              <w:rPr>
                <w:color w:val="000000"/>
                <w:szCs w:val="21"/>
                <w:u w:val="single"/>
              </w:rPr>
            </w:pPr>
            <w:r>
              <w:rPr>
                <w:rFonts w:hint="eastAsia"/>
                <w:color w:val="000000"/>
                <w:szCs w:val="21"/>
              </w:rPr>
              <w:t>电子投标文件由各投标人在投标时间截止前自行在广西壮族自治区公共资源交易平台系统上传；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417" w:hRule="atLeast"/>
          <w:jc w:val="center"/>
        </w:trPr>
        <w:tc>
          <w:tcPr>
            <w:tcW w:w="869" w:type="dxa"/>
            <w:noWrap w:val="0"/>
            <w:vAlign w:val="center"/>
          </w:tcPr>
          <w:p>
            <w:pPr>
              <w:spacing w:line="360" w:lineRule="auto"/>
              <w:jc w:val="center"/>
              <w:rPr>
                <w:color w:val="000000"/>
                <w:szCs w:val="21"/>
              </w:rPr>
            </w:pPr>
            <w:r>
              <w:rPr>
                <w:rFonts w:hint="eastAsia"/>
                <w:color w:val="000000"/>
                <w:szCs w:val="21"/>
              </w:rPr>
              <w:t>4.2.</w:t>
            </w:r>
            <w:r>
              <w:rPr>
                <w:color w:val="000000"/>
                <w:szCs w:val="21"/>
              </w:rPr>
              <w:t>3</w:t>
            </w:r>
          </w:p>
        </w:tc>
        <w:tc>
          <w:tcPr>
            <w:tcW w:w="1851" w:type="dxa"/>
            <w:noWrap w:val="0"/>
            <w:vAlign w:val="center"/>
          </w:tcPr>
          <w:p>
            <w:pPr>
              <w:spacing w:line="320" w:lineRule="exact"/>
              <w:jc w:val="center"/>
              <w:rPr>
                <w:rFonts w:hint="eastAsia"/>
                <w:color w:val="000000"/>
                <w:szCs w:val="21"/>
              </w:rPr>
            </w:pPr>
            <w:r>
              <w:rPr>
                <w:rFonts w:hint="eastAsia"/>
                <w:color w:val="000000"/>
                <w:szCs w:val="21"/>
              </w:rPr>
              <w:t>是否退还</w:t>
            </w:r>
          </w:p>
          <w:p>
            <w:pPr>
              <w:spacing w:line="320" w:lineRule="exact"/>
              <w:jc w:val="center"/>
              <w:rPr>
                <w:color w:val="000000"/>
                <w:szCs w:val="21"/>
              </w:rPr>
            </w:pPr>
            <w:r>
              <w:rPr>
                <w:rFonts w:hint="eastAsia"/>
                <w:color w:val="000000"/>
                <w:szCs w:val="21"/>
              </w:rPr>
              <w:t>投标文件</w:t>
            </w:r>
          </w:p>
        </w:tc>
        <w:tc>
          <w:tcPr>
            <w:tcW w:w="6688" w:type="dxa"/>
            <w:noWrap w:val="0"/>
            <w:vAlign w:val="center"/>
          </w:tcPr>
          <w:p>
            <w:pPr>
              <w:spacing w:line="320" w:lineRule="exact"/>
              <w:rPr>
                <w:color w:val="000000"/>
                <w:szCs w:val="21"/>
              </w:rPr>
            </w:pPr>
            <w:r>
              <w:rPr>
                <w:rFonts w:hint="eastAsia" w:hAnsi="宋体"/>
                <w:color w:val="000000"/>
              </w:rP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417" w:hRule="atLeast"/>
          <w:jc w:val="center"/>
        </w:trPr>
        <w:tc>
          <w:tcPr>
            <w:tcW w:w="869" w:type="dxa"/>
            <w:noWrap w:val="0"/>
            <w:vAlign w:val="center"/>
          </w:tcPr>
          <w:p>
            <w:pPr>
              <w:spacing w:line="360" w:lineRule="auto"/>
              <w:jc w:val="center"/>
              <w:rPr>
                <w:rFonts w:hint="eastAsia"/>
                <w:color w:val="000000"/>
                <w:szCs w:val="21"/>
              </w:rPr>
            </w:pPr>
            <w:r>
              <w:rPr>
                <w:rFonts w:hint="eastAsia"/>
                <w:color w:val="000000"/>
                <w:szCs w:val="21"/>
              </w:rPr>
              <w:t>4.3</w:t>
            </w:r>
          </w:p>
        </w:tc>
        <w:tc>
          <w:tcPr>
            <w:tcW w:w="1851" w:type="dxa"/>
            <w:noWrap w:val="0"/>
            <w:vAlign w:val="center"/>
          </w:tcPr>
          <w:p>
            <w:pPr>
              <w:spacing w:line="320" w:lineRule="exact"/>
              <w:jc w:val="center"/>
              <w:rPr>
                <w:rFonts w:hint="eastAsia"/>
                <w:color w:val="000000"/>
                <w:szCs w:val="21"/>
              </w:rPr>
            </w:pPr>
            <w:r>
              <w:rPr>
                <w:rFonts w:hint="eastAsia"/>
                <w:color w:val="000000"/>
                <w:szCs w:val="21"/>
              </w:rPr>
              <w:t>投标文件的修改与撤回</w:t>
            </w:r>
          </w:p>
        </w:tc>
        <w:tc>
          <w:tcPr>
            <w:tcW w:w="6688" w:type="dxa"/>
            <w:noWrap w:val="0"/>
            <w:vAlign w:val="center"/>
          </w:tcPr>
          <w:p>
            <w:pPr>
              <w:spacing w:line="320" w:lineRule="exact"/>
              <w:rPr>
                <w:rFonts w:hint="eastAsia" w:hAnsi="宋体"/>
                <w:color w:val="000000"/>
              </w:rPr>
            </w:pPr>
            <w:r>
              <w:rPr>
                <w:rFonts w:hint="eastAsia" w:hAnsi="宋体"/>
                <w:color w:val="000000"/>
              </w:rPr>
              <w:t>见</w:t>
            </w:r>
            <w:r>
              <w:rPr>
                <w:rFonts w:hAnsi="宋体"/>
                <w:color w:val="000000"/>
              </w:rPr>
              <w:t>前附表正文</w:t>
            </w:r>
            <w:r>
              <w:rPr>
                <w:rFonts w:hint="eastAsia" w:hAnsi="宋体"/>
                <w:color w:val="000000"/>
              </w:rPr>
              <w:t>4.3条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719" w:hRule="atLeast"/>
          <w:jc w:val="center"/>
        </w:trPr>
        <w:tc>
          <w:tcPr>
            <w:tcW w:w="869" w:type="dxa"/>
            <w:noWrap w:val="0"/>
            <w:vAlign w:val="center"/>
          </w:tcPr>
          <w:p>
            <w:pPr>
              <w:spacing w:line="360" w:lineRule="auto"/>
              <w:jc w:val="center"/>
              <w:rPr>
                <w:color w:val="000000"/>
                <w:szCs w:val="21"/>
              </w:rPr>
            </w:pPr>
            <w:r>
              <w:rPr>
                <w:rFonts w:hint="eastAsia"/>
                <w:color w:val="000000"/>
                <w:szCs w:val="21"/>
              </w:rPr>
              <w:t>5.1</w:t>
            </w:r>
          </w:p>
        </w:tc>
        <w:tc>
          <w:tcPr>
            <w:tcW w:w="1851" w:type="dxa"/>
            <w:noWrap w:val="0"/>
            <w:vAlign w:val="center"/>
          </w:tcPr>
          <w:p>
            <w:pPr>
              <w:spacing w:line="320" w:lineRule="exact"/>
              <w:jc w:val="center"/>
              <w:rPr>
                <w:color w:val="000000"/>
                <w:szCs w:val="21"/>
              </w:rPr>
            </w:pPr>
            <w:r>
              <w:rPr>
                <w:rFonts w:hint="eastAsia"/>
                <w:color w:val="000000"/>
                <w:szCs w:val="21"/>
              </w:rPr>
              <w:t>开标时间和地点</w:t>
            </w:r>
          </w:p>
        </w:tc>
        <w:tc>
          <w:tcPr>
            <w:tcW w:w="6688" w:type="dxa"/>
            <w:noWrap w:val="0"/>
            <w:vAlign w:val="center"/>
          </w:tcPr>
          <w:p>
            <w:pPr>
              <w:spacing w:line="320" w:lineRule="exact"/>
              <w:rPr>
                <w:rFonts w:hint="eastAsia"/>
                <w:color w:val="000000"/>
                <w:szCs w:val="21"/>
              </w:rPr>
            </w:pPr>
            <w:r>
              <w:rPr>
                <w:rFonts w:hint="eastAsia"/>
                <w:color w:val="000000"/>
                <w:szCs w:val="21"/>
              </w:rPr>
              <w:t>开标时间：同投标截止时间</w:t>
            </w:r>
          </w:p>
          <w:p>
            <w:pPr>
              <w:spacing w:line="320" w:lineRule="exact"/>
              <w:rPr>
                <w:rFonts w:hint="eastAsia"/>
                <w:color w:val="000000"/>
                <w:szCs w:val="21"/>
                <w:u w:val="single"/>
              </w:rPr>
            </w:pPr>
            <w:r>
              <w:rPr>
                <w:rFonts w:hint="eastAsia"/>
                <w:color w:val="000000"/>
                <w:szCs w:val="21"/>
              </w:rPr>
              <w:t>开标地点：当地交易中心或</w:t>
            </w:r>
            <w:r>
              <w:rPr>
                <w:color w:val="000000"/>
                <w:szCs w:val="21"/>
              </w:rPr>
              <w:t>网上开标室</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719" w:hRule="atLeast"/>
          <w:jc w:val="center"/>
        </w:trPr>
        <w:tc>
          <w:tcPr>
            <w:tcW w:w="869" w:type="dxa"/>
            <w:noWrap w:val="0"/>
            <w:vAlign w:val="center"/>
          </w:tcPr>
          <w:p>
            <w:pPr>
              <w:spacing w:line="360" w:lineRule="exact"/>
              <w:jc w:val="center"/>
              <w:rPr>
                <w:color w:val="000000"/>
                <w:szCs w:val="21"/>
              </w:rPr>
            </w:pPr>
            <w:r>
              <w:rPr>
                <w:color w:val="000000"/>
                <w:szCs w:val="21"/>
              </w:rPr>
              <w:t>5.2</w:t>
            </w:r>
          </w:p>
        </w:tc>
        <w:tc>
          <w:tcPr>
            <w:tcW w:w="1851" w:type="dxa"/>
            <w:noWrap w:val="0"/>
            <w:vAlign w:val="center"/>
          </w:tcPr>
          <w:p>
            <w:pPr>
              <w:spacing w:line="360" w:lineRule="exact"/>
              <w:jc w:val="center"/>
              <w:rPr>
                <w:color w:val="000000"/>
                <w:szCs w:val="21"/>
              </w:rPr>
            </w:pPr>
            <w:r>
              <w:rPr>
                <w:rFonts w:hint="eastAsia"/>
                <w:color w:val="000000"/>
                <w:szCs w:val="21"/>
              </w:rPr>
              <w:t>开标程序</w:t>
            </w:r>
          </w:p>
        </w:tc>
        <w:tc>
          <w:tcPr>
            <w:tcW w:w="6688" w:type="dxa"/>
            <w:noWrap w:val="0"/>
            <w:vAlign w:val="center"/>
          </w:tcPr>
          <w:p>
            <w:pPr>
              <w:spacing w:line="360" w:lineRule="auto"/>
              <w:rPr>
                <w:rFonts w:hint="eastAsia"/>
                <w:color w:val="000000"/>
              </w:rPr>
            </w:pPr>
            <w:r>
              <w:rPr>
                <w:rFonts w:hint="eastAsia"/>
                <w:color w:val="000000"/>
              </w:rPr>
              <w:t>见正文5.2条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757" w:hRule="atLeast"/>
          <w:jc w:val="center"/>
        </w:trPr>
        <w:tc>
          <w:tcPr>
            <w:tcW w:w="869" w:type="dxa"/>
            <w:noWrap w:val="0"/>
            <w:vAlign w:val="center"/>
          </w:tcPr>
          <w:p>
            <w:pPr>
              <w:spacing w:line="360" w:lineRule="auto"/>
              <w:jc w:val="center"/>
              <w:rPr>
                <w:color w:val="000000"/>
                <w:szCs w:val="21"/>
              </w:rPr>
            </w:pPr>
            <w:r>
              <w:rPr>
                <w:rFonts w:hint="eastAsia"/>
                <w:color w:val="000000"/>
                <w:szCs w:val="21"/>
              </w:rPr>
              <w:t>6.1.1</w:t>
            </w:r>
          </w:p>
        </w:tc>
        <w:tc>
          <w:tcPr>
            <w:tcW w:w="1851" w:type="dxa"/>
            <w:noWrap w:val="0"/>
            <w:vAlign w:val="center"/>
          </w:tcPr>
          <w:p>
            <w:pPr>
              <w:spacing w:line="320" w:lineRule="exact"/>
              <w:jc w:val="center"/>
              <w:rPr>
                <w:rFonts w:hint="eastAsia"/>
                <w:color w:val="000000"/>
                <w:szCs w:val="21"/>
              </w:rPr>
            </w:pPr>
            <w:r>
              <w:rPr>
                <w:rFonts w:hint="eastAsia"/>
                <w:color w:val="000000"/>
                <w:szCs w:val="21"/>
              </w:rPr>
              <w:t>评标委员会的</w:t>
            </w:r>
          </w:p>
          <w:p>
            <w:pPr>
              <w:spacing w:line="320" w:lineRule="exact"/>
              <w:jc w:val="center"/>
              <w:rPr>
                <w:color w:val="000000"/>
                <w:szCs w:val="21"/>
              </w:rPr>
            </w:pPr>
            <w:r>
              <w:rPr>
                <w:rFonts w:hint="eastAsia"/>
                <w:color w:val="000000"/>
                <w:szCs w:val="21"/>
              </w:rPr>
              <w:t>组建</w:t>
            </w:r>
          </w:p>
        </w:tc>
        <w:tc>
          <w:tcPr>
            <w:tcW w:w="6688" w:type="dxa"/>
            <w:noWrap w:val="0"/>
            <w:vAlign w:val="center"/>
          </w:tcPr>
          <w:p>
            <w:pPr>
              <w:spacing w:line="320" w:lineRule="exact"/>
              <w:ind w:firstLine="211" w:firstLineChars="100"/>
              <w:rPr>
                <w:rFonts w:hint="eastAsia" w:ascii="宋体" w:hAnsi="宋体"/>
                <w:color w:val="000000"/>
                <w:szCs w:val="21"/>
              </w:rPr>
            </w:pPr>
            <w:r>
              <w:rPr>
                <w:rFonts w:hint="eastAsia"/>
                <w:b/>
                <w:color w:val="000000"/>
                <w:szCs w:val="21"/>
              </w:rPr>
              <w:t>评标委员会构成：</w:t>
            </w:r>
          </w:p>
          <w:p>
            <w:pPr>
              <w:spacing w:line="320" w:lineRule="exact"/>
              <w:rPr>
                <w:rFonts w:hint="eastAsia"/>
                <w:b/>
                <w:color w:val="000000"/>
                <w:szCs w:val="21"/>
              </w:rPr>
            </w:pPr>
            <w:r>
              <w:rPr>
                <w:rFonts w:hint="eastAsia" w:hAnsi="宋体"/>
                <w:b/>
                <w:color w:val="000000"/>
              </w:rPr>
              <w:t>□项目</w:t>
            </w:r>
            <w:r>
              <w:rPr>
                <w:rFonts w:hint="eastAsia"/>
                <w:b/>
                <w:color w:val="000000"/>
                <w:szCs w:val="21"/>
              </w:rPr>
              <w:t>方案设计完成后初步设计完成前：</w:t>
            </w:r>
          </w:p>
          <w:p>
            <w:pPr>
              <w:spacing w:line="320" w:lineRule="exact"/>
              <w:rPr>
                <w:rFonts w:hint="eastAsia"/>
                <w:color w:val="000000"/>
                <w:szCs w:val="21"/>
              </w:rPr>
            </w:pPr>
            <w:r>
              <w:rPr>
                <w:rFonts w:hint="eastAsia"/>
                <w:color w:val="000000"/>
                <w:szCs w:val="21"/>
              </w:rPr>
              <w:t>总人数为</w:t>
            </w:r>
            <w:r>
              <w:rPr>
                <w:rFonts w:hint="eastAsia"/>
                <w:color w:val="000000"/>
                <w:szCs w:val="21"/>
                <w:u w:val="single"/>
              </w:rPr>
              <w:t xml:space="preserve">     </w:t>
            </w:r>
            <w:r>
              <w:rPr>
                <w:rFonts w:hint="eastAsia"/>
                <w:color w:val="000000"/>
                <w:szCs w:val="21"/>
              </w:rPr>
              <w:t>人，其中，招标人代表</w:t>
            </w:r>
            <w:r>
              <w:rPr>
                <w:rFonts w:hint="eastAsia"/>
                <w:color w:val="000000"/>
                <w:szCs w:val="21"/>
                <w:u w:val="single"/>
              </w:rPr>
              <w:t xml:space="preserve">    </w:t>
            </w:r>
            <w:r>
              <w:rPr>
                <w:rFonts w:hint="eastAsia"/>
                <w:color w:val="000000"/>
                <w:szCs w:val="21"/>
              </w:rPr>
              <w:t>人（其中：</w:t>
            </w:r>
            <w:r>
              <w:rPr>
                <w:rFonts w:hint="eastAsia"/>
                <w:color w:val="000000"/>
                <w:szCs w:val="21"/>
                <w:u w:val="single"/>
              </w:rPr>
              <w:t xml:space="preserve">           </w:t>
            </w:r>
            <w:r>
              <w:rPr>
                <w:rFonts w:hint="eastAsia"/>
                <w:color w:val="000000"/>
                <w:szCs w:val="21"/>
              </w:rPr>
              <w:t>）；</w:t>
            </w:r>
          </w:p>
          <w:p>
            <w:pPr>
              <w:spacing w:line="320" w:lineRule="exact"/>
              <w:rPr>
                <w:rFonts w:hint="eastAsia"/>
                <w:color w:val="000000"/>
                <w:szCs w:val="21"/>
              </w:rPr>
            </w:pPr>
            <w:r>
              <w:rPr>
                <w:rFonts w:hint="eastAsia"/>
                <w:color w:val="000000"/>
                <w:szCs w:val="21"/>
              </w:rPr>
              <w:t>专家</w:t>
            </w:r>
            <w:r>
              <w:rPr>
                <w:rFonts w:hint="eastAsia"/>
                <w:color w:val="000000"/>
                <w:szCs w:val="21"/>
                <w:u w:val="single"/>
              </w:rPr>
              <w:t xml:space="preserve">    </w:t>
            </w:r>
            <w:r>
              <w:rPr>
                <w:rFonts w:hint="eastAsia"/>
                <w:color w:val="000000"/>
                <w:szCs w:val="21"/>
              </w:rPr>
              <w:t>人，专家由以下专业</w:t>
            </w:r>
            <w:r>
              <w:rPr>
                <w:rFonts w:hint="eastAsia" w:ascii="宋体" w:hAnsi="宋体"/>
                <w:color w:val="000000"/>
                <w:szCs w:val="21"/>
              </w:rPr>
              <w:t>技术人员组成:</w:t>
            </w:r>
          </w:p>
          <w:p>
            <w:pPr>
              <w:spacing w:line="320" w:lineRule="exact"/>
              <w:ind w:firstLine="211" w:firstLineChars="100"/>
              <w:rPr>
                <w:rFonts w:hint="eastAsia" w:ascii="宋体" w:hAnsi="宋体"/>
                <w:color w:val="000000"/>
                <w:szCs w:val="21"/>
              </w:rPr>
            </w:pPr>
            <w:r>
              <w:rPr>
                <w:rFonts w:hint="eastAsia" w:hAnsi="宋体"/>
                <w:b/>
                <w:color w:val="000000"/>
              </w:rPr>
              <w:t>□</w:t>
            </w:r>
            <w:r>
              <w:rPr>
                <w:rFonts w:hint="eastAsia" w:ascii="宋体" w:hAnsi="宋体"/>
                <w:color w:val="000000"/>
                <w:szCs w:val="21"/>
              </w:rPr>
              <w:t>经济：</w:t>
            </w:r>
            <w:r>
              <w:rPr>
                <w:rFonts w:hint="eastAsia" w:ascii="宋体" w:hAnsi="宋体"/>
                <w:color w:val="000000"/>
                <w:szCs w:val="21"/>
                <w:u w:val="single"/>
              </w:rPr>
              <w:t xml:space="preserve">        </w:t>
            </w:r>
            <w:r>
              <w:rPr>
                <w:rFonts w:hint="eastAsia" w:ascii="宋体" w:hAnsi="宋体"/>
                <w:color w:val="000000"/>
                <w:szCs w:val="21"/>
              </w:rPr>
              <w:t>人</w:t>
            </w:r>
          </w:p>
          <w:p>
            <w:pPr>
              <w:spacing w:line="320" w:lineRule="exact"/>
              <w:ind w:firstLine="211" w:firstLineChars="100"/>
              <w:rPr>
                <w:rFonts w:hint="eastAsia" w:ascii="宋体" w:hAnsi="宋体"/>
                <w:color w:val="000000"/>
                <w:szCs w:val="21"/>
              </w:rPr>
            </w:pPr>
            <w:r>
              <w:rPr>
                <w:rFonts w:hint="eastAsia" w:hAnsi="宋体"/>
                <w:b/>
                <w:color w:val="000000"/>
              </w:rPr>
              <w:t>□</w:t>
            </w:r>
            <w:r>
              <w:rPr>
                <w:rFonts w:hint="eastAsia" w:ascii="宋体" w:hAnsi="宋体"/>
                <w:color w:val="000000"/>
                <w:szCs w:val="21"/>
              </w:rPr>
              <w:t>建筑设计：</w:t>
            </w:r>
            <w:r>
              <w:rPr>
                <w:rFonts w:hint="eastAsia" w:ascii="宋体" w:hAnsi="宋体"/>
                <w:color w:val="000000"/>
                <w:szCs w:val="21"/>
                <w:u w:val="single"/>
              </w:rPr>
              <w:t xml:space="preserve">        </w:t>
            </w:r>
            <w:r>
              <w:rPr>
                <w:rFonts w:hint="eastAsia" w:ascii="宋体" w:hAnsi="宋体"/>
                <w:color w:val="000000"/>
                <w:szCs w:val="21"/>
              </w:rPr>
              <w:t>人</w:t>
            </w:r>
          </w:p>
          <w:p>
            <w:pPr>
              <w:spacing w:line="320" w:lineRule="exact"/>
              <w:ind w:firstLine="211" w:firstLineChars="100"/>
              <w:rPr>
                <w:rFonts w:hint="eastAsia" w:ascii="宋体" w:hAnsi="宋体"/>
                <w:color w:val="000000"/>
                <w:szCs w:val="21"/>
              </w:rPr>
            </w:pPr>
            <w:r>
              <w:rPr>
                <w:rFonts w:hint="eastAsia" w:hAnsi="宋体"/>
                <w:b/>
                <w:color w:val="000000"/>
              </w:rPr>
              <w:t>□</w:t>
            </w:r>
            <w:r>
              <w:rPr>
                <w:rFonts w:hint="eastAsia" w:ascii="宋体" w:hAnsi="宋体"/>
                <w:color w:val="000000"/>
                <w:szCs w:val="21"/>
              </w:rPr>
              <w:t>结构设计：</w:t>
            </w:r>
            <w:r>
              <w:rPr>
                <w:rFonts w:hint="eastAsia" w:ascii="宋体" w:hAnsi="宋体"/>
                <w:color w:val="000000"/>
                <w:szCs w:val="21"/>
                <w:u w:val="single"/>
              </w:rPr>
              <w:t xml:space="preserve">    </w:t>
            </w:r>
            <w:r>
              <w:rPr>
                <w:rFonts w:hint="eastAsia" w:ascii="宋体" w:hAnsi="宋体"/>
                <w:color w:val="000000"/>
                <w:szCs w:val="21"/>
              </w:rPr>
              <w:t>人</w:t>
            </w:r>
          </w:p>
          <w:p>
            <w:pPr>
              <w:spacing w:line="320" w:lineRule="exact"/>
              <w:ind w:firstLine="211" w:firstLineChars="100"/>
              <w:rPr>
                <w:rFonts w:hint="eastAsia" w:ascii="宋体" w:hAnsi="宋体"/>
                <w:color w:val="000000"/>
                <w:szCs w:val="21"/>
              </w:rPr>
            </w:pPr>
            <w:r>
              <w:rPr>
                <w:rFonts w:hint="eastAsia" w:hAnsi="宋体"/>
                <w:b/>
                <w:color w:val="000000"/>
              </w:rPr>
              <w:t>□</w:t>
            </w:r>
            <w:r>
              <w:rPr>
                <w:rFonts w:hint="eastAsia" w:ascii="宋体" w:hAnsi="宋体"/>
                <w:color w:val="000000"/>
                <w:szCs w:val="21"/>
              </w:rPr>
              <w:t>施工技术：</w:t>
            </w:r>
            <w:r>
              <w:rPr>
                <w:rFonts w:hint="eastAsia" w:ascii="宋体" w:hAnsi="宋体"/>
                <w:color w:val="000000"/>
                <w:szCs w:val="21"/>
                <w:u w:val="single"/>
              </w:rPr>
              <w:t xml:space="preserve">    </w:t>
            </w:r>
            <w:r>
              <w:rPr>
                <w:rFonts w:hint="eastAsia" w:ascii="宋体" w:hAnsi="宋体"/>
                <w:color w:val="000000"/>
                <w:szCs w:val="21"/>
              </w:rPr>
              <w:t>人</w:t>
            </w:r>
          </w:p>
          <w:p>
            <w:pPr>
              <w:spacing w:line="320" w:lineRule="exact"/>
              <w:ind w:firstLine="211" w:firstLineChars="100"/>
              <w:rPr>
                <w:rFonts w:hint="eastAsia" w:ascii="宋体" w:hAnsi="宋体"/>
                <w:color w:val="000000"/>
                <w:szCs w:val="21"/>
              </w:rPr>
            </w:pPr>
            <w:r>
              <w:rPr>
                <w:rFonts w:hint="eastAsia" w:hAnsi="宋体"/>
                <w:b/>
                <w:color w:val="000000"/>
              </w:rPr>
              <w:t>□其他专业：</w:t>
            </w:r>
            <w:r>
              <w:rPr>
                <w:rFonts w:hint="eastAsia" w:ascii="宋体" w:hAnsi="宋体"/>
                <w:color w:val="000000"/>
                <w:szCs w:val="21"/>
                <w:u w:val="single"/>
              </w:rPr>
              <w:t xml:space="preserve">    </w:t>
            </w:r>
            <w:r>
              <w:rPr>
                <w:rFonts w:hint="eastAsia" w:ascii="宋体" w:hAnsi="宋体"/>
                <w:color w:val="000000"/>
                <w:szCs w:val="21"/>
              </w:rPr>
              <w:t>人</w:t>
            </w:r>
          </w:p>
          <w:p>
            <w:pPr>
              <w:spacing w:before="240" w:beforeLines="100" w:line="320" w:lineRule="exact"/>
              <w:rPr>
                <w:rFonts w:hint="eastAsia"/>
                <w:b/>
                <w:color w:val="000000"/>
                <w:szCs w:val="21"/>
              </w:rPr>
            </w:pPr>
            <w:r>
              <w:rPr>
                <w:rFonts w:hint="eastAsia" w:hAnsi="宋体"/>
                <w:b/>
                <w:color w:val="000000"/>
              </w:rPr>
              <w:t>□</w:t>
            </w:r>
            <w:r>
              <w:rPr>
                <w:rFonts w:hint="eastAsia"/>
                <w:b/>
                <w:color w:val="000000"/>
                <w:szCs w:val="21"/>
              </w:rPr>
              <w:t>初步设计完成后施工图设计完成前：</w:t>
            </w:r>
          </w:p>
          <w:p>
            <w:pPr>
              <w:spacing w:line="320" w:lineRule="exact"/>
              <w:rPr>
                <w:rFonts w:hint="eastAsia"/>
                <w:color w:val="000000"/>
                <w:szCs w:val="21"/>
              </w:rPr>
            </w:pPr>
            <w:r>
              <w:rPr>
                <w:rFonts w:hint="eastAsia"/>
                <w:color w:val="000000"/>
                <w:szCs w:val="21"/>
              </w:rPr>
              <w:t>总人数为</w:t>
            </w:r>
            <w:r>
              <w:rPr>
                <w:rFonts w:hint="eastAsia"/>
                <w:color w:val="000000"/>
                <w:szCs w:val="21"/>
                <w:u w:val="single"/>
              </w:rPr>
              <w:t xml:space="preserve">     </w:t>
            </w:r>
            <w:r>
              <w:rPr>
                <w:rFonts w:hint="eastAsia"/>
                <w:color w:val="000000"/>
                <w:szCs w:val="21"/>
              </w:rPr>
              <w:t>人，其中，招标人代表</w:t>
            </w:r>
            <w:r>
              <w:rPr>
                <w:rFonts w:hint="eastAsia"/>
                <w:color w:val="000000"/>
                <w:szCs w:val="21"/>
                <w:u w:val="single"/>
              </w:rPr>
              <w:t xml:space="preserve">    </w:t>
            </w:r>
            <w:r>
              <w:rPr>
                <w:rFonts w:hint="eastAsia"/>
                <w:color w:val="000000"/>
                <w:szCs w:val="21"/>
              </w:rPr>
              <w:t>人（其中：</w:t>
            </w:r>
            <w:r>
              <w:rPr>
                <w:rFonts w:hint="eastAsia"/>
                <w:color w:val="000000"/>
                <w:szCs w:val="21"/>
                <w:u w:val="single"/>
              </w:rPr>
              <w:t xml:space="preserve">           </w:t>
            </w:r>
            <w:r>
              <w:rPr>
                <w:rFonts w:hint="eastAsia"/>
                <w:color w:val="000000"/>
                <w:szCs w:val="21"/>
              </w:rPr>
              <w:t>）；</w:t>
            </w:r>
          </w:p>
          <w:p>
            <w:pPr>
              <w:spacing w:line="320" w:lineRule="exact"/>
              <w:rPr>
                <w:rFonts w:hint="eastAsia"/>
                <w:color w:val="000000"/>
                <w:szCs w:val="21"/>
              </w:rPr>
            </w:pPr>
            <w:r>
              <w:rPr>
                <w:rFonts w:hint="eastAsia"/>
                <w:color w:val="000000"/>
                <w:szCs w:val="21"/>
              </w:rPr>
              <w:t>专家</w:t>
            </w:r>
            <w:r>
              <w:rPr>
                <w:rFonts w:hint="eastAsia"/>
                <w:color w:val="000000"/>
                <w:szCs w:val="21"/>
                <w:u w:val="single"/>
              </w:rPr>
              <w:t xml:space="preserve">    </w:t>
            </w:r>
            <w:r>
              <w:rPr>
                <w:rFonts w:hint="eastAsia"/>
                <w:color w:val="000000"/>
                <w:szCs w:val="21"/>
              </w:rPr>
              <w:t>人，专家由以下专业</w:t>
            </w:r>
            <w:r>
              <w:rPr>
                <w:rFonts w:hint="eastAsia" w:ascii="宋体" w:hAnsi="宋体"/>
                <w:color w:val="000000"/>
                <w:szCs w:val="21"/>
              </w:rPr>
              <w:t>技术人员组成:</w:t>
            </w:r>
          </w:p>
          <w:p>
            <w:pPr>
              <w:spacing w:line="320" w:lineRule="exact"/>
              <w:ind w:firstLine="211" w:firstLineChars="100"/>
              <w:rPr>
                <w:rFonts w:hint="eastAsia" w:ascii="宋体" w:hAnsi="宋体"/>
                <w:color w:val="000000"/>
                <w:szCs w:val="21"/>
              </w:rPr>
            </w:pPr>
            <w:r>
              <w:rPr>
                <w:rFonts w:hint="eastAsia" w:hAnsi="宋体"/>
                <w:b/>
                <w:color w:val="000000"/>
              </w:rPr>
              <w:t>□</w:t>
            </w:r>
            <w:r>
              <w:rPr>
                <w:rFonts w:hint="eastAsia" w:ascii="宋体" w:hAnsi="宋体"/>
                <w:color w:val="000000"/>
                <w:szCs w:val="21"/>
              </w:rPr>
              <w:t>经济：</w:t>
            </w:r>
            <w:r>
              <w:rPr>
                <w:rFonts w:hint="eastAsia" w:ascii="宋体" w:hAnsi="宋体"/>
                <w:color w:val="000000"/>
                <w:szCs w:val="21"/>
                <w:u w:val="single"/>
              </w:rPr>
              <w:t xml:space="preserve">    </w:t>
            </w:r>
            <w:r>
              <w:rPr>
                <w:rFonts w:hint="eastAsia" w:ascii="宋体" w:hAnsi="宋体"/>
                <w:color w:val="000000"/>
                <w:szCs w:val="21"/>
              </w:rPr>
              <w:t>人</w:t>
            </w:r>
          </w:p>
          <w:p>
            <w:pPr>
              <w:spacing w:line="320" w:lineRule="exact"/>
              <w:ind w:firstLine="211" w:firstLineChars="100"/>
              <w:rPr>
                <w:rFonts w:hint="eastAsia" w:ascii="宋体" w:hAnsi="宋体"/>
                <w:color w:val="000000"/>
                <w:szCs w:val="21"/>
              </w:rPr>
            </w:pPr>
            <w:r>
              <w:rPr>
                <w:rFonts w:hint="eastAsia" w:hAnsi="宋体"/>
                <w:b/>
                <w:color w:val="000000"/>
              </w:rPr>
              <w:t>□</w:t>
            </w:r>
            <w:r>
              <w:rPr>
                <w:rFonts w:hint="eastAsia" w:ascii="宋体" w:hAnsi="宋体"/>
                <w:color w:val="000000"/>
                <w:szCs w:val="21"/>
              </w:rPr>
              <w:t>建筑设计：</w:t>
            </w:r>
            <w:r>
              <w:rPr>
                <w:rFonts w:hint="eastAsia" w:ascii="宋体" w:hAnsi="宋体"/>
                <w:color w:val="000000"/>
                <w:szCs w:val="21"/>
                <w:u w:val="single"/>
              </w:rPr>
              <w:t xml:space="preserve">        </w:t>
            </w:r>
            <w:r>
              <w:rPr>
                <w:rFonts w:hint="eastAsia" w:ascii="宋体" w:hAnsi="宋体"/>
                <w:color w:val="000000"/>
                <w:szCs w:val="21"/>
              </w:rPr>
              <w:t>人</w:t>
            </w:r>
          </w:p>
          <w:p>
            <w:pPr>
              <w:spacing w:line="320" w:lineRule="exact"/>
              <w:ind w:firstLine="211" w:firstLineChars="100"/>
              <w:rPr>
                <w:rFonts w:hint="eastAsia" w:ascii="宋体" w:hAnsi="宋体"/>
                <w:color w:val="000000"/>
                <w:szCs w:val="21"/>
              </w:rPr>
            </w:pPr>
            <w:r>
              <w:rPr>
                <w:rFonts w:hint="eastAsia" w:hAnsi="宋体"/>
                <w:b/>
                <w:color w:val="000000"/>
              </w:rPr>
              <w:t>□</w:t>
            </w:r>
            <w:r>
              <w:rPr>
                <w:rFonts w:hint="eastAsia" w:ascii="宋体" w:hAnsi="宋体"/>
                <w:color w:val="000000"/>
                <w:szCs w:val="21"/>
              </w:rPr>
              <w:t>结构设计：</w:t>
            </w:r>
            <w:r>
              <w:rPr>
                <w:rFonts w:hint="eastAsia" w:ascii="宋体" w:hAnsi="宋体"/>
                <w:color w:val="000000"/>
                <w:szCs w:val="21"/>
                <w:u w:val="single"/>
              </w:rPr>
              <w:t xml:space="preserve">    </w:t>
            </w:r>
            <w:r>
              <w:rPr>
                <w:rFonts w:hint="eastAsia" w:ascii="宋体" w:hAnsi="宋体"/>
                <w:color w:val="000000"/>
                <w:szCs w:val="21"/>
              </w:rPr>
              <w:t>人</w:t>
            </w:r>
          </w:p>
          <w:p>
            <w:pPr>
              <w:spacing w:line="320" w:lineRule="exact"/>
              <w:ind w:firstLine="211" w:firstLineChars="100"/>
              <w:rPr>
                <w:rFonts w:hint="eastAsia" w:ascii="宋体" w:hAnsi="宋体"/>
                <w:color w:val="000000"/>
                <w:szCs w:val="21"/>
              </w:rPr>
            </w:pPr>
            <w:r>
              <w:rPr>
                <w:rFonts w:hint="eastAsia" w:hAnsi="宋体"/>
                <w:b/>
                <w:color w:val="000000"/>
              </w:rPr>
              <w:t>□</w:t>
            </w:r>
            <w:r>
              <w:rPr>
                <w:rFonts w:hint="eastAsia" w:ascii="宋体" w:hAnsi="宋体"/>
                <w:color w:val="000000"/>
                <w:szCs w:val="21"/>
              </w:rPr>
              <w:t>施工技术：</w:t>
            </w:r>
            <w:r>
              <w:rPr>
                <w:rFonts w:hint="eastAsia" w:ascii="宋体" w:hAnsi="宋体"/>
                <w:color w:val="000000"/>
                <w:szCs w:val="21"/>
                <w:u w:val="single"/>
              </w:rPr>
              <w:t xml:space="preserve">        </w:t>
            </w:r>
            <w:r>
              <w:rPr>
                <w:rFonts w:hint="eastAsia" w:ascii="宋体" w:hAnsi="宋体"/>
                <w:color w:val="000000"/>
                <w:szCs w:val="21"/>
              </w:rPr>
              <w:t>人</w:t>
            </w:r>
          </w:p>
          <w:p>
            <w:pPr>
              <w:spacing w:line="320" w:lineRule="exact"/>
              <w:ind w:firstLine="211" w:firstLineChars="100"/>
              <w:rPr>
                <w:rFonts w:hint="eastAsia" w:ascii="宋体" w:hAnsi="宋体"/>
                <w:color w:val="000000"/>
                <w:szCs w:val="21"/>
              </w:rPr>
            </w:pPr>
            <w:r>
              <w:rPr>
                <w:rFonts w:hint="eastAsia" w:hAnsi="宋体"/>
                <w:b/>
                <w:color w:val="000000"/>
              </w:rPr>
              <w:t>□其他专业：</w:t>
            </w:r>
            <w:r>
              <w:rPr>
                <w:rFonts w:hint="eastAsia" w:ascii="宋体" w:hAnsi="宋体"/>
                <w:color w:val="000000"/>
                <w:szCs w:val="21"/>
                <w:u w:val="single"/>
              </w:rPr>
              <w:t xml:space="preserve">    </w:t>
            </w:r>
            <w:r>
              <w:rPr>
                <w:rFonts w:hint="eastAsia" w:ascii="宋体" w:hAnsi="宋体"/>
                <w:color w:val="000000"/>
                <w:szCs w:val="21"/>
              </w:rPr>
              <w:t>人</w:t>
            </w:r>
          </w:p>
          <w:p>
            <w:pPr>
              <w:spacing w:line="320" w:lineRule="exact"/>
              <w:ind w:firstLine="210" w:firstLineChars="100"/>
              <w:rPr>
                <w:rFonts w:hint="eastAsia" w:ascii="宋体" w:hAnsi="宋体"/>
                <w:color w:val="000000"/>
                <w:szCs w:val="21"/>
              </w:rPr>
            </w:pPr>
            <w:r>
              <w:rPr>
                <w:rFonts w:hint="eastAsia" w:ascii="宋体" w:hAnsi="宋体"/>
                <w:color w:val="000000"/>
                <w:szCs w:val="21"/>
              </w:rPr>
              <w:t>【注：经济类评委人数不应多于2人。】</w:t>
            </w:r>
          </w:p>
          <w:p>
            <w:pPr>
              <w:spacing w:line="320" w:lineRule="exact"/>
              <w:rPr>
                <w:rFonts w:hint="eastAsia"/>
                <w:b/>
                <w:color w:val="000000"/>
                <w:szCs w:val="21"/>
                <w:u w:val="single"/>
              </w:rPr>
            </w:pPr>
            <w:r>
              <w:rPr>
                <w:rFonts w:hint="eastAsia"/>
                <w:b/>
                <w:color w:val="000000"/>
                <w:szCs w:val="21"/>
              </w:rPr>
              <w:t>评标专家确定方式：</w:t>
            </w:r>
            <w:r>
              <w:rPr>
                <w:rFonts w:hint="eastAsia"/>
                <w:b/>
                <w:color w:val="000000"/>
                <w:szCs w:val="21"/>
                <w:u w:val="single"/>
              </w:rPr>
              <w:t xml:space="preserve">  随机抽取                        </w:t>
            </w:r>
          </w:p>
          <w:p>
            <w:pPr>
              <w:spacing w:line="320" w:lineRule="exact"/>
              <w:rPr>
                <w:rFonts w:hint="eastAsia"/>
                <w:b/>
                <w:color w:val="000000"/>
                <w:szCs w:val="21"/>
                <w:u w:val="single"/>
              </w:rPr>
            </w:pPr>
            <w:r>
              <w:rPr>
                <w:rFonts w:hint="eastAsia"/>
                <w:b/>
                <w:color w:val="000000"/>
                <w:szCs w:val="21"/>
                <w:u w:val="single"/>
              </w:rPr>
              <w:t xml:space="preserve">评标专家的分工：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330" w:hRule="atLeast"/>
          <w:jc w:val="center"/>
        </w:trPr>
        <w:tc>
          <w:tcPr>
            <w:tcW w:w="869" w:type="dxa"/>
            <w:noWrap w:val="0"/>
            <w:vAlign w:val="top"/>
          </w:tcPr>
          <w:p>
            <w:pPr>
              <w:spacing w:line="360" w:lineRule="auto"/>
              <w:jc w:val="center"/>
              <w:rPr>
                <w:rFonts w:hint="eastAsia"/>
                <w:color w:val="000000"/>
                <w:szCs w:val="21"/>
              </w:rPr>
            </w:pPr>
            <w:r>
              <w:rPr>
                <w:rFonts w:hint="eastAsia"/>
                <w:color w:val="000000"/>
              </w:rPr>
              <w:t>6.3</w:t>
            </w:r>
          </w:p>
        </w:tc>
        <w:tc>
          <w:tcPr>
            <w:tcW w:w="1851" w:type="dxa"/>
            <w:noWrap w:val="0"/>
            <w:vAlign w:val="top"/>
          </w:tcPr>
          <w:p>
            <w:pPr>
              <w:spacing w:line="320" w:lineRule="exact"/>
              <w:jc w:val="center"/>
              <w:rPr>
                <w:rFonts w:hint="eastAsia"/>
                <w:color w:val="000000"/>
                <w:szCs w:val="21"/>
              </w:rPr>
            </w:pPr>
            <w:r>
              <w:rPr>
                <w:rFonts w:hint="eastAsia"/>
                <w:color w:val="000000"/>
              </w:rPr>
              <w:t>评标方式</w:t>
            </w:r>
          </w:p>
        </w:tc>
        <w:tc>
          <w:tcPr>
            <w:tcW w:w="6688" w:type="dxa"/>
            <w:noWrap w:val="0"/>
            <w:vAlign w:val="top"/>
          </w:tcPr>
          <w:p>
            <w:pPr>
              <w:spacing w:line="320" w:lineRule="exact"/>
              <w:rPr>
                <w:rFonts w:hint="eastAsia"/>
                <w:b/>
                <w:color w:val="000000"/>
                <w:szCs w:val="21"/>
              </w:rPr>
            </w:pPr>
            <w:r>
              <w:rPr>
                <w:rFonts w:hint="eastAsia"/>
                <w:color w:val="000000"/>
              </w:rPr>
              <w:t>综合评估法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757" w:hRule="atLeast"/>
          <w:jc w:val="center"/>
        </w:trPr>
        <w:tc>
          <w:tcPr>
            <w:tcW w:w="869" w:type="dxa"/>
            <w:noWrap w:val="0"/>
            <w:vAlign w:val="center"/>
          </w:tcPr>
          <w:p>
            <w:pPr>
              <w:spacing w:line="360" w:lineRule="auto"/>
              <w:jc w:val="center"/>
              <w:rPr>
                <w:rFonts w:hint="eastAsia"/>
                <w:color w:val="000000"/>
                <w:szCs w:val="21"/>
              </w:rPr>
            </w:pPr>
            <w:r>
              <w:rPr>
                <w:rFonts w:hint="eastAsia"/>
                <w:color w:val="000000"/>
                <w:szCs w:val="21"/>
              </w:rPr>
              <w:t>6.5</w:t>
            </w:r>
          </w:p>
        </w:tc>
        <w:tc>
          <w:tcPr>
            <w:tcW w:w="1851" w:type="dxa"/>
            <w:noWrap w:val="0"/>
            <w:vAlign w:val="center"/>
          </w:tcPr>
          <w:p>
            <w:pPr>
              <w:spacing w:line="320" w:lineRule="exact"/>
              <w:jc w:val="center"/>
              <w:rPr>
                <w:color w:val="000000"/>
              </w:rPr>
            </w:pPr>
            <w:r>
              <w:rPr>
                <w:color w:val="000000"/>
              </w:rPr>
              <w:t>评标资料封存方式</w:t>
            </w:r>
            <w:r>
              <w:rPr>
                <w:rFonts w:eastAsia="楷体_GB2312"/>
                <w:color w:val="000000"/>
                <w:szCs w:val="21"/>
              </w:rPr>
              <w:t>【</w:t>
            </w:r>
            <w:r>
              <w:rPr>
                <w:rFonts w:eastAsia="楷体_GB2312"/>
                <w:color w:val="000000"/>
              </w:rPr>
              <w:t>备注：由当地招投标监督管理部门确定</w:t>
            </w:r>
            <w:r>
              <w:rPr>
                <w:rFonts w:eastAsia="楷体_GB2312"/>
                <w:color w:val="000000"/>
                <w:szCs w:val="21"/>
              </w:rPr>
              <w:t>】</w:t>
            </w:r>
          </w:p>
        </w:tc>
        <w:tc>
          <w:tcPr>
            <w:tcW w:w="6688" w:type="dxa"/>
            <w:noWrap w:val="0"/>
            <w:vAlign w:val="center"/>
          </w:tcPr>
          <w:p>
            <w:pPr>
              <w:spacing w:line="360" w:lineRule="auto"/>
              <w:rPr>
                <w:color w:val="000000"/>
              </w:rPr>
            </w:pPr>
            <w:r>
              <w:rPr>
                <w:rFonts w:hint="eastAsia"/>
                <w:color w:val="000000"/>
              </w:rPr>
              <w:t>□</w:t>
            </w:r>
            <w:r>
              <w:rPr>
                <w:color w:val="000000"/>
              </w:rPr>
              <w:t>在</w:t>
            </w:r>
            <w:r>
              <w:rPr>
                <w:rFonts w:hint="eastAsia"/>
                <w:color w:val="000000"/>
              </w:rPr>
              <w:t>交易中心</w:t>
            </w:r>
            <w:r>
              <w:rPr>
                <w:color w:val="000000"/>
              </w:rPr>
              <w:t>封存</w:t>
            </w:r>
          </w:p>
          <w:p>
            <w:pPr>
              <w:spacing w:line="360" w:lineRule="auto"/>
              <w:rPr>
                <w:rFonts w:hint="eastAsia"/>
                <w:color w:val="000000"/>
              </w:rPr>
            </w:pPr>
            <w:r>
              <w:rPr>
                <w:rFonts w:hint="eastAsia"/>
                <w:color w:val="000000"/>
              </w:rPr>
              <w:t>□当地招投标监督管理部门封存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757" w:hRule="atLeast"/>
          <w:jc w:val="center"/>
        </w:trPr>
        <w:tc>
          <w:tcPr>
            <w:tcW w:w="869" w:type="dxa"/>
            <w:noWrap w:val="0"/>
            <w:vAlign w:val="center"/>
          </w:tcPr>
          <w:p>
            <w:pPr>
              <w:spacing w:line="360" w:lineRule="auto"/>
              <w:jc w:val="center"/>
              <w:rPr>
                <w:rFonts w:hint="eastAsia"/>
                <w:color w:val="000000"/>
                <w:szCs w:val="21"/>
              </w:rPr>
            </w:pPr>
            <w:r>
              <w:rPr>
                <w:rFonts w:hint="eastAsia"/>
                <w:color w:val="000000"/>
                <w:szCs w:val="21"/>
              </w:rPr>
              <w:t>6.5.1</w:t>
            </w:r>
          </w:p>
        </w:tc>
        <w:tc>
          <w:tcPr>
            <w:tcW w:w="1851" w:type="dxa"/>
            <w:noWrap w:val="0"/>
            <w:vAlign w:val="center"/>
          </w:tcPr>
          <w:p>
            <w:pPr>
              <w:spacing w:line="320" w:lineRule="exact"/>
              <w:jc w:val="center"/>
              <w:rPr>
                <w:rFonts w:hint="eastAsia"/>
                <w:color w:val="000000"/>
                <w:szCs w:val="21"/>
              </w:rPr>
            </w:pPr>
            <w:r>
              <w:rPr>
                <w:color w:val="000000"/>
              </w:rPr>
              <w:t>封存的其它材料</w:t>
            </w:r>
          </w:p>
        </w:tc>
        <w:tc>
          <w:tcPr>
            <w:tcW w:w="6688" w:type="dxa"/>
            <w:noWrap w:val="0"/>
            <w:vAlign w:val="center"/>
          </w:tcPr>
          <w:p>
            <w:pPr>
              <w:spacing w:line="320" w:lineRule="exact"/>
              <w:rPr>
                <w:rFonts w:hint="eastAsia"/>
                <w:b/>
                <w:color w:val="00000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757" w:hRule="atLeast"/>
          <w:jc w:val="center"/>
        </w:trPr>
        <w:tc>
          <w:tcPr>
            <w:tcW w:w="869" w:type="dxa"/>
            <w:noWrap w:val="0"/>
            <w:vAlign w:val="center"/>
          </w:tcPr>
          <w:p>
            <w:pPr>
              <w:spacing w:line="360" w:lineRule="auto"/>
              <w:jc w:val="center"/>
              <w:rPr>
                <w:rFonts w:hint="eastAsia"/>
                <w:color w:val="000000"/>
                <w:szCs w:val="21"/>
              </w:rPr>
            </w:pPr>
            <w:r>
              <w:rPr>
                <w:rFonts w:hint="eastAsia"/>
                <w:color w:val="000000"/>
                <w:szCs w:val="21"/>
              </w:rPr>
              <w:t>6.6.1</w:t>
            </w:r>
          </w:p>
        </w:tc>
        <w:tc>
          <w:tcPr>
            <w:tcW w:w="1851" w:type="dxa"/>
            <w:noWrap w:val="0"/>
            <w:vAlign w:val="center"/>
          </w:tcPr>
          <w:p>
            <w:pPr>
              <w:spacing w:line="320" w:lineRule="exact"/>
              <w:jc w:val="center"/>
              <w:rPr>
                <w:rFonts w:hint="eastAsia"/>
                <w:color w:val="000000"/>
                <w:szCs w:val="21"/>
              </w:rPr>
            </w:pPr>
            <w:r>
              <w:rPr>
                <w:color w:val="000000"/>
                <w:szCs w:val="21"/>
              </w:rPr>
              <w:t>中标候选人公示</w:t>
            </w:r>
            <w:r>
              <w:rPr>
                <w:rFonts w:hint="eastAsia"/>
                <w:color w:val="000000"/>
                <w:szCs w:val="21"/>
              </w:rPr>
              <w:t>的媒介</w:t>
            </w:r>
          </w:p>
        </w:tc>
        <w:tc>
          <w:tcPr>
            <w:tcW w:w="6688" w:type="dxa"/>
            <w:noWrap w:val="0"/>
            <w:vAlign w:val="center"/>
          </w:tcPr>
          <w:p>
            <w:pPr>
              <w:spacing w:line="320" w:lineRule="exact"/>
              <w:rPr>
                <w:rFonts w:hint="eastAsia"/>
                <w:b/>
                <w:color w:val="000000"/>
                <w:szCs w:val="21"/>
              </w:rPr>
            </w:pPr>
            <w:r>
              <w:rPr>
                <w:rFonts w:hint="eastAsia" w:hAnsi="宋体"/>
                <w:b/>
                <w:color w:val="000000"/>
              </w:rPr>
              <w:t>在发布招</w:t>
            </w:r>
            <w:r>
              <w:rPr>
                <w:rFonts w:hAnsi="宋体"/>
                <w:b/>
                <w:color w:val="000000"/>
              </w:rPr>
              <w:t>标</w:t>
            </w:r>
            <w:r>
              <w:rPr>
                <w:rFonts w:hint="eastAsia" w:hAnsi="宋体"/>
                <w:b/>
                <w:color w:val="000000"/>
              </w:rPr>
              <w:t>公告媒介上公示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1383" w:hRule="atLeast"/>
          <w:jc w:val="center"/>
        </w:trPr>
        <w:tc>
          <w:tcPr>
            <w:tcW w:w="869" w:type="dxa"/>
            <w:noWrap w:val="0"/>
            <w:vAlign w:val="top"/>
          </w:tcPr>
          <w:p>
            <w:pPr>
              <w:spacing w:line="360" w:lineRule="auto"/>
              <w:jc w:val="center"/>
              <w:rPr>
                <w:rFonts w:hint="eastAsia"/>
                <w:color w:val="000000"/>
                <w:szCs w:val="21"/>
              </w:rPr>
            </w:pPr>
            <w:r>
              <w:rPr>
                <w:rFonts w:hint="eastAsia"/>
                <w:color w:val="000000"/>
              </w:rPr>
              <w:t>6.7</w:t>
            </w:r>
          </w:p>
        </w:tc>
        <w:tc>
          <w:tcPr>
            <w:tcW w:w="1851" w:type="dxa"/>
            <w:noWrap w:val="0"/>
            <w:vAlign w:val="top"/>
          </w:tcPr>
          <w:p>
            <w:pPr>
              <w:spacing w:line="320" w:lineRule="exact"/>
              <w:jc w:val="center"/>
              <w:rPr>
                <w:color w:val="000000"/>
                <w:szCs w:val="21"/>
              </w:rPr>
            </w:pPr>
            <w:r>
              <w:rPr>
                <w:rFonts w:hint="eastAsia"/>
                <w:color w:val="000000"/>
              </w:rPr>
              <w:t>履约能力审查的标准和方法</w:t>
            </w:r>
          </w:p>
        </w:tc>
        <w:tc>
          <w:tcPr>
            <w:tcW w:w="6688" w:type="dxa"/>
            <w:noWrap w:val="0"/>
            <w:vAlign w:val="top"/>
          </w:tcPr>
          <w:p>
            <w:pPr>
              <w:spacing w:line="320" w:lineRule="exact"/>
              <w:rPr>
                <w:color w:val="000000"/>
              </w:rPr>
            </w:pPr>
            <w:r>
              <w:rPr>
                <w:rFonts w:hint="eastAsia"/>
                <w:color w:val="000000"/>
              </w:rPr>
              <w:t>在中标通知书发出前，中标候选人不得有以下情形：</w:t>
            </w:r>
          </w:p>
          <w:p>
            <w:pPr>
              <w:spacing w:line="320" w:lineRule="exact"/>
              <w:rPr>
                <w:color w:val="000000"/>
              </w:rPr>
            </w:pPr>
            <w:r>
              <w:rPr>
                <w:rFonts w:hint="eastAsia"/>
                <w:color w:val="000000"/>
              </w:rPr>
              <w:t>1、被吊销营业执照</w:t>
            </w:r>
          </w:p>
          <w:p>
            <w:pPr>
              <w:spacing w:line="320" w:lineRule="exact"/>
              <w:rPr>
                <w:rFonts w:hint="eastAsia"/>
                <w:color w:val="000000"/>
              </w:rPr>
            </w:pPr>
            <w:r>
              <w:rPr>
                <w:rFonts w:hint="eastAsia"/>
                <w:color w:val="000000"/>
              </w:rPr>
              <w:t>2、进入破产程序</w:t>
            </w:r>
          </w:p>
          <w:p>
            <w:pPr>
              <w:spacing w:line="320" w:lineRule="exact"/>
              <w:rPr>
                <w:rFonts w:hint="eastAsia" w:hAnsi="宋体"/>
                <w:b/>
                <w:color w:val="000000"/>
              </w:rPr>
            </w:pPr>
            <w:r>
              <w:rPr>
                <w:rFonts w:hint="eastAsia"/>
                <w:color w:val="000000"/>
              </w:rPr>
              <w:t>3、其他: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1245" w:hRule="atLeast"/>
          <w:jc w:val="center"/>
        </w:trPr>
        <w:tc>
          <w:tcPr>
            <w:tcW w:w="869" w:type="dxa"/>
            <w:tcBorders>
              <w:bottom w:val="single" w:color="auto" w:sz="4" w:space="0"/>
            </w:tcBorders>
            <w:noWrap w:val="0"/>
            <w:vAlign w:val="center"/>
          </w:tcPr>
          <w:p>
            <w:pPr>
              <w:spacing w:line="360" w:lineRule="auto"/>
              <w:jc w:val="center"/>
              <w:rPr>
                <w:rFonts w:hint="eastAsia"/>
                <w:color w:val="000000"/>
                <w:szCs w:val="21"/>
              </w:rPr>
            </w:pPr>
            <w:r>
              <w:rPr>
                <w:rFonts w:hint="eastAsia"/>
                <w:color w:val="000000"/>
                <w:szCs w:val="21"/>
              </w:rPr>
              <w:t>7.1</w:t>
            </w:r>
          </w:p>
        </w:tc>
        <w:tc>
          <w:tcPr>
            <w:tcW w:w="1851" w:type="dxa"/>
            <w:tcBorders>
              <w:bottom w:val="single" w:color="auto" w:sz="4" w:space="0"/>
            </w:tcBorders>
            <w:noWrap w:val="0"/>
            <w:vAlign w:val="center"/>
          </w:tcPr>
          <w:p>
            <w:pPr>
              <w:spacing w:line="320" w:lineRule="exact"/>
              <w:jc w:val="center"/>
              <w:rPr>
                <w:rFonts w:hint="eastAsia"/>
                <w:color w:val="000000"/>
                <w:szCs w:val="21"/>
              </w:rPr>
            </w:pPr>
            <w:r>
              <w:rPr>
                <w:rFonts w:hint="eastAsia"/>
                <w:color w:val="000000"/>
                <w:szCs w:val="21"/>
              </w:rPr>
              <w:t>是否授权评标委员会确定中标人</w:t>
            </w:r>
          </w:p>
        </w:tc>
        <w:tc>
          <w:tcPr>
            <w:tcW w:w="6688" w:type="dxa"/>
            <w:tcBorders>
              <w:bottom w:val="single" w:color="auto" w:sz="4" w:space="0"/>
            </w:tcBorders>
            <w:noWrap w:val="0"/>
            <w:vAlign w:val="center"/>
          </w:tcPr>
          <w:p>
            <w:pPr>
              <w:spacing w:line="320" w:lineRule="exact"/>
              <w:rPr>
                <w:rFonts w:hint="eastAsia"/>
                <w:color w:val="000000"/>
                <w:szCs w:val="21"/>
              </w:rPr>
            </w:pPr>
            <w:r>
              <w:rPr>
                <w:rFonts w:hint="eastAsia" w:hAnsi="宋体"/>
                <w:b/>
                <w:color w:val="000000"/>
              </w:rPr>
              <w:t>□</w:t>
            </w:r>
            <w:r>
              <w:rPr>
                <w:rFonts w:hint="eastAsia" w:hAnsi="宋体"/>
                <w:color w:val="000000"/>
              </w:rPr>
              <w:t>是</w:t>
            </w:r>
          </w:p>
          <w:p>
            <w:pPr>
              <w:spacing w:line="320" w:lineRule="exact"/>
              <w:rPr>
                <w:rFonts w:hint="eastAsia"/>
                <w:color w:val="000000"/>
                <w:szCs w:val="21"/>
              </w:rPr>
            </w:pPr>
            <w:r>
              <w:rPr>
                <w:rFonts w:hint="eastAsia" w:hAnsi="宋体"/>
                <w:b/>
                <w:color w:val="000000"/>
              </w:rPr>
              <w:t>□</w:t>
            </w:r>
            <w:r>
              <w:rPr>
                <w:rFonts w:hint="eastAsia"/>
                <w:color w:val="000000"/>
                <w:szCs w:val="21"/>
              </w:rPr>
              <w:t>否，推荐的中标候选人数</w:t>
            </w:r>
            <w:r>
              <w:rPr>
                <w:rFonts w:hint="eastAsia"/>
                <w:color w:val="000000"/>
                <w:szCs w:val="21"/>
                <w:u w:val="single"/>
              </w:rPr>
              <w:t xml:space="preserve">                  </w:t>
            </w:r>
            <w:r>
              <w:rPr>
                <w:rFonts w:hint="eastAsia"/>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2779" w:hRule="atLeast"/>
          <w:jc w:val="center"/>
        </w:trPr>
        <w:tc>
          <w:tcPr>
            <w:tcW w:w="869" w:type="dxa"/>
            <w:noWrap w:val="0"/>
            <w:vAlign w:val="center"/>
          </w:tcPr>
          <w:p>
            <w:pPr>
              <w:spacing w:line="360" w:lineRule="exact"/>
              <w:jc w:val="center"/>
              <w:rPr>
                <w:color w:val="000000"/>
                <w:szCs w:val="21"/>
              </w:rPr>
            </w:pPr>
            <w:r>
              <w:rPr>
                <w:color w:val="000000"/>
                <w:szCs w:val="21"/>
              </w:rPr>
              <w:t>7.</w:t>
            </w:r>
            <w:r>
              <w:rPr>
                <w:rFonts w:hint="eastAsia"/>
                <w:color w:val="000000"/>
                <w:szCs w:val="21"/>
              </w:rPr>
              <w:t>3</w:t>
            </w:r>
            <w:r>
              <w:rPr>
                <w:color w:val="000000"/>
                <w:szCs w:val="21"/>
              </w:rPr>
              <w:t>.1</w:t>
            </w:r>
          </w:p>
        </w:tc>
        <w:tc>
          <w:tcPr>
            <w:tcW w:w="1851" w:type="dxa"/>
            <w:noWrap w:val="0"/>
            <w:vAlign w:val="center"/>
          </w:tcPr>
          <w:p>
            <w:pPr>
              <w:spacing w:line="360" w:lineRule="exact"/>
              <w:jc w:val="center"/>
              <w:rPr>
                <w:color w:val="000000"/>
                <w:szCs w:val="21"/>
              </w:rPr>
            </w:pPr>
            <w:r>
              <w:rPr>
                <w:rFonts w:hint="eastAsia"/>
                <w:color w:val="000000"/>
                <w:szCs w:val="21"/>
              </w:rPr>
              <w:t>履约保证金</w:t>
            </w:r>
          </w:p>
        </w:tc>
        <w:tc>
          <w:tcPr>
            <w:tcW w:w="6688" w:type="dxa"/>
            <w:tcBorders>
              <w:bottom w:val="single" w:color="auto" w:sz="4" w:space="0"/>
            </w:tcBorders>
            <w:noWrap w:val="0"/>
            <w:vAlign w:val="center"/>
          </w:tcPr>
          <w:p>
            <w:pPr>
              <w:spacing w:line="360" w:lineRule="exact"/>
              <w:rPr>
                <w:rFonts w:hint="eastAsia"/>
                <w:color w:val="000000"/>
              </w:rPr>
            </w:pPr>
            <w:r>
              <w:rPr>
                <w:rFonts w:hint="eastAsia"/>
                <w:color w:val="000000"/>
              </w:rPr>
              <w:t>履约保证金的形式：可以采用现金、银行保函、工程担保或保证保险等形式【备注：严禁要求中标人只能以现金方式提交保证金的行为，严禁现金形式缴纳的额度与其他形式不一致】</w:t>
            </w:r>
          </w:p>
          <w:p>
            <w:pPr>
              <w:spacing w:line="360" w:lineRule="exact"/>
              <w:rPr>
                <w:rFonts w:hint="eastAsia"/>
                <w:color w:val="000000"/>
              </w:rPr>
            </w:pPr>
            <w:r>
              <w:rPr>
                <w:rFonts w:hint="eastAsia"/>
                <w:color w:val="000000"/>
              </w:rPr>
              <w:t>履约保证金的金额：</w:t>
            </w:r>
            <w:r>
              <w:rPr>
                <w:rFonts w:hint="eastAsia"/>
                <w:color w:val="000000"/>
                <w:u w:val="single"/>
              </w:rPr>
              <w:t xml:space="preserve">       </w:t>
            </w:r>
            <w:r>
              <w:rPr>
                <w:rFonts w:hint="eastAsia"/>
                <w:color w:val="000000"/>
              </w:rPr>
              <w:t>【备注：上限为合同价款扣除暂列金额后的10%】</w:t>
            </w:r>
          </w:p>
          <w:p>
            <w:pPr>
              <w:spacing w:line="360" w:lineRule="exact"/>
              <w:rPr>
                <w:rFonts w:hint="eastAsia"/>
                <w:color w:val="000000"/>
                <w:szCs w:val="21"/>
              </w:rPr>
            </w:pPr>
            <w:r>
              <w:rPr>
                <w:rFonts w:hint="eastAsia"/>
                <w:color w:val="000000"/>
              </w:rPr>
              <w:t>投标人在收到中标通知书后，须在</w:t>
            </w:r>
            <w:r>
              <w:rPr>
                <w:rFonts w:hint="eastAsia"/>
                <w:color w:val="000000"/>
                <w:u w:val="single"/>
              </w:rPr>
              <w:t xml:space="preserve">    </w:t>
            </w:r>
            <w:r>
              <w:rPr>
                <w:rFonts w:hint="eastAsia"/>
                <w:color w:val="000000"/>
              </w:rPr>
              <w:t>日内向招标人足额提交履约保证金，否则招标人可以取消其中标资格。</w:t>
            </w:r>
          </w:p>
          <w:p>
            <w:pPr>
              <w:spacing w:line="360" w:lineRule="exact"/>
              <w:ind w:firstLine="420" w:firstLineChars="200"/>
              <w:rPr>
                <w:rFonts w:hint="eastAsia"/>
                <w:color w:val="000000"/>
                <w:szCs w:val="21"/>
              </w:rPr>
            </w:pPr>
            <w:r>
              <w:rPr>
                <w:rFonts w:hint="eastAsia"/>
                <w:color w:val="000000"/>
                <w:szCs w:val="21"/>
              </w:rPr>
              <w:t>联合体中标的，其履约保证金由联合体任一方提交。</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2779" w:hRule="atLeast"/>
          <w:jc w:val="center"/>
        </w:trPr>
        <w:tc>
          <w:tcPr>
            <w:tcW w:w="869" w:type="dxa"/>
            <w:noWrap w:val="0"/>
            <w:vAlign w:val="center"/>
          </w:tcPr>
          <w:p>
            <w:pPr>
              <w:spacing w:line="360" w:lineRule="exact"/>
              <w:jc w:val="center"/>
              <w:rPr>
                <w:color w:val="000000"/>
                <w:szCs w:val="21"/>
              </w:rPr>
            </w:pPr>
            <w:r>
              <w:rPr>
                <w:rFonts w:hAnsi="宋体"/>
                <w:color w:val="000000"/>
              </w:rPr>
              <w:t>9</w:t>
            </w:r>
          </w:p>
        </w:tc>
        <w:tc>
          <w:tcPr>
            <w:tcW w:w="1851" w:type="dxa"/>
            <w:noWrap w:val="0"/>
            <w:vAlign w:val="center"/>
          </w:tcPr>
          <w:p>
            <w:pPr>
              <w:spacing w:line="360" w:lineRule="exact"/>
              <w:jc w:val="center"/>
              <w:rPr>
                <w:rFonts w:hint="eastAsia"/>
                <w:color w:val="000000"/>
                <w:szCs w:val="21"/>
              </w:rPr>
            </w:pPr>
            <w:r>
              <w:rPr>
                <w:rFonts w:hAnsi="宋体"/>
                <w:color w:val="000000"/>
              </w:rPr>
              <w:t>重新招标</w:t>
            </w:r>
            <w:r>
              <w:rPr>
                <w:rFonts w:hint="eastAsia" w:hAnsi="宋体"/>
                <w:color w:val="000000"/>
              </w:rPr>
              <w:t>和不再招标</w:t>
            </w:r>
          </w:p>
        </w:tc>
        <w:tc>
          <w:tcPr>
            <w:tcW w:w="6688" w:type="dxa"/>
            <w:tcBorders>
              <w:bottom w:val="single" w:color="auto" w:sz="4" w:space="0"/>
            </w:tcBorders>
            <w:noWrap w:val="0"/>
            <w:vAlign w:val="center"/>
          </w:tcPr>
          <w:p>
            <w:pPr>
              <w:spacing w:line="360" w:lineRule="exact"/>
              <w:rPr>
                <w:rFonts w:hint="eastAsia"/>
                <w:color w:val="000000"/>
              </w:rPr>
            </w:pPr>
            <w:r>
              <w:rPr>
                <w:rFonts w:hint="eastAsia" w:hAnsi="宋体"/>
                <w:color w:val="000000"/>
              </w:rPr>
              <w:t>见正文第</w:t>
            </w:r>
            <w:r>
              <w:rPr>
                <w:rFonts w:hAnsi="宋体"/>
                <w:color w:val="000000"/>
              </w:rPr>
              <w:t>9</w:t>
            </w:r>
            <w:r>
              <w:rPr>
                <w:rFonts w:hint="eastAsia" w:hAnsi="宋体"/>
                <w:color w:val="000000"/>
              </w:rPr>
              <w:t>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427" w:hRule="atLeast"/>
          <w:jc w:val="center"/>
        </w:trPr>
        <w:tc>
          <w:tcPr>
            <w:tcW w:w="869" w:type="dxa"/>
            <w:noWrap w:val="0"/>
            <w:vAlign w:val="center"/>
          </w:tcPr>
          <w:p>
            <w:pPr>
              <w:spacing w:line="360" w:lineRule="exact"/>
              <w:jc w:val="center"/>
              <w:rPr>
                <w:rFonts w:hint="eastAsia"/>
                <w:color w:val="000000"/>
                <w:szCs w:val="21"/>
              </w:rPr>
            </w:pPr>
            <w:r>
              <w:rPr>
                <w:rFonts w:hint="eastAsia"/>
                <w:color w:val="000000"/>
                <w:szCs w:val="21"/>
              </w:rPr>
              <w:t>10</w:t>
            </w:r>
          </w:p>
        </w:tc>
        <w:tc>
          <w:tcPr>
            <w:tcW w:w="8539" w:type="dxa"/>
            <w:gridSpan w:val="2"/>
            <w:noWrap w:val="0"/>
            <w:vAlign w:val="center"/>
          </w:tcPr>
          <w:p>
            <w:pPr>
              <w:spacing w:line="360" w:lineRule="exact"/>
              <w:rPr>
                <w:rFonts w:hint="eastAsia"/>
                <w:color w:val="000000"/>
              </w:rPr>
            </w:pPr>
            <w:r>
              <w:rPr>
                <w:rFonts w:hint="eastAsia"/>
                <w:color w:val="000000"/>
                <w:szCs w:val="21"/>
              </w:rPr>
              <w:t>需要补充的其他内容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427" w:hRule="atLeast"/>
          <w:jc w:val="center"/>
        </w:trPr>
        <w:tc>
          <w:tcPr>
            <w:tcW w:w="869" w:type="dxa"/>
            <w:noWrap w:val="0"/>
            <w:vAlign w:val="center"/>
          </w:tcPr>
          <w:p>
            <w:pPr>
              <w:spacing w:line="360" w:lineRule="exact"/>
              <w:jc w:val="center"/>
              <w:rPr>
                <w:rFonts w:hint="eastAsia"/>
                <w:color w:val="000000"/>
                <w:szCs w:val="21"/>
              </w:rPr>
            </w:pPr>
            <w:r>
              <w:rPr>
                <w:rFonts w:hint="eastAsia"/>
                <w:color w:val="000000"/>
                <w:szCs w:val="21"/>
              </w:rPr>
              <w:t>10.1</w:t>
            </w:r>
          </w:p>
        </w:tc>
        <w:tc>
          <w:tcPr>
            <w:tcW w:w="1851" w:type="dxa"/>
            <w:noWrap w:val="0"/>
            <w:vAlign w:val="center"/>
          </w:tcPr>
          <w:p>
            <w:pPr>
              <w:spacing w:line="360" w:lineRule="exact"/>
              <w:rPr>
                <w:rFonts w:hint="eastAsia"/>
                <w:color w:val="000000"/>
                <w:szCs w:val="21"/>
              </w:rPr>
            </w:pPr>
            <w:r>
              <w:rPr>
                <w:rFonts w:hint="eastAsia" w:ascii="宋体" w:hAnsi="宋体"/>
                <w:color w:val="000000"/>
              </w:rPr>
              <w:t>农民工工资保证金</w:t>
            </w:r>
          </w:p>
        </w:tc>
        <w:tc>
          <w:tcPr>
            <w:tcW w:w="6688" w:type="dxa"/>
            <w:tcBorders>
              <w:bottom w:val="single" w:color="auto" w:sz="4" w:space="0"/>
            </w:tcBorders>
            <w:noWrap w:val="0"/>
            <w:vAlign w:val="center"/>
          </w:tcPr>
          <w:p>
            <w:pPr>
              <w:spacing w:line="360" w:lineRule="exact"/>
              <w:rPr>
                <w:rFonts w:hint="eastAsia"/>
                <w:color w:val="000000"/>
              </w:rPr>
            </w:pPr>
            <w:r>
              <w:rPr>
                <w:rFonts w:hint="eastAsia" w:ascii="宋体" w:hAnsi="宋体"/>
                <w:color w:val="000000"/>
              </w:rPr>
              <w:t>按《保障农民工工资支付条例》执行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427" w:hRule="atLeast"/>
          <w:jc w:val="center"/>
        </w:trPr>
        <w:tc>
          <w:tcPr>
            <w:tcW w:w="9408" w:type="dxa"/>
            <w:gridSpan w:val="3"/>
            <w:noWrap w:val="0"/>
            <w:vAlign w:val="center"/>
          </w:tcPr>
          <w:p>
            <w:pPr>
              <w:spacing w:line="360" w:lineRule="exact"/>
              <w:rPr>
                <w:rFonts w:hint="eastAsia" w:ascii="宋体" w:hAnsi="宋体"/>
                <w:color w:val="000000"/>
              </w:rPr>
            </w:pPr>
            <w:r>
              <w:rPr>
                <w:rFonts w:hint="eastAsia" w:cs="宋体"/>
                <w:color w:val="000000"/>
              </w:rPr>
              <w:t>10.</w:t>
            </w:r>
            <w:r>
              <w:rPr>
                <w:rFonts w:cs="宋体"/>
                <w:color w:val="000000"/>
              </w:rPr>
              <w:t>2</w:t>
            </w:r>
            <w:r>
              <w:rPr>
                <w:rFonts w:hint="eastAsia" w:hAnsi="宋体"/>
                <w:color w:val="000000"/>
              </w:rPr>
              <w:t>技术标、</w:t>
            </w:r>
            <w:r>
              <w:rPr>
                <w:rFonts w:hAnsi="宋体"/>
                <w:color w:val="000000"/>
              </w:rPr>
              <w:t>设计标</w:t>
            </w:r>
            <w:r>
              <w:rPr>
                <w:rFonts w:hint="eastAsia" w:cs="宋体"/>
                <w:color w:val="000000"/>
              </w:rPr>
              <w:t>评审方式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427" w:hRule="atLeast"/>
          <w:jc w:val="center"/>
        </w:trPr>
        <w:tc>
          <w:tcPr>
            <w:tcW w:w="869" w:type="dxa"/>
            <w:noWrap w:val="0"/>
            <w:vAlign w:val="center"/>
          </w:tcPr>
          <w:p>
            <w:pPr>
              <w:spacing w:line="360" w:lineRule="exact"/>
              <w:jc w:val="center"/>
              <w:rPr>
                <w:rFonts w:hint="eastAsia"/>
                <w:color w:val="000000"/>
                <w:szCs w:val="21"/>
              </w:rPr>
            </w:pPr>
          </w:p>
        </w:tc>
        <w:tc>
          <w:tcPr>
            <w:tcW w:w="1851" w:type="dxa"/>
            <w:noWrap w:val="0"/>
            <w:vAlign w:val="top"/>
          </w:tcPr>
          <w:p>
            <w:pPr>
              <w:spacing w:line="360" w:lineRule="exact"/>
              <w:rPr>
                <w:rFonts w:hint="eastAsia" w:ascii="宋体" w:hAnsi="宋体"/>
                <w:color w:val="000000"/>
              </w:rPr>
            </w:pPr>
            <w:r>
              <w:rPr>
                <w:rFonts w:hint="eastAsia"/>
                <w:color w:val="000000"/>
              </w:rPr>
              <w:t xml:space="preserve">技术标、设计标采用“暗标”评审方式 </w:t>
            </w:r>
          </w:p>
        </w:tc>
        <w:tc>
          <w:tcPr>
            <w:tcW w:w="6688" w:type="dxa"/>
            <w:tcBorders>
              <w:bottom w:val="single" w:color="auto" w:sz="4" w:space="0"/>
            </w:tcBorders>
            <w:noWrap w:val="0"/>
            <w:vAlign w:val="top"/>
          </w:tcPr>
          <w:p>
            <w:pPr>
              <w:spacing w:line="360" w:lineRule="exact"/>
              <w:rPr>
                <w:rFonts w:hint="eastAsia" w:ascii="宋体" w:hAnsi="宋体"/>
                <w:color w:val="000000"/>
              </w:rPr>
            </w:pPr>
            <w:r>
              <w:rPr>
                <w:rFonts w:hint="eastAsia" w:cs="宋体"/>
                <w:color w:val="000000"/>
              </w:rPr>
              <w:t>投标人应严格按照第七章“投标文件格式”中“技术标（暗标）、</w:t>
            </w:r>
            <w:r>
              <w:rPr>
                <w:rFonts w:cs="宋体"/>
                <w:color w:val="000000"/>
              </w:rPr>
              <w:t>设计标</w:t>
            </w:r>
            <w:r>
              <w:rPr>
                <w:rFonts w:hint="eastAsia" w:cs="宋体"/>
                <w:color w:val="000000"/>
              </w:rPr>
              <w:t>（暗标）编制要求”编制技术标、</w:t>
            </w:r>
            <w:r>
              <w:rPr>
                <w:rFonts w:cs="宋体"/>
                <w:color w:val="000000"/>
              </w:rPr>
              <w:t>设计标</w:t>
            </w:r>
            <w:r>
              <w:rPr>
                <w:rFonts w:hint="eastAsia" w:cs="宋体"/>
                <w:color w:val="000000"/>
              </w:rPr>
              <w:t>，否则作否</w:t>
            </w:r>
            <w:r>
              <w:rPr>
                <w:rFonts w:cs="宋体"/>
                <w:color w:val="000000"/>
              </w:rPr>
              <w:t>决投标处理</w:t>
            </w:r>
            <w:r>
              <w:rPr>
                <w:rFonts w:hint="eastAsia" w:cs="宋体"/>
                <w:color w:val="000000"/>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427" w:hRule="atLeast"/>
          <w:jc w:val="center"/>
        </w:trPr>
        <w:tc>
          <w:tcPr>
            <w:tcW w:w="869" w:type="dxa"/>
            <w:noWrap w:val="0"/>
            <w:vAlign w:val="center"/>
          </w:tcPr>
          <w:p>
            <w:pPr>
              <w:spacing w:line="360" w:lineRule="exact"/>
              <w:jc w:val="center"/>
              <w:rPr>
                <w:rFonts w:hint="eastAsia"/>
                <w:color w:val="000000"/>
                <w:szCs w:val="21"/>
              </w:rPr>
            </w:pPr>
            <w:r>
              <w:rPr>
                <w:rFonts w:hint="eastAsia"/>
                <w:color w:val="000000"/>
                <w:szCs w:val="21"/>
              </w:rPr>
              <w:t>10.</w:t>
            </w:r>
            <w:r>
              <w:rPr>
                <w:color w:val="000000"/>
                <w:szCs w:val="21"/>
              </w:rPr>
              <w:t>3</w:t>
            </w:r>
          </w:p>
        </w:tc>
        <w:tc>
          <w:tcPr>
            <w:tcW w:w="8539" w:type="dxa"/>
            <w:gridSpan w:val="2"/>
            <w:noWrap w:val="0"/>
            <w:vAlign w:val="center"/>
          </w:tcPr>
          <w:p>
            <w:pPr>
              <w:spacing w:line="360" w:lineRule="exact"/>
              <w:rPr>
                <w:rFonts w:hint="eastAsia"/>
                <w:color w:val="000000"/>
              </w:rPr>
            </w:pPr>
            <w:r>
              <w:rPr>
                <w:color w:val="000000"/>
              </w:rPr>
              <w:t>投标文件电子版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427" w:hRule="atLeast"/>
          <w:jc w:val="center"/>
        </w:trPr>
        <w:tc>
          <w:tcPr>
            <w:tcW w:w="869" w:type="dxa"/>
            <w:noWrap w:val="0"/>
            <w:vAlign w:val="center"/>
          </w:tcPr>
          <w:p>
            <w:pPr>
              <w:spacing w:line="360" w:lineRule="exact"/>
              <w:jc w:val="center"/>
              <w:rPr>
                <w:color w:val="000000"/>
                <w:szCs w:val="21"/>
              </w:rPr>
            </w:pPr>
          </w:p>
        </w:tc>
        <w:tc>
          <w:tcPr>
            <w:tcW w:w="1851" w:type="dxa"/>
            <w:noWrap w:val="0"/>
            <w:vAlign w:val="center"/>
          </w:tcPr>
          <w:p>
            <w:pPr>
              <w:spacing w:line="360" w:lineRule="exact"/>
              <w:jc w:val="center"/>
              <w:rPr>
                <w:rFonts w:hint="eastAsia"/>
                <w:color w:val="000000"/>
                <w:szCs w:val="21"/>
              </w:rPr>
            </w:pPr>
            <w:r>
              <w:rPr>
                <w:rFonts w:hint="eastAsia"/>
                <w:color w:val="000000"/>
              </w:rPr>
              <w:t>投标人提交电子投标文件的要求</w:t>
            </w:r>
            <w:r>
              <w:rPr>
                <w:rFonts w:eastAsia="楷体_GB2312"/>
                <w:color w:val="000000"/>
                <w:szCs w:val="21"/>
              </w:rPr>
              <w:t>【</w:t>
            </w:r>
            <w:r>
              <w:rPr>
                <w:rFonts w:eastAsia="楷体_GB2312"/>
                <w:color w:val="000000"/>
              </w:rPr>
              <w:t>备注：右栏内容可由招标人根据招投标监督管理部门的要求修改</w:t>
            </w:r>
            <w:r>
              <w:rPr>
                <w:rFonts w:eastAsia="楷体_GB2312"/>
                <w:color w:val="000000"/>
                <w:szCs w:val="21"/>
              </w:rPr>
              <w:t>】</w:t>
            </w:r>
          </w:p>
        </w:tc>
        <w:tc>
          <w:tcPr>
            <w:tcW w:w="6688" w:type="dxa"/>
            <w:tcBorders>
              <w:bottom w:val="single" w:color="auto" w:sz="4" w:space="0"/>
            </w:tcBorders>
            <w:noWrap w:val="0"/>
            <w:vAlign w:val="center"/>
          </w:tcPr>
          <w:p>
            <w:pPr>
              <w:spacing w:line="360" w:lineRule="auto"/>
              <w:jc w:val="left"/>
              <w:rPr>
                <w:rFonts w:hint="eastAsia"/>
                <w:color w:val="000000"/>
              </w:rPr>
            </w:pPr>
            <w:r>
              <w:rPr>
                <w:rFonts w:hint="eastAsia"/>
                <w:color w:val="000000"/>
              </w:rPr>
              <w:t>电子投标文件格式：</w:t>
            </w:r>
          </w:p>
          <w:p>
            <w:pPr>
              <w:spacing w:line="360" w:lineRule="auto"/>
              <w:jc w:val="left"/>
              <w:rPr>
                <w:rFonts w:hint="eastAsia"/>
                <w:color w:val="000000"/>
              </w:rPr>
            </w:pPr>
            <w:r>
              <w:rPr>
                <w:rFonts w:hint="eastAsia"/>
                <w:color w:val="000000"/>
              </w:rPr>
              <w:t xml:space="preserve">    加密格式（*.GXTF） </w:t>
            </w:r>
          </w:p>
          <w:p>
            <w:pPr>
              <w:spacing w:line="360" w:lineRule="auto"/>
              <w:jc w:val="left"/>
              <w:rPr>
                <w:rFonts w:hint="eastAsia"/>
                <w:color w:val="000000"/>
              </w:rPr>
            </w:pPr>
            <w:r>
              <w:rPr>
                <w:rFonts w:hint="eastAsia"/>
                <w:color w:val="000000"/>
              </w:rPr>
              <w:t>投标人登陆广西壮族自治区公共资源交易平台系统上传加密的电子投标文件，投标人专职投标员必须携带生成投标文件时所使用的企业CA锁参加现场</w:t>
            </w:r>
            <w:r>
              <w:rPr>
                <w:color w:val="000000"/>
              </w:rPr>
              <w:t>或网上</w:t>
            </w:r>
            <w:r>
              <w:rPr>
                <w:rFonts w:hint="eastAsia"/>
                <w:color w:val="000000"/>
              </w:rPr>
              <w:t>开标，对电子投标文件进行解密，否则，由此造成投标文件不能解密评审的后果由投标人自行承担。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427" w:hRule="atLeast"/>
          <w:jc w:val="center"/>
        </w:trPr>
        <w:tc>
          <w:tcPr>
            <w:tcW w:w="869" w:type="dxa"/>
            <w:noWrap w:val="0"/>
            <w:vAlign w:val="center"/>
          </w:tcPr>
          <w:p>
            <w:pPr>
              <w:spacing w:line="360" w:lineRule="exact"/>
              <w:jc w:val="center"/>
              <w:rPr>
                <w:rFonts w:hint="eastAsia"/>
                <w:color w:val="000000"/>
                <w:szCs w:val="21"/>
              </w:rPr>
            </w:pPr>
            <w:r>
              <w:rPr>
                <w:rFonts w:hint="eastAsia"/>
                <w:color w:val="000000"/>
                <w:szCs w:val="21"/>
              </w:rPr>
              <w:t>10.</w:t>
            </w:r>
            <w:r>
              <w:rPr>
                <w:color w:val="000000"/>
                <w:szCs w:val="21"/>
              </w:rPr>
              <w:t>4</w:t>
            </w:r>
          </w:p>
        </w:tc>
        <w:tc>
          <w:tcPr>
            <w:tcW w:w="8539" w:type="dxa"/>
            <w:gridSpan w:val="2"/>
            <w:noWrap w:val="0"/>
            <w:vAlign w:val="center"/>
          </w:tcPr>
          <w:p>
            <w:pPr>
              <w:spacing w:line="360" w:lineRule="exact"/>
              <w:rPr>
                <w:rFonts w:hint="eastAsia"/>
                <w:color w:val="000000"/>
              </w:rPr>
            </w:pPr>
            <w:r>
              <w:rPr>
                <w:color w:val="000000"/>
              </w:rPr>
              <w:t>知识产权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427" w:hRule="atLeast"/>
          <w:jc w:val="center"/>
        </w:trPr>
        <w:tc>
          <w:tcPr>
            <w:tcW w:w="869" w:type="dxa"/>
            <w:noWrap w:val="0"/>
            <w:vAlign w:val="center"/>
          </w:tcPr>
          <w:p>
            <w:pPr>
              <w:spacing w:line="360" w:lineRule="exact"/>
              <w:jc w:val="center"/>
              <w:rPr>
                <w:color w:val="000000"/>
                <w:szCs w:val="21"/>
              </w:rPr>
            </w:pPr>
          </w:p>
        </w:tc>
        <w:tc>
          <w:tcPr>
            <w:tcW w:w="8539" w:type="dxa"/>
            <w:gridSpan w:val="2"/>
            <w:noWrap w:val="0"/>
            <w:vAlign w:val="center"/>
          </w:tcPr>
          <w:p>
            <w:pPr>
              <w:spacing w:line="360" w:lineRule="exact"/>
              <w:rPr>
                <w:rFonts w:hint="eastAsia"/>
                <w:color w:val="000000"/>
              </w:rPr>
            </w:pPr>
            <w:r>
              <w:rPr>
                <w:color w:val="000000"/>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427" w:hRule="atLeast"/>
          <w:jc w:val="center"/>
        </w:trPr>
        <w:tc>
          <w:tcPr>
            <w:tcW w:w="869" w:type="dxa"/>
            <w:noWrap w:val="0"/>
            <w:vAlign w:val="center"/>
          </w:tcPr>
          <w:p>
            <w:pPr>
              <w:spacing w:line="360" w:lineRule="exact"/>
              <w:jc w:val="center"/>
              <w:rPr>
                <w:rFonts w:hint="eastAsia"/>
                <w:color w:val="000000"/>
                <w:szCs w:val="21"/>
              </w:rPr>
            </w:pPr>
            <w:r>
              <w:rPr>
                <w:rFonts w:hint="eastAsia"/>
                <w:color w:val="000000"/>
                <w:szCs w:val="21"/>
              </w:rPr>
              <w:t>10.</w:t>
            </w:r>
            <w:r>
              <w:rPr>
                <w:color w:val="000000"/>
                <w:szCs w:val="21"/>
              </w:rPr>
              <w:t>5</w:t>
            </w:r>
          </w:p>
        </w:tc>
        <w:tc>
          <w:tcPr>
            <w:tcW w:w="8539" w:type="dxa"/>
            <w:gridSpan w:val="2"/>
            <w:noWrap w:val="0"/>
            <w:vAlign w:val="center"/>
          </w:tcPr>
          <w:p>
            <w:pPr>
              <w:spacing w:line="360" w:lineRule="exact"/>
              <w:rPr>
                <w:rFonts w:hint="eastAsia"/>
                <w:color w:val="000000"/>
              </w:rPr>
            </w:pPr>
            <w:r>
              <w:rPr>
                <w:color w:val="000000"/>
              </w:rPr>
              <w:t>同义词语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427" w:hRule="atLeast"/>
          <w:jc w:val="center"/>
        </w:trPr>
        <w:tc>
          <w:tcPr>
            <w:tcW w:w="869" w:type="dxa"/>
            <w:noWrap w:val="0"/>
            <w:vAlign w:val="center"/>
          </w:tcPr>
          <w:p>
            <w:pPr>
              <w:spacing w:line="360" w:lineRule="exact"/>
              <w:jc w:val="center"/>
              <w:rPr>
                <w:color w:val="000000"/>
                <w:szCs w:val="21"/>
              </w:rPr>
            </w:pPr>
          </w:p>
        </w:tc>
        <w:tc>
          <w:tcPr>
            <w:tcW w:w="8539" w:type="dxa"/>
            <w:gridSpan w:val="2"/>
            <w:noWrap w:val="0"/>
            <w:vAlign w:val="center"/>
          </w:tcPr>
          <w:p>
            <w:pPr>
              <w:spacing w:line="360" w:lineRule="exact"/>
              <w:rPr>
                <w:rFonts w:hint="eastAsia"/>
                <w:color w:val="000000"/>
              </w:rPr>
            </w:pPr>
            <w:r>
              <w:rPr>
                <w:color w:val="000000"/>
              </w:rPr>
              <w:t>构成招标文件组成部分的“通用合同条款”</w:t>
            </w:r>
            <w:r>
              <w:rPr>
                <w:rFonts w:hint="eastAsia"/>
                <w:color w:val="000000"/>
              </w:rPr>
              <w:t>合同协议书、</w:t>
            </w:r>
            <w:r>
              <w:rPr>
                <w:color w:val="000000"/>
              </w:rPr>
              <w:t>“通用合同条款”、“专用合同条款”、“</w:t>
            </w:r>
            <w:r>
              <w:rPr>
                <w:rFonts w:hint="eastAsia"/>
                <w:color w:val="000000"/>
              </w:rPr>
              <w:t>发包人要求</w:t>
            </w:r>
            <w:r>
              <w:rPr>
                <w:color w:val="000000"/>
              </w:rPr>
              <w:t>”和“</w:t>
            </w:r>
            <w:r>
              <w:rPr>
                <w:rFonts w:hint="eastAsia"/>
                <w:color w:val="000000"/>
              </w:rPr>
              <w:t>发包人提供的资料</w:t>
            </w:r>
            <w:r>
              <w:rPr>
                <w:color w:val="000000"/>
              </w:rPr>
              <w:t>”等章节中出现的措辞“发包人”和“承包人”，在招标投标阶段应当分别按“招标人”和“投标人”进行理解。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427" w:hRule="atLeast"/>
          <w:jc w:val="center"/>
        </w:trPr>
        <w:tc>
          <w:tcPr>
            <w:tcW w:w="869" w:type="dxa"/>
            <w:noWrap w:val="0"/>
            <w:vAlign w:val="center"/>
          </w:tcPr>
          <w:p>
            <w:pPr>
              <w:spacing w:line="360" w:lineRule="exact"/>
              <w:jc w:val="center"/>
              <w:rPr>
                <w:rFonts w:hint="eastAsia"/>
                <w:color w:val="000000"/>
                <w:szCs w:val="21"/>
              </w:rPr>
            </w:pPr>
            <w:r>
              <w:rPr>
                <w:rFonts w:hint="eastAsia"/>
                <w:color w:val="000000"/>
                <w:szCs w:val="21"/>
              </w:rPr>
              <w:t>10.</w:t>
            </w:r>
            <w:r>
              <w:rPr>
                <w:color w:val="000000"/>
                <w:szCs w:val="21"/>
              </w:rPr>
              <w:t>6</w:t>
            </w:r>
          </w:p>
        </w:tc>
        <w:tc>
          <w:tcPr>
            <w:tcW w:w="8539" w:type="dxa"/>
            <w:gridSpan w:val="2"/>
            <w:noWrap w:val="0"/>
            <w:vAlign w:val="center"/>
          </w:tcPr>
          <w:p>
            <w:pPr>
              <w:spacing w:line="360" w:lineRule="exact"/>
              <w:rPr>
                <w:rFonts w:hint="eastAsia"/>
                <w:color w:val="000000"/>
              </w:rPr>
            </w:pPr>
            <w:r>
              <w:rPr>
                <w:color w:val="000000"/>
              </w:rPr>
              <w:t>招标人补充的其他内容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1307" w:hRule="atLeast"/>
          <w:jc w:val="center"/>
        </w:trPr>
        <w:tc>
          <w:tcPr>
            <w:tcW w:w="869" w:type="dxa"/>
            <w:noWrap w:val="0"/>
            <w:vAlign w:val="center"/>
          </w:tcPr>
          <w:p>
            <w:pPr>
              <w:spacing w:line="360" w:lineRule="auto"/>
              <w:jc w:val="center"/>
              <w:rPr>
                <w:rFonts w:hint="eastAsia"/>
                <w:color w:val="000000"/>
                <w:szCs w:val="21"/>
              </w:rPr>
            </w:pPr>
            <w:r>
              <w:rPr>
                <w:rFonts w:hint="eastAsia"/>
                <w:color w:val="000000"/>
                <w:szCs w:val="21"/>
              </w:rPr>
              <w:t>10.</w:t>
            </w:r>
            <w:r>
              <w:rPr>
                <w:color w:val="000000"/>
                <w:szCs w:val="21"/>
              </w:rPr>
              <w:t>6</w:t>
            </w:r>
            <w:r>
              <w:rPr>
                <w:rFonts w:hint="eastAsia"/>
                <w:color w:val="000000"/>
                <w:szCs w:val="21"/>
              </w:rPr>
              <w:t>.1</w:t>
            </w:r>
          </w:p>
        </w:tc>
        <w:tc>
          <w:tcPr>
            <w:tcW w:w="1851" w:type="dxa"/>
            <w:noWrap w:val="0"/>
            <w:vAlign w:val="center"/>
          </w:tcPr>
          <w:p>
            <w:pPr>
              <w:spacing w:line="320" w:lineRule="exact"/>
              <w:jc w:val="center"/>
              <w:rPr>
                <w:rFonts w:hint="eastAsia"/>
                <w:color w:val="000000"/>
                <w:szCs w:val="21"/>
              </w:rPr>
            </w:pPr>
            <w:r>
              <w:rPr>
                <w:color w:val="000000"/>
              </w:rPr>
              <w:t>招标代理服务费的计算与收取</w:t>
            </w:r>
          </w:p>
        </w:tc>
        <w:tc>
          <w:tcPr>
            <w:tcW w:w="6688" w:type="dxa"/>
            <w:noWrap w:val="0"/>
            <w:vAlign w:val="center"/>
          </w:tcPr>
          <w:p>
            <w:pPr>
              <w:spacing w:line="360" w:lineRule="auto"/>
              <w:rPr>
                <w:color w:val="000000"/>
              </w:rPr>
            </w:pPr>
            <w:r>
              <w:rPr>
                <w:rFonts w:hint="eastAsia"/>
                <w:color w:val="000000"/>
              </w:rPr>
              <w:t>□</w:t>
            </w:r>
            <w:r>
              <w:rPr>
                <w:color w:val="000000"/>
              </w:rPr>
              <w:t>招标人支付。</w:t>
            </w:r>
          </w:p>
          <w:p>
            <w:pPr>
              <w:spacing w:line="320" w:lineRule="exact"/>
              <w:rPr>
                <w:rFonts w:hint="eastAsia"/>
                <w:color w:val="000000"/>
                <w:szCs w:val="21"/>
              </w:rPr>
            </w:pPr>
            <w:r>
              <w:rPr>
                <w:rFonts w:hint="eastAsia"/>
                <w:color w:val="000000"/>
              </w:rPr>
              <w:t>□</w:t>
            </w:r>
            <w:r>
              <w:rPr>
                <w:color w:val="000000"/>
              </w:rPr>
              <w:t>中标人支付。具体为：根据招标人与代理人签订的《建设工程招标代理合同》，本项目委托招标代理服务费按</w:t>
            </w:r>
            <w:r>
              <w:rPr>
                <w:color w:val="000000"/>
                <w:u w:val="single"/>
              </w:rPr>
              <w:t xml:space="preserve">      </w:t>
            </w:r>
            <w:r>
              <w:rPr>
                <w:color w:val="000000"/>
              </w:rPr>
              <w:t>计取，由中标人在领取中标通知书时，一次性向招标代理机构支付。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1307" w:hRule="atLeast"/>
          <w:jc w:val="center"/>
        </w:trPr>
        <w:tc>
          <w:tcPr>
            <w:tcW w:w="869" w:type="dxa"/>
            <w:noWrap w:val="0"/>
            <w:vAlign w:val="center"/>
          </w:tcPr>
          <w:p>
            <w:pPr>
              <w:rPr>
                <w:rFonts w:hint="eastAsia"/>
                <w:color w:val="000000"/>
                <w:szCs w:val="21"/>
              </w:rPr>
            </w:pPr>
            <w:r>
              <w:rPr>
                <w:color w:val="000000"/>
                <w:szCs w:val="21"/>
              </w:rPr>
              <w:t>10.9</w:t>
            </w:r>
          </w:p>
        </w:tc>
        <w:tc>
          <w:tcPr>
            <w:tcW w:w="1851" w:type="dxa"/>
            <w:noWrap w:val="0"/>
            <w:vAlign w:val="center"/>
          </w:tcPr>
          <w:p>
            <w:pPr>
              <w:spacing w:line="320" w:lineRule="exact"/>
              <w:jc w:val="center"/>
              <w:rPr>
                <w:color w:val="000000"/>
              </w:rPr>
            </w:pPr>
            <w:r>
              <w:rPr>
                <w:rFonts w:hint="eastAsia"/>
                <w:color w:val="000000"/>
              </w:rPr>
              <w:t>解释权</w:t>
            </w:r>
          </w:p>
        </w:tc>
        <w:tc>
          <w:tcPr>
            <w:tcW w:w="6688" w:type="dxa"/>
            <w:noWrap w:val="0"/>
            <w:vAlign w:val="center"/>
          </w:tcPr>
          <w:p>
            <w:pPr>
              <w:spacing w:line="360" w:lineRule="auto"/>
              <w:rPr>
                <w:rFonts w:hint="eastAsia"/>
                <w:color w:val="000000"/>
              </w:rPr>
            </w:pPr>
            <w:r>
              <w:rPr>
                <w:rFonts w:hint="eastAsia"/>
                <w:color w:val="000000"/>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补遗或澄清文件、招标公告（投标邀请书）、投标人须知、评标办法、投标文件格式的先后顺序解释；同一组成文件中就同一事项的规定或约定不一致的，以编排顺序在后者为准；同一组成文件不同版本之间有不一致的，以形成时间在后者为准；补遗或澄清文件与同步更新的招标文件不一致时以补遗或澄清文件为准。按本款前述规定仍不能形成结论的，由招标人负责解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wBefore w:w="0" w:type="dxa"/>
          <w:wAfter w:w="0" w:type="dxa"/>
          <w:trHeight w:val="453" w:hRule="atLeast"/>
          <w:jc w:val="center"/>
        </w:trPr>
        <w:tc>
          <w:tcPr>
            <w:tcW w:w="869" w:type="dxa"/>
            <w:noWrap w:val="0"/>
            <w:vAlign w:val="center"/>
          </w:tcPr>
          <w:p>
            <w:pPr>
              <w:widowControl/>
              <w:jc w:val="center"/>
              <w:rPr>
                <w:rFonts w:hint="eastAsia" w:ascii="宋体" w:hAnsi="宋体"/>
                <w:color w:val="000000"/>
                <w:kern w:val="0"/>
                <w:szCs w:val="21"/>
              </w:rPr>
            </w:pPr>
            <w:r>
              <w:rPr>
                <w:rFonts w:hint="eastAsia" w:ascii="宋体" w:hAnsi="宋体"/>
                <w:color w:val="000000"/>
                <w:kern w:val="0"/>
                <w:szCs w:val="21"/>
              </w:rPr>
              <w:t>11</w:t>
            </w:r>
          </w:p>
        </w:tc>
        <w:tc>
          <w:tcPr>
            <w:tcW w:w="1851" w:type="dxa"/>
            <w:noWrap w:val="0"/>
            <w:vAlign w:val="center"/>
          </w:tcPr>
          <w:p>
            <w:pPr>
              <w:widowControl/>
              <w:jc w:val="center"/>
              <w:rPr>
                <w:rFonts w:ascii="宋体" w:hAnsi="宋体"/>
                <w:color w:val="000000"/>
                <w:kern w:val="0"/>
                <w:szCs w:val="21"/>
              </w:rPr>
            </w:pPr>
            <w:r>
              <w:rPr>
                <w:rFonts w:hint="eastAsia" w:ascii="宋体" w:hAnsi="宋体"/>
                <w:color w:val="000000"/>
                <w:kern w:val="0"/>
                <w:szCs w:val="21"/>
              </w:rPr>
              <w:t>备注</w:t>
            </w:r>
          </w:p>
        </w:tc>
        <w:tc>
          <w:tcPr>
            <w:tcW w:w="6688" w:type="dxa"/>
            <w:noWrap w:val="0"/>
            <w:vAlign w:val="center"/>
          </w:tcPr>
          <w:p>
            <w:pPr>
              <w:widowControl/>
              <w:rPr>
                <w:rFonts w:hint="eastAsia" w:ascii="宋体" w:hAnsi="宋体"/>
                <w:color w:val="000000"/>
                <w:kern w:val="0"/>
                <w:szCs w:val="21"/>
              </w:rPr>
            </w:pPr>
            <w:r>
              <w:rPr>
                <w:rFonts w:hint="eastAsia" w:ascii="宋体" w:hAnsi="宋体"/>
                <w:color w:val="000000"/>
                <w:kern w:val="0"/>
                <w:szCs w:val="21"/>
              </w:rPr>
              <w:t xml:space="preserve"> ﹍﹍</w:t>
            </w:r>
          </w:p>
        </w:tc>
      </w:tr>
    </w:tbl>
    <w:p>
      <w:pPr>
        <w:spacing w:line="360" w:lineRule="auto"/>
        <w:rPr>
          <w:rFonts w:eastAsia="楷体_GB2312"/>
          <w:color w:val="000000"/>
          <w:szCs w:val="21"/>
        </w:rPr>
      </w:pPr>
      <w:r>
        <w:rPr>
          <w:rFonts w:eastAsia="楷体_GB2312"/>
          <w:color w:val="000000"/>
          <w:szCs w:val="21"/>
        </w:rPr>
        <w:t>备注：</w:t>
      </w:r>
    </w:p>
    <w:p>
      <w:pPr>
        <w:spacing w:line="360" w:lineRule="auto"/>
        <w:ind w:firstLine="420" w:firstLineChars="200"/>
        <w:rPr>
          <w:rFonts w:eastAsia="楷体_GB2312"/>
          <w:color w:val="000000"/>
          <w:szCs w:val="21"/>
        </w:rPr>
      </w:pPr>
      <w:r>
        <w:rPr>
          <w:rFonts w:eastAsia="楷体_GB2312"/>
          <w:color w:val="000000"/>
          <w:szCs w:val="21"/>
        </w:rPr>
        <w:t>1. “投标人须知前附表”中的条款名称、编列内容，招标人可根据项目实际需要进行适当</w:t>
      </w:r>
      <w:r>
        <w:rPr>
          <w:rFonts w:hint="eastAsia" w:eastAsia="楷体_GB2312"/>
          <w:color w:val="000000"/>
          <w:szCs w:val="21"/>
        </w:rPr>
        <w:t>的</w:t>
      </w:r>
      <w:r>
        <w:rPr>
          <w:rFonts w:eastAsia="楷体_GB2312"/>
          <w:color w:val="000000"/>
          <w:szCs w:val="21"/>
        </w:rPr>
        <w:t>增减。</w:t>
      </w:r>
    </w:p>
    <w:p>
      <w:pPr>
        <w:tabs>
          <w:tab w:val="left" w:pos="720"/>
        </w:tabs>
        <w:spacing w:line="360" w:lineRule="auto"/>
        <w:ind w:firstLine="420" w:firstLineChars="200"/>
        <w:rPr>
          <w:rFonts w:eastAsia="楷体_GB2312"/>
          <w:color w:val="000000"/>
          <w:szCs w:val="21"/>
        </w:rPr>
      </w:pPr>
      <w:r>
        <w:rPr>
          <w:rFonts w:eastAsia="楷体_GB2312"/>
          <w:color w:val="000000"/>
          <w:szCs w:val="21"/>
        </w:rPr>
        <w:t>2. 招标人如需要对“投标人须知”正文条款进行细化调整的，应在“投标人须知前附表”中进行。</w:t>
      </w:r>
    </w:p>
    <w:p>
      <w:pPr>
        <w:spacing w:line="360" w:lineRule="auto"/>
        <w:ind w:firstLine="420" w:firstLineChars="200"/>
        <w:rPr>
          <w:rFonts w:hint="eastAsia" w:eastAsia="楷体_GB2312"/>
          <w:color w:val="000000"/>
          <w:szCs w:val="21"/>
        </w:rPr>
      </w:pPr>
      <w:r>
        <w:rPr>
          <w:rFonts w:hint="eastAsia" w:eastAsia="楷体_GB2312"/>
          <w:color w:val="000000"/>
          <w:szCs w:val="21"/>
        </w:rPr>
        <w:t>3.</w:t>
      </w:r>
      <w:r>
        <w:rPr>
          <w:rFonts w:hint="eastAsia"/>
          <w:color w:val="000000"/>
        </w:rPr>
        <w:t xml:space="preserve"> </w:t>
      </w:r>
      <w:r>
        <w:rPr>
          <w:rFonts w:hint="eastAsia" w:eastAsia="楷体_GB2312"/>
          <w:color w:val="000000"/>
          <w:szCs w:val="21"/>
        </w:rPr>
        <w:t>招标人派出评委参加评标的，须符合以下条件之一：（1）必须是本单位或其上、下级部门（公司）具备与评标工程技术要求相当条件和能力水平的人员出任，招标人需提交符合相当条件和能力承诺书；（2）本单位无符合上述条件的人员时，可以委托具备工程技术或工程经济类中级及以上职称、同时具备与评标工程技术要求相当条件和能力水平且持《广西壮族自治区建设工程招标投标评标专家资格证书》的人员（被主管部门暂停评标资格期间的评标专家除外）出任。持证人员已退休的，应附退休证明文件原件扫描件；持证人员在职的，应附现任职单位为其缴纳的近1个月（</w:t>
      </w:r>
      <w:r>
        <w:rPr>
          <w:rFonts w:hint="eastAsia" w:eastAsia="楷体_GB2312"/>
          <w:color w:val="000000"/>
          <w:szCs w:val="21"/>
          <w:u w:val="single"/>
        </w:rPr>
        <w:t xml:space="preserve">  </w:t>
      </w:r>
      <w:r>
        <w:rPr>
          <w:rFonts w:hint="eastAsia" w:eastAsia="楷体_GB2312"/>
          <w:color w:val="000000"/>
          <w:szCs w:val="21"/>
        </w:rPr>
        <w:t>年</w:t>
      </w:r>
      <w:r>
        <w:rPr>
          <w:rFonts w:hint="eastAsia" w:eastAsia="楷体_GB2312"/>
          <w:color w:val="000000"/>
          <w:szCs w:val="21"/>
          <w:u w:val="single"/>
        </w:rPr>
        <w:t xml:space="preserve">  </w:t>
      </w:r>
      <w:r>
        <w:rPr>
          <w:rFonts w:hint="eastAsia" w:eastAsia="楷体_GB2312"/>
          <w:color w:val="000000"/>
          <w:szCs w:val="21"/>
        </w:rPr>
        <w:t>月）的社会保险证明原件或者工作编制证明文件原件扫描件。以上扫描件应在开标前通过广西壮族自治区公共资源交易平台系统提交并审核通过。</w:t>
      </w:r>
    </w:p>
    <w:p>
      <w:pPr>
        <w:pStyle w:val="3"/>
        <w:jc w:val="center"/>
        <w:rPr>
          <w:rFonts w:hint="eastAsia"/>
          <w:color w:val="000000"/>
          <w:sz w:val="36"/>
          <w:szCs w:val="36"/>
        </w:rPr>
      </w:pPr>
      <w:r>
        <w:rPr>
          <w:color w:val="000000"/>
          <w:sz w:val="24"/>
        </w:rPr>
        <w:br w:type="page"/>
      </w:r>
      <w:bookmarkStart w:id="202" w:name="_Toc59203005"/>
      <w:bookmarkStart w:id="203" w:name="_Toc419320099"/>
      <w:bookmarkStart w:id="204" w:name="_Toc419321135"/>
      <w:bookmarkStart w:id="205" w:name="_Toc419363502"/>
      <w:bookmarkStart w:id="206" w:name="_Toc419364226"/>
      <w:bookmarkStart w:id="207" w:name="_Toc433988569"/>
      <w:bookmarkStart w:id="208" w:name="_Toc491277154"/>
      <w:bookmarkStart w:id="209" w:name="_Toc282958588"/>
      <w:bookmarkStart w:id="210" w:name="_Toc283196390"/>
      <w:bookmarkStart w:id="211" w:name="_Toc396778057"/>
      <w:bookmarkStart w:id="212" w:name="_Toc414553652"/>
      <w:bookmarkStart w:id="213" w:name="_Toc390874898"/>
      <w:bookmarkStart w:id="214" w:name="_Toc390874928"/>
      <w:bookmarkStart w:id="215" w:name="_Toc282823812"/>
      <w:bookmarkStart w:id="216" w:name="_Toc275437765"/>
      <w:r>
        <w:rPr>
          <w:rFonts w:hint="eastAsia"/>
          <w:color w:val="000000"/>
          <w:sz w:val="36"/>
          <w:szCs w:val="36"/>
        </w:rPr>
        <w:t>投标人须知正文部分</w:t>
      </w:r>
      <w:bookmarkEnd w:id="202"/>
      <w:bookmarkEnd w:id="203"/>
      <w:bookmarkEnd w:id="204"/>
      <w:bookmarkEnd w:id="205"/>
      <w:bookmarkEnd w:id="206"/>
      <w:bookmarkEnd w:id="207"/>
      <w:bookmarkEnd w:id="208"/>
      <w:bookmarkEnd w:id="209"/>
      <w:bookmarkEnd w:id="210"/>
      <w:bookmarkEnd w:id="211"/>
      <w:bookmarkEnd w:id="212"/>
      <w:bookmarkEnd w:id="213"/>
      <w:bookmarkEnd w:id="214"/>
    </w:p>
    <w:bookmarkEnd w:id="215"/>
    <w:bookmarkEnd w:id="216"/>
    <w:p>
      <w:pPr>
        <w:pStyle w:val="4"/>
        <w:rPr>
          <w:rFonts w:hint="eastAsia"/>
          <w:color w:val="000000"/>
        </w:rPr>
      </w:pPr>
      <w:bookmarkStart w:id="217" w:name="_Toc283128904"/>
      <w:bookmarkStart w:id="218" w:name="_Toc396778058"/>
      <w:bookmarkStart w:id="219" w:name="_Toc414553653"/>
      <w:bookmarkStart w:id="220" w:name="_Toc419320100"/>
      <w:bookmarkStart w:id="221" w:name="_Toc419364227"/>
      <w:bookmarkStart w:id="222" w:name="_Toc419363503"/>
      <w:bookmarkStart w:id="223" w:name="_Toc419321136"/>
      <w:bookmarkStart w:id="224" w:name="_Toc433988570"/>
      <w:bookmarkStart w:id="225" w:name="_Toc59203006"/>
      <w:r>
        <w:rPr>
          <w:rFonts w:hint="eastAsia"/>
          <w:color w:val="000000"/>
        </w:rPr>
        <w:t>1．总则</w:t>
      </w:r>
      <w:bookmarkEnd w:id="217"/>
      <w:bookmarkEnd w:id="218"/>
      <w:bookmarkEnd w:id="219"/>
      <w:bookmarkEnd w:id="220"/>
      <w:bookmarkEnd w:id="221"/>
      <w:bookmarkEnd w:id="222"/>
      <w:bookmarkEnd w:id="223"/>
      <w:bookmarkEnd w:id="224"/>
      <w:bookmarkEnd w:id="225"/>
    </w:p>
    <w:p>
      <w:pPr>
        <w:pStyle w:val="5"/>
        <w:rPr>
          <w:rFonts w:hint="eastAsia"/>
          <w:color w:val="000000"/>
        </w:rPr>
      </w:pPr>
      <w:bookmarkStart w:id="226" w:name="_Toc282823813"/>
      <w:bookmarkStart w:id="227" w:name="_Toc282843637"/>
      <w:bookmarkStart w:id="228" w:name="_Toc419320101"/>
      <w:bookmarkStart w:id="229" w:name="_Toc419321137"/>
      <w:bookmarkStart w:id="230" w:name="_Toc419363504"/>
      <w:bookmarkStart w:id="231" w:name="_Toc419364228"/>
      <w:bookmarkStart w:id="232" w:name="_Toc433988571"/>
      <w:r>
        <w:rPr>
          <w:rFonts w:hint="eastAsia"/>
          <w:color w:val="000000"/>
        </w:rPr>
        <w:t>1.1 项目概况</w:t>
      </w:r>
      <w:bookmarkEnd w:id="226"/>
      <w:bookmarkEnd w:id="227"/>
      <w:bookmarkEnd w:id="228"/>
      <w:bookmarkEnd w:id="229"/>
      <w:bookmarkEnd w:id="230"/>
      <w:bookmarkEnd w:id="231"/>
      <w:bookmarkEnd w:id="232"/>
    </w:p>
    <w:p>
      <w:pPr>
        <w:spacing w:line="400" w:lineRule="exact"/>
        <w:ind w:firstLine="357" w:firstLineChars="170"/>
        <w:rPr>
          <w:rFonts w:ascii="宋体" w:hAnsi="宋体"/>
          <w:color w:val="000000"/>
          <w:szCs w:val="21"/>
        </w:rPr>
      </w:pPr>
      <w:r>
        <w:rPr>
          <w:rFonts w:hint="eastAsia" w:ascii="宋体" w:hAnsi="宋体"/>
          <w:color w:val="000000"/>
          <w:szCs w:val="21"/>
        </w:rPr>
        <w:t>1.1.1 根据《中华人民共和国招标投标法》、《中华人民共和国招标投标法实施条例》等有关法律、法规和规章的规定，本招标项目己具备招标条件，现对该项目进行工程总承包招标。</w:t>
      </w:r>
    </w:p>
    <w:p>
      <w:pPr>
        <w:spacing w:line="400" w:lineRule="exact"/>
        <w:ind w:firstLine="357" w:firstLineChars="170"/>
        <w:rPr>
          <w:rFonts w:hint="eastAsia" w:ascii="宋体" w:hAnsi="宋体"/>
          <w:color w:val="000000"/>
          <w:szCs w:val="21"/>
        </w:rPr>
      </w:pPr>
      <w:r>
        <w:rPr>
          <w:rFonts w:hint="eastAsia" w:ascii="宋体" w:hAnsi="宋体"/>
          <w:color w:val="000000"/>
          <w:szCs w:val="21"/>
        </w:rPr>
        <w:t>1.1.2招标项目名称</w:t>
      </w:r>
      <w:r>
        <w:rPr>
          <w:rFonts w:hint="eastAsia"/>
          <w:color w:val="000000"/>
          <w:szCs w:val="21"/>
        </w:rPr>
        <w:t>及项目招标编号</w:t>
      </w:r>
      <w:r>
        <w:rPr>
          <w:rFonts w:hint="eastAsia" w:ascii="宋体" w:hAnsi="宋体"/>
          <w:color w:val="000000"/>
          <w:szCs w:val="21"/>
        </w:rPr>
        <w:t>：见投标人须知前附表。</w:t>
      </w:r>
    </w:p>
    <w:p>
      <w:pPr>
        <w:spacing w:line="400" w:lineRule="exact"/>
        <w:ind w:firstLine="357" w:firstLineChars="170"/>
        <w:rPr>
          <w:rFonts w:hint="eastAsia" w:ascii="宋体" w:hAnsi="宋体"/>
          <w:color w:val="000000"/>
          <w:szCs w:val="21"/>
        </w:rPr>
      </w:pPr>
      <w:r>
        <w:rPr>
          <w:rFonts w:hint="eastAsia" w:ascii="宋体" w:hAnsi="宋体"/>
          <w:color w:val="000000"/>
          <w:szCs w:val="21"/>
        </w:rPr>
        <w:t>1.1.3招标人：见投标人须知前附表。</w:t>
      </w:r>
    </w:p>
    <w:p>
      <w:pPr>
        <w:spacing w:line="400" w:lineRule="exact"/>
        <w:ind w:firstLine="357" w:firstLineChars="170"/>
        <w:rPr>
          <w:rFonts w:hint="eastAsia" w:ascii="宋体" w:hAnsi="宋体"/>
          <w:color w:val="000000"/>
          <w:szCs w:val="21"/>
        </w:rPr>
      </w:pPr>
      <w:r>
        <w:rPr>
          <w:rFonts w:hint="eastAsia" w:ascii="宋体" w:hAnsi="宋体"/>
          <w:color w:val="000000"/>
          <w:szCs w:val="21"/>
        </w:rPr>
        <w:t>1.1.4招标代理机构：见投标人须知前附表。</w:t>
      </w:r>
    </w:p>
    <w:p>
      <w:pPr>
        <w:spacing w:line="400" w:lineRule="exact"/>
        <w:ind w:firstLine="357" w:firstLineChars="170"/>
        <w:rPr>
          <w:rFonts w:hint="eastAsia" w:ascii="宋体" w:hAnsi="宋体"/>
          <w:color w:val="000000"/>
          <w:szCs w:val="21"/>
        </w:rPr>
      </w:pPr>
      <w:r>
        <w:rPr>
          <w:rFonts w:hint="eastAsia" w:ascii="宋体" w:hAnsi="宋体"/>
          <w:color w:val="000000"/>
          <w:szCs w:val="21"/>
        </w:rPr>
        <w:t>1.1.5项目建设地点：见投标人须知前附表。</w:t>
      </w:r>
    </w:p>
    <w:p>
      <w:pPr>
        <w:spacing w:line="400" w:lineRule="exact"/>
        <w:ind w:firstLine="357" w:firstLineChars="170"/>
        <w:rPr>
          <w:rFonts w:hint="eastAsia" w:ascii="宋体" w:hAnsi="宋体"/>
          <w:color w:val="000000"/>
          <w:szCs w:val="21"/>
        </w:rPr>
      </w:pPr>
      <w:r>
        <w:rPr>
          <w:rFonts w:hint="eastAsia" w:ascii="宋体" w:hAnsi="宋体"/>
          <w:color w:val="000000"/>
          <w:szCs w:val="21"/>
        </w:rPr>
        <w:t>1.1.6项目建设规模：见投标人须知前附表。</w:t>
      </w:r>
    </w:p>
    <w:p>
      <w:pPr>
        <w:pStyle w:val="5"/>
        <w:rPr>
          <w:rFonts w:hint="eastAsia"/>
          <w:color w:val="000000"/>
        </w:rPr>
      </w:pPr>
      <w:bookmarkStart w:id="233" w:name="_Toc282843638"/>
      <w:bookmarkStart w:id="234" w:name="_Toc282823814"/>
      <w:bookmarkStart w:id="235" w:name="_Toc419321138"/>
      <w:bookmarkStart w:id="236" w:name="_Toc419363505"/>
      <w:bookmarkStart w:id="237" w:name="_Toc419364229"/>
      <w:bookmarkStart w:id="238" w:name="_Toc433988572"/>
      <w:bookmarkStart w:id="239" w:name="_Toc419320102"/>
      <w:r>
        <w:rPr>
          <w:rFonts w:hint="eastAsia"/>
          <w:color w:val="000000"/>
        </w:rPr>
        <w:t>1.2 资金来源和落实情况</w:t>
      </w:r>
      <w:bookmarkEnd w:id="233"/>
      <w:bookmarkEnd w:id="234"/>
      <w:bookmarkEnd w:id="235"/>
      <w:bookmarkEnd w:id="236"/>
      <w:bookmarkEnd w:id="237"/>
      <w:bookmarkEnd w:id="238"/>
      <w:bookmarkEnd w:id="239"/>
    </w:p>
    <w:p>
      <w:pPr>
        <w:spacing w:line="400" w:lineRule="exact"/>
        <w:ind w:firstLine="357" w:firstLineChars="170"/>
        <w:rPr>
          <w:rFonts w:hint="eastAsia" w:ascii="宋体" w:hAnsi="宋体"/>
          <w:color w:val="000000"/>
          <w:szCs w:val="21"/>
        </w:rPr>
      </w:pPr>
      <w:r>
        <w:rPr>
          <w:rFonts w:hint="eastAsia" w:ascii="宋体" w:hAnsi="宋体"/>
          <w:color w:val="000000"/>
          <w:szCs w:val="21"/>
        </w:rPr>
        <w:t>1.2.1 资金来源及比例：见投标人须知前附表。</w:t>
      </w:r>
    </w:p>
    <w:p>
      <w:pPr>
        <w:spacing w:line="400" w:lineRule="exact"/>
        <w:ind w:firstLine="357" w:firstLineChars="170"/>
        <w:rPr>
          <w:rFonts w:hint="eastAsia" w:ascii="宋体" w:hAnsi="宋体"/>
          <w:color w:val="000000"/>
          <w:szCs w:val="21"/>
        </w:rPr>
      </w:pPr>
      <w:r>
        <w:rPr>
          <w:rFonts w:hint="eastAsia" w:ascii="宋体" w:hAnsi="宋体"/>
          <w:color w:val="000000"/>
          <w:szCs w:val="21"/>
        </w:rPr>
        <w:t>1.2.2 资金落实情况：见投标人须知前附表。</w:t>
      </w:r>
    </w:p>
    <w:p>
      <w:pPr>
        <w:spacing w:line="360" w:lineRule="auto"/>
        <w:ind w:firstLine="420" w:firstLineChars="200"/>
        <w:rPr>
          <w:rFonts w:ascii="宋体" w:hAnsi="宋体"/>
          <w:color w:val="000000"/>
          <w:szCs w:val="21"/>
        </w:rPr>
      </w:pPr>
      <w:r>
        <w:rPr>
          <w:rFonts w:hint="eastAsia" w:ascii="宋体" w:hAnsi="宋体"/>
          <w:color w:val="000000"/>
          <w:szCs w:val="21"/>
        </w:rPr>
        <w:t>1.2.3 本招标项目的增值税计税方法：</w:t>
      </w:r>
      <w:r>
        <w:rPr>
          <w:rFonts w:ascii="宋体" w:hAnsi="宋体"/>
          <w:color w:val="000000"/>
          <w:szCs w:val="21"/>
        </w:rPr>
        <w:t>见“投标人须知前附表”。</w:t>
      </w:r>
    </w:p>
    <w:p>
      <w:pPr>
        <w:spacing w:line="360" w:lineRule="auto"/>
        <w:ind w:firstLine="420" w:firstLineChars="200"/>
        <w:rPr>
          <w:rFonts w:hint="eastAsia" w:ascii="宋体" w:hAnsi="宋体"/>
          <w:color w:val="000000"/>
          <w:szCs w:val="21"/>
        </w:rPr>
      </w:pPr>
      <w:r>
        <w:rPr>
          <w:rFonts w:hint="eastAsia" w:ascii="宋体" w:hAnsi="宋体"/>
          <w:color w:val="000000"/>
          <w:szCs w:val="21"/>
        </w:rPr>
        <w:t>1.2.</w:t>
      </w:r>
      <w:r>
        <w:rPr>
          <w:rFonts w:ascii="宋体" w:hAnsi="宋体"/>
          <w:color w:val="000000"/>
          <w:szCs w:val="21"/>
        </w:rPr>
        <w:t>4</w:t>
      </w:r>
      <w:r>
        <w:rPr>
          <w:rFonts w:hint="eastAsia" w:ascii="宋体" w:hAnsi="宋体"/>
          <w:color w:val="000000"/>
          <w:szCs w:val="21"/>
        </w:rPr>
        <w:t>采用的计价方法：见“投标人须知前附表”。</w:t>
      </w:r>
    </w:p>
    <w:p>
      <w:pPr>
        <w:pStyle w:val="5"/>
        <w:rPr>
          <w:rFonts w:hint="eastAsia"/>
          <w:color w:val="000000"/>
        </w:rPr>
      </w:pPr>
      <w:bookmarkStart w:id="240" w:name="_Toc282843639"/>
      <w:bookmarkStart w:id="241" w:name="_Toc282823815"/>
      <w:bookmarkStart w:id="242" w:name="_Toc419320103"/>
      <w:bookmarkStart w:id="243" w:name="_Toc419321139"/>
      <w:bookmarkStart w:id="244" w:name="_Toc419363506"/>
      <w:bookmarkStart w:id="245" w:name="_Toc419364230"/>
      <w:bookmarkStart w:id="246" w:name="_Toc433988573"/>
      <w:r>
        <w:rPr>
          <w:rFonts w:hint="eastAsia"/>
          <w:color w:val="000000"/>
        </w:rPr>
        <w:t>1.3 招标范围、计划工期和质量</w:t>
      </w:r>
      <w:bookmarkEnd w:id="240"/>
      <w:bookmarkEnd w:id="241"/>
      <w:r>
        <w:rPr>
          <w:rFonts w:hint="eastAsia"/>
          <w:color w:val="000000"/>
        </w:rPr>
        <w:t>要求</w:t>
      </w:r>
      <w:bookmarkEnd w:id="242"/>
      <w:bookmarkEnd w:id="243"/>
      <w:bookmarkEnd w:id="244"/>
      <w:bookmarkEnd w:id="245"/>
      <w:bookmarkEnd w:id="246"/>
    </w:p>
    <w:p>
      <w:pPr>
        <w:spacing w:line="400" w:lineRule="exact"/>
        <w:ind w:firstLine="357" w:firstLineChars="170"/>
        <w:rPr>
          <w:rFonts w:hint="eastAsia" w:ascii="宋体" w:hAnsi="宋体"/>
          <w:color w:val="000000"/>
          <w:szCs w:val="21"/>
        </w:rPr>
      </w:pPr>
      <w:r>
        <w:rPr>
          <w:rFonts w:hint="eastAsia" w:ascii="宋体" w:hAnsi="宋体"/>
          <w:color w:val="000000"/>
          <w:szCs w:val="21"/>
        </w:rPr>
        <w:t>1.3.1 招标范围：见投标人须知前附表。</w:t>
      </w:r>
    </w:p>
    <w:p>
      <w:pPr>
        <w:spacing w:line="400" w:lineRule="exact"/>
        <w:ind w:firstLine="357" w:firstLineChars="170"/>
        <w:rPr>
          <w:rFonts w:hint="eastAsia" w:ascii="宋体" w:hAnsi="宋体"/>
          <w:color w:val="000000"/>
          <w:szCs w:val="21"/>
        </w:rPr>
      </w:pPr>
      <w:r>
        <w:rPr>
          <w:rFonts w:hint="eastAsia" w:ascii="宋体" w:hAnsi="宋体"/>
          <w:color w:val="000000"/>
          <w:szCs w:val="21"/>
        </w:rPr>
        <w:t>1.3.2 计划工期：见投标人须知前附表。</w:t>
      </w:r>
    </w:p>
    <w:p>
      <w:pPr>
        <w:spacing w:line="400" w:lineRule="exact"/>
        <w:ind w:firstLine="357" w:firstLineChars="170"/>
        <w:rPr>
          <w:rFonts w:hint="eastAsia" w:ascii="宋体" w:hAnsi="宋体"/>
          <w:color w:val="000000"/>
          <w:szCs w:val="21"/>
        </w:rPr>
      </w:pPr>
      <w:r>
        <w:rPr>
          <w:rFonts w:hint="eastAsia" w:ascii="宋体" w:hAnsi="宋体"/>
          <w:color w:val="000000"/>
          <w:szCs w:val="21"/>
        </w:rPr>
        <w:t>1.3.3 质量要求：见投标人须知前附表。</w:t>
      </w:r>
    </w:p>
    <w:p>
      <w:pPr>
        <w:spacing w:line="400" w:lineRule="exact"/>
        <w:ind w:firstLine="357" w:firstLineChars="170"/>
        <w:rPr>
          <w:rFonts w:hint="eastAsia" w:ascii="宋体" w:hAnsi="宋体"/>
          <w:color w:val="000000"/>
          <w:szCs w:val="21"/>
        </w:rPr>
      </w:pPr>
    </w:p>
    <w:p>
      <w:pPr>
        <w:pStyle w:val="5"/>
        <w:rPr>
          <w:rFonts w:hint="eastAsia"/>
          <w:color w:val="000000"/>
        </w:rPr>
      </w:pPr>
      <w:bookmarkStart w:id="247" w:name="_Toc419320104"/>
      <w:bookmarkStart w:id="248" w:name="_Toc419363507"/>
      <w:bookmarkStart w:id="249" w:name="_Toc419321140"/>
      <w:bookmarkStart w:id="250" w:name="_Toc419364231"/>
      <w:bookmarkStart w:id="251" w:name="_Toc433988574"/>
      <w:bookmarkStart w:id="252" w:name="_Toc282823817"/>
      <w:bookmarkStart w:id="253" w:name="_Toc282843641"/>
      <w:r>
        <w:rPr>
          <w:rFonts w:hint="eastAsia"/>
          <w:color w:val="000000"/>
        </w:rPr>
        <w:t>1.4 投标人资格要求</w:t>
      </w:r>
      <w:bookmarkEnd w:id="247"/>
      <w:bookmarkEnd w:id="248"/>
      <w:bookmarkEnd w:id="249"/>
      <w:bookmarkEnd w:id="250"/>
      <w:bookmarkEnd w:id="251"/>
      <w:bookmarkEnd w:id="252"/>
      <w:bookmarkEnd w:id="253"/>
    </w:p>
    <w:p>
      <w:pPr>
        <w:spacing w:line="400" w:lineRule="exact"/>
        <w:ind w:firstLine="357" w:firstLineChars="170"/>
        <w:rPr>
          <w:rFonts w:hint="eastAsia" w:ascii="宋体" w:hAnsi="宋体"/>
          <w:color w:val="000000"/>
          <w:szCs w:val="21"/>
        </w:rPr>
      </w:pPr>
      <w:r>
        <w:rPr>
          <w:rFonts w:hint="eastAsia" w:ascii="宋体" w:hAnsi="宋体"/>
          <w:color w:val="000000"/>
          <w:szCs w:val="21"/>
        </w:rPr>
        <w:t>1.4.1 投标人应具备承担本招标项目资质条件、能力和信誉。</w:t>
      </w:r>
    </w:p>
    <w:p>
      <w:pPr>
        <w:spacing w:line="400" w:lineRule="exact"/>
        <w:ind w:firstLine="357" w:firstLineChars="170"/>
        <w:rPr>
          <w:rFonts w:hint="eastAsia" w:ascii="宋体" w:hAnsi="宋体"/>
          <w:color w:val="000000"/>
          <w:szCs w:val="21"/>
        </w:rPr>
      </w:pPr>
      <w:r>
        <w:rPr>
          <w:rFonts w:hint="eastAsia" w:ascii="宋体" w:hAnsi="宋体"/>
          <w:color w:val="000000"/>
          <w:szCs w:val="21"/>
        </w:rPr>
        <w:t>（1）资质条件：见投标人须知前附表；</w:t>
      </w:r>
    </w:p>
    <w:p>
      <w:pPr>
        <w:spacing w:line="400" w:lineRule="exact"/>
        <w:ind w:firstLine="357" w:firstLineChars="170"/>
        <w:rPr>
          <w:rFonts w:hint="eastAsia" w:ascii="宋体" w:hAnsi="宋体"/>
          <w:color w:val="000000"/>
          <w:szCs w:val="21"/>
        </w:rPr>
      </w:pPr>
      <w:r>
        <w:rPr>
          <w:rFonts w:hint="eastAsia" w:ascii="宋体" w:hAnsi="宋体"/>
          <w:color w:val="000000"/>
          <w:szCs w:val="21"/>
        </w:rPr>
        <w:t>（2）主要负责人要求：见投标人须知前附表；</w:t>
      </w:r>
    </w:p>
    <w:p>
      <w:pPr>
        <w:spacing w:line="400" w:lineRule="exact"/>
        <w:ind w:firstLine="357" w:firstLineChars="170"/>
        <w:rPr>
          <w:rFonts w:hint="eastAsia" w:ascii="宋体" w:hAnsi="宋体"/>
          <w:color w:val="000000"/>
          <w:szCs w:val="21"/>
        </w:rPr>
      </w:pPr>
      <w:r>
        <w:rPr>
          <w:rFonts w:hint="eastAsia" w:ascii="宋体" w:hAnsi="宋体"/>
          <w:color w:val="000000"/>
          <w:szCs w:val="21"/>
        </w:rPr>
        <w:t>（3）诚信要求：见投标人须知前附表；</w:t>
      </w:r>
    </w:p>
    <w:p>
      <w:pPr>
        <w:spacing w:line="400" w:lineRule="exact"/>
        <w:ind w:firstLine="357" w:firstLineChars="170"/>
        <w:rPr>
          <w:rFonts w:hint="eastAsia" w:ascii="宋体" w:hAnsi="宋体"/>
          <w:color w:val="000000"/>
          <w:szCs w:val="21"/>
        </w:rPr>
      </w:pPr>
      <w:r>
        <w:rPr>
          <w:rFonts w:hint="eastAsia" w:ascii="宋体" w:hAnsi="宋体"/>
          <w:color w:val="000000"/>
          <w:szCs w:val="21"/>
        </w:rPr>
        <w:t>（4）财务要求：见投标人须知前附表；</w:t>
      </w:r>
    </w:p>
    <w:p>
      <w:pPr>
        <w:spacing w:line="400" w:lineRule="exact"/>
        <w:ind w:firstLine="357" w:firstLineChars="170"/>
        <w:rPr>
          <w:rFonts w:hint="eastAsia" w:ascii="宋体" w:hAnsi="宋体"/>
          <w:color w:val="000000"/>
          <w:szCs w:val="21"/>
        </w:rPr>
      </w:pPr>
      <w:r>
        <w:rPr>
          <w:rFonts w:hint="eastAsia" w:ascii="宋体" w:hAnsi="宋体"/>
          <w:color w:val="000000"/>
          <w:szCs w:val="21"/>
        </w:rPr>
        <w:t>（5）业绩要求：见投标人须知前附表；</w:t>
      </w:r>
    </w:p>
    <w:p>
      <w:pPr>
        <w:spacing w:line="400" w:lineRule="exact"/>
        <w:ind w:firstLine="357" w:firstLineChars="170"/>
        <w:rPr>
          <w:rFonts w:ascii="宋体" w:hAnsi="宋体"/>
          <w:color w:val="000000"/>
          <w:szCs w:val="21"/>
        </w:rPr>
      </w:pPr>
      <w:r>
        <w:rPr>
          <w:rFonts w:hint="eastAsia" w:ascii="宋体" w:hAnsi="宋体"/>
          <w:color w:val="000000"/>
          <w:szCs w:val="21"/>
        </w:rPr>
        <w:t>（6）其他要求：见投标人须知前附表；</w:t>
      </w:r>
    </w:p>
    <w:p>
      <w:pPr>
        <w:spacing w:line="400" w:lineRule="exact"/>
        <w:ind w:firstLine="357" w:firstLineChars="170"/>
        <w:rPr>
          <w:rFonts w:hint="eastAsia" w:ascii="宋体" w:hAnsi="宋体"/>
          <w:color w:val="000000"/>
          <w:szCs w:val="21"/>
        </w:rPr>
      </w:pPr>
      <w:r>
        <w:rPr>
          <w:rFonts w:hint="eastAsia" w:ascii="宋体" w:hAnsi="宋体"/>
          <w:color w:val="000000"/>
          <w:szCs w:val="21"/>
        </w:rPr>
        <w:t>1.4.</w:t>
      </w:r>
      <w:r>
        <w:rPr>
          <w:rFonts w:ascii="宋体" w:hAnsi="宋体"/>
          <w:color w:val="000000"/>
          <w:szCs w:val="21"/>
        </w:rPr>
        <w:t>2</w:t>
      </w:r>
      <w:r>
        <w:rPr>
          <w:rFonts w:hint="eastAsia" w:ascii="宋体" w:hAnsi="宋体"/>
          <w:color w:val="000000"/>
          <w:szCs w:val="21"/>
        </w:rPr>
        <w:t xml:space="preserve"> 投标人不得存在下列情形之一：</w:t>
      </w:r>
    </w:p>
    <w:p>
      <w:pPr>
        <w:spacing w:line="400" w:lineRule="exact"/>
        <w:ind w:firstLine="357" w:firstLineChars="170"/>
        <w:rPr>
          <w:rFonts w:hint="eastAsia"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w:t>
      </w:r>
      <w:r>
        <w:rPr>
          <w:rFonts w:hint="eastAsia" w:hAnsi="宋体"/>
          <w:color w:val="000000"/>
          <w:szCs w:val="21"/>
        </w:rPr>
        <w:t>与招标人存在利害关系可能影响招标公正性的法人、其他组织</w:t>
      </w:r>
      <w:r>
        <w:rPr>
          <w:rFonts w:hint="eastAsia"/>
          <w:color w:val="000000"/>
          <w:szCs w:val="21"/>
        </w:rPr>
        <w:t>；</w:t>
      </w:r>
    </w:p>
    <w:p>
      <w:pPr>
        <w:spacing w:line="400" w:lineRule="exact"/>
        <w:ind w:firstLine="357" w:firstLineChars="170"/>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）为本招标项目的项目建议书、可行性研究报告、初步设计文件编制单位或其评估单位的前期咨询单位（招标人公开已经完成的项目建议书、可行性研究报告、初步设计文件的情况</w:t>
      </w:r>
      <w:r>
        <w:rPr>
          <w:rFonts w:ascii="宋体" w:hAnsi="宋体"/>
          <w:color w:val="000000"/>
          <w:szCs w:val="21"/>
        </w:rPr>
        <w:t>除外</w:t>
      </w:r>
      <w:r>
        <w:rPr>
          <w:rFonts w:hint="eastAsia" w:ascii="宋体" w:hAnsi="宋体"/>
          <w:color w:val="000000"/>
          <w:szCs w:val="21"/>
        </w:rPr>
        <w:t>）；</w:t>
      </w:r>
    </w:p>
    <w:p>
      <w:pPr>
        <w:spacing w:line="400" w:lineRule="exact"/>
        <w:ind w:firstLine="357" w:firstLineChars="170"/>
        <w:rPr>
          <w:rFonts w:ascii="宋体" w:hAns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）为本招标项目提供招标代理、代建单位、项目管理单位、全过程工程咨询单位、监理单位、造价咨询服务的或与</w:t>
      </w:r>
      <w:r>
        <w:rPr>
          <w:rFonts w:ascii="宋体" w:hAnsi="宋体"/>
          <w:color w:val="000000"/>
          <w:szCs w:val="21"/>
        </w:rPr>
        <w:t>以上</w:t>
      </w:r>
      <w:r>
        <w:rPr>
          <w:rFonts w:hint="eastAsia" w:hAnsi="宋体"/>
          <w:color w:val="000000"/>
          <w:szCs w:val="21"/>
        </w:rPr>
        <w:t>企业之间有控股、参股、隶属或其他管理等利益关系，或为同一法定代表人</w:t>
      </w:r>
      <w:r>
        <w:rPr>
          <w:rFonts w:hint="eastAsia" w:ascii="宋体" w:hAnsi="宋体"/>
          <w:color w:val="000000"/>
          <w:szCs w:val="21"/>
        </w:rPr>
        <w:t>；</w:t>
      </w:r>
    </w:p>
    <w:p>
      <w:pPr>
        <w:spacing w:line="400" w:lineRule="exact"/>
        <w:ind w:firstLine="357" w:firstLineChars="170"/>
        <w:rPr>
          <w:rFonts w:ascii="宋体" w:hAns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）被责令停业或整顿的；</w:t>
      </w:r>
    </w:p>
    <w:p>
      <w:pPr>
        <w:spacing w:line="400" w:lineRule="exact"/>
        <w:ind w:firstLine="357" w:firstLineChars="170"/>
        <w:rPr>
          <w:rFonts w:ascii="宋体" w:hAns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）被暂停或取消投标资格的；</w:t>
      </w:r>
    </w:p>
    <w:p>
      <w:pPr>
        <w:spacing w:line="400" w:lineRule="exact"/>
        <w:ind w:firstLine="357" w:firstLineChars="170"/>
        <w:rPr>
          <w:rFonts w:ascii="宋体" w:hAns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）财产被接管或基本账户被冻结的；</w:t>
      </w:r>
    </w:p>
    <w:p>
      <w:pPr>
        <w:spacing w:line="400" w:lineRule="exact"/>
        <w:ind w:firstLine="357" w:firstLineChars="170"/>
        <w:rPr>
          <w:rFonts w:ascii="宋体" w:hAnsi="宋体"/>
          <w:color w:val="000000"/>
          <w:szCs w:val="21"/>
        </w:rPr>
      </w:pPr>
      <w:r>
        <w:rPr>
          <w:rFonts w:hint="eastAsia" w:ascii="宋体" w:hAnsi="宋体"/>
          <w:color w:val="000000"/>
          <w:szCs w:val="21"/>
        </w:rPr>
        <w:t>（</w:t>
      </w:r>
      <w:r>
        <w:rPr>
          <w:rFonts w:ascii="宋体" w:hAnsi="宋体"/>
          <w:color w:val="000000"/>
          <w:szCs w:val="21"/>
        </w:rPr>
        <w:t>7</w:t>
      </w:r>
      <w:r>
        <w:rPr>
          <w:rFonts w:hint="eastAsia" w:ascii="宋体" w:hAnsi="宋体"/>
          <w:color w:val="000000"/>
          <w:szCs w:val="21"/>
        </w:rPr>
        <w:t>）在最近三年内有骗取中标或严重违约的；</w:t>
      </w:r>
    </w:p>
    <w:p>
      <w:pPr>
        <w:spacing w:line="400" w:lineRule="exact"/>
        <w:ind w:firstLine="357" w:firstLineChars="170"/>
        <w:rPr>
          <w:rFonts w:ascii="宋体" w:hAnsi="宋体"/>
          <w:color w:val="000000"/>
          <w:szCs w:val="21"/>
        </w:rPr>
      </w:pPr>
      <w:r>
        <w:rPr>
          <w:rFonts w:hint="eastAsia" w:ascii="宋体" w:hAnsi="宋体"/>
          <w:color w:val="000000"/>
          <w:szCs w:val="21"/>
        </w:rPr>
        <w:t>（</w:t>
      </w:r>
      <w:r>
        <w:rPr>
          <w:rFonts w:ascii="宋体" w:hAnsi="宋体"/>
          <w:color w:val="000000"/>
          <w:szCs w:val="21"/>
        </w:rPr>
        <w:t>8</w:t>
      </w:r>
      <w:r>
        <w:rPr>
          <w:rFonts w:hint="eastAsia" w:ascii="宋体" w:hAnsi="宋体"/>
          <w:color w:val="000000"/>
          <w:szCs w:val="21"/>
        </w:rPr>
        <w:t>）法定代表人或拟投入本项目管理人员与本标段的监理单位或代建单位或招标代理机构相互任职或工作的；</w:t>
      </w:r>
    </w:p>
    <w:p>
      <w:pPr>
        <w:spacing w:line="400" w:lineRule="exact"/>
        <w:ind w:firstLine="357" w:firstLineChars="170"/>
        <w:rPr>
          <w:rFonts w:hint="eastAsia" w:ascii="宋体" w:hAnsi="宋体"/>
          <w:color w:val="000000"/>
          <w:szCs w:val="21"/>
        </w:rPr>
      </w:pPr>
      <w:r>
        <w:rPr>
          <w:rFonts w:hint="eastAsia" w:ascii="宋体" w:hAnsi="宋体"/>
          <w:color w:val="000000"/>
          <w:szCs w:val="21"/>
        </w:rPr>
        <w:t>（</w:t>
      </w:r>
      <w:r>
        <w:rPr>
          <w:rFonts w:ascii="宋体" w:hAnsi="宋体"/>
          <w:color w:val="000000"/>
          <w:szCs w:val="21"/>
        </w:rPr>
        <w:t>9</w:t>
      </w:r>
      <w:r>
        <w:rPr>
          <w:rFonts w:hint="eastAsia" w:ascii="宋体" w:hAnsi="宋体"/>
          <w:color w:val="000000"/>
          <w:szCs w:val="21"/>
        </w:rPr>
        <w:t>）吊销或暂扣行政</w:t>
      </w:r>
      <w:r>
        <w:rPr>
          <w:rFonts w:ascii="宋体" w:hAnsi="宋体"/>
          <w:color w:val="000000"/>
          <w:szCs w:val="21"/>
        </w:rPr>
        <w:t>许可、</w:t>
      </w:r>
      <w:r>
        <w:rPr>
          <w:rFonts w:hint="eastAsia" w:ascii="宋体" w:hAnsi="宋体"/>
          <w:color w:val="000000"/>
          <w:szCs w:val="21"/>
        </w:rPr>
        <w:t>营业执照期间；</w:t>
      </w:r>
    </w:p>
    <w:p>
      <w:pPr>
        <w:spacing w:line="400" w:lineRule="exact"/>
        <w:ind w:firstLine="357" w:firstLineChars="170"/>
        <w:rPr>
          <w:rFonts w:ascii="宋体" w:hAnsi="宋体"/>
          <w:color w:val="000000"/>
          <w:szCs w:val="21"/>
        </w:rPr>
      </w:pPr>
      <w:r>
        <w:rPr>
          <w:rFonts w:hint="eastAsia" w:ascii="宋体" w:hAnsi="宋体"/>
          <w:color w:val="000000"/>
          <w:szCs w:val="21"/>
        </w:rPr>
        <w:t>（1</w:t>
      </w:r>
      <w:r>
        <w:rPr>
          <w:rFonts w:ascii="宋体" w:hAnsi="宋体"/>
          <w:color w:val="000000"/>
          <w:szCs w:val="21"/>
        </w:rPr>
        <w:t>0</w:t>
      </w:r>
      <w:r>
        <w:rPr>
          <w:rFonts w:hint="eastAsia" w:ascii="宋体" w:hAnsi="宋体"/>
          <w:color w:val="000000"/>
          <w:szCs w:val="21"/>
        </w:rPr>
        <w:t>）其他与招标人存在利益关系且可能影响招标公正性的。</w:t>
      </w:r>
    </w:p>
    <w:p>
      <w:pPr>
        <w:spacing w:line="400" w:lineRule="exact"/>
        <w:ind w:firstLine="357" w:firstLineChars="170"/>
        <w:rPr>
          <w:rFonts w:ascii="宋体" w:hAnsi="宋体"/>
          <w:color w:val="000000"/>
          <w:szCs w:val="21"/>
        </w:rPr>
      </w:pPr>
      <w:r>
        <w:rPr>
          <w:rFonts w:hint="eastAsia" w:ascii="宋体" w:hAnsi="宋体"/>
          <w:color w:val="000000"/>
          <w:szCs w:val="21"/>
        </w:rPr>
        <w:t>注：代建单位是指政府通过招标方式对公益型、非经营性政府投资且经发改委批复同意实施代建的项目选择的社会专业化的项目管理企业，代建单位须经过政府采购平台招标中标，并在建设行政主管部门备案，其代建内容包含代为项目业主履行项目施工招标、投资管理、建设实施及竣工验收后移交给使用单位等工作。</w:t>
      </w:r>
    </w:p>
    <w:p>
      <w:pPr>
        <w:spacing w:line="400" w:lineRule="exact"/>
        <w:ind w:firstLine="357" w:firstLineChars="170"/>
        <w:rPr>
          <w:rFonts w:hint="eastAsia" w:ascii="宋体" w:hAnsi="宋体"/>
          <w:color w:val="000000"/>
          <w:szCs w:val="21"/>
        </w:rPr>
      </w:pPr>
      <w:r>
        <w:rPr>
          <w:rFonts w:hint="eastAsia" w:ascii="宋体" w:hAnsi="宋体"/>
          <w:color w:val="000000"/>
          <w:szCs w:val="21"/>
        </w:rPr>
        <w:t>1.4.</w:t>
      </w:r>
      <w:r>
        <w:rPr>
          <w:rFonts w:ascii="宋体" w:hAnsi="宋体"/>
          <w:color w:val="000000"/>
          <w:szCs w:val="21"/>
        </w:rPr>
        <w:t>3</w:t>
      </w:r>
      <w:r>
        <w:rPr>
          <w:rFonts w:hint="eastAsia" w:ascii="宋体" w:hAnsi="宋体"/>
          <w:color w:val="000000"/>
          <w:szCs w:val="21"/>
        </w:rPr>
        <w:t xml:space="preserve"> 单位负责人为同一人或者存在控股、管理关系的不同单位，不得参加同一标段投标或者未划分标段的同一招标项目投标，违反本规定的，相关投标均无效。</w:t>
      </w:r>
    </w:p>
    <w:p>
      <w:pPr>
        <w:spacing w:line="400" w:lineRule="exact"/>
        <w:ind w:firstLine="357" w:firstLineChars="170"/>
        <w:rPr>
          <w:rFonts w:ascii="宋体" w:hAnsi="宋体"/>
          <w:color w:val="000000"/>
          <w:szCs w:val="21"/>
        </w:rPr>
      </w:pPr>
      <w:r>
        <w:rPr>
          <w:rFonts w:hint="eastAsia" w:ascii="宋体" w:hAnsi="宋体"/>
          <w:color w:val="000000"/>
          <w:szCs w:val="21"/>
        </w:rPr>
        <w:t>1.4.</w:t>
      </w:r>
      <w:r>
        <w:rPr>
          <w:rFonts w:ascii="宋体" w:hAnsi="宋体"/>
          <w:color w:val="000000"/>
          <w:szCs w:val="21"/>
        </w:rPr>
        <w:t>4</w:t>
      </w:r>
      <w:r>
        <w:rPr>
          <w:rFonts w:hint="eastAsia" w:ascii="宋体" w:hAnsi="宋体"/>
          <w:color w:val="000000"/>
          <w:szCs w:val="21"/>
        </w:rPr>
        <w:t xml:space="preserve"> 投标人须知前附表规定接受联合体投标的，除应符合本章第1.4.1项、第1.4.</w:t>
      </w:r>
      <w:r>
        <w:rPr>
          <w:rFonts w:ascii="宋体" w:hAnsi="宋体"/>
          <w:color w:val="000000"/>
          <w:szCs w:val="21"/>
        </w:rPr>
        <w:t>2</w:t>
      </w:r>
      <w:r>
        <w:rPr>
          <w:rFonts w:hint="eastAsia" w:ascii="宋体" w:hAnsi="宋体"/>
          <w:color w:val="000000"/>
          <w:szCs w:val="21"/>
        </w:rPr>
        <w:t>项、第1.4.</w:t>
      </w:r>
      <w:r>
        <w:rPr>
          <w:rFonts w:ascii="宋体" w:hAnsi="宋体"/>
          <w:color w:val="000000"/>
          <w:szCs w:val="21"/>
        </w:rPr>
        <w:t>3</w:t>
      </w:r>
      <w:r>
        <w:rPr>
          <w:rFonts w:hint="eastAsia" w:ascii="宋体" w:hAnsi="宋体"/>
          <w:color w:val="000000"/>
          <w:szCs w:val="21"/>
        </w:rPr>
        <w:t>项和投标人须知前附表的要求外，还应遵守以下规定：</w:t>
      </w:r>
    </w:p>
    <w:p>
      <w:pPr>
        <w:spacing w:line="360" w:lineRule="auto"/>
        <w:ind w:firstLine="420" w:firstLineChars="200"/>
        <w:rPr>
          <w:rFonts w:hAnsi="宋体"/>
          <w:color w:val="000000"/>
          <w:szCs w:val="21"/>
        </w:rPr>
      </w:pPr>
      <w:r>
        <w:rPr>
          <w:rFonts w:hAnsi="宋体"/>
          <w:color w:val="000000"/>
          <w:szCs w:val="21"/>
        </w:rPr>
        <w:t>（</w:t>
      </w:r>
      <w:r>
        <w:rPr>
          <w:color w:val="000000"/>
          <w:szCs w:val="21"/>
        </w:rPr>
        <w:t>1</w:t>
      </w:r>
      <w:r>
        <w:rPr>
          <w:rFonts w:hAnsi="宋体"/>
          <w:color w:val="000000"/>
          <w:szCs w:val="21"/>
        </w:rPr>
        <w:t>）联合体各方应按招标文件提供的格式签订联合体协议书，</w:t>
      </w:r>
      <w:r>
        <w:rPr>
          <w:rFonts w:hint="eastAsia" w:hAnsi="宋体"/>
          <w:color w:val="000000"/>
          <w:szCs w:val="21"/>
        </w:rPr>
        <w:t>对联合体各方均具有法律约束力。</w:t>
      </w:r>
    </w:p>
    <w:p>
      <w:pPr>
        <w:spacing w:line="360" w:lineRule="auto"/>
        <w:ind w:firstLine="420" w:firstLineChars="200"/>
        <w:rPr>
          <w:color w:val="000000"/>
          <w:szCs w:val="21"/>
        </w:rPr>
      </w:pPr>
      <w:r>
        <w:rPr>
          <w:rFonts w:hint="eastAsia" w:hAnsi="宋体"/>
          <w:color w:val="000000"/>
          <w:szCs w:val="21"/>
        </w:rPr>
        <w:t>（2）联合体各方应按招标文件提供的格式签订联合体协议书，在该协议书中必须指定联合体牵头人，授权其代表所有联合体成员负责投标和合同实施阶段的主办、协调工作，并约定各方拟承担的工作责任和权利义务。联合体协议书必须加盖所有联合体成员法定单位公章确认。</w:t>
      </w:r>
    </w:p>
    <w:p>
      <w:pPr>
        <w:spacing w:line="360" w:lineRule="auto"/>
        <w:ind w:firstLine="420" w:firstLineChars="200"/>
        <w:rPr>
          <w:color w:val="000000"/>
          <w:szCs w:val="21"/>
        </w:rPr>
      </w:pPr>
      <w:r>
        <w:rPr>
          <w:rFonts w:hAnsi="宋体"/>
          <w:color w:val="000000"/>
          <w:szCs w:val="21"/>
        </w:rPr>
        <w:t>（</w:t>
      </w:r>
      <w:r>
        <w:rPr>
          <w:rFonts w:hint="eastAsia"/>
          <w:color w:val="000000"/>
          <w:szCs w:val="21"/>
        </w:rPr>
        <w:t>3</w:t>
      </w:r>
      <w:r>
        <w:rPr>
          <w:rFonts w:hAnsi="宋体"/>
          <w:color w:val="000000"/>
          <w:szCs w:val="21"/>
        </w:rPr>
        <w:t>）</w:t>
      </w:r>
      <w:r>
        <w:rPr>
          <w:rFonts w:hint="eastAsia" w:hAnsi="宋体"/>
          <w:color w:val="000000"/>
          <w:szCs w:val="21"/>
        </w:rPr>
        <w:t>联合体协议约定设计内容由两个及以上单位共同承担的，按照就低的原则确定联合体设计资质及</w:t>
      </w:r>
      <w:r>
        <w:rPr>
          <w:rFonts w:hAnsi="宋体"/>
          <w:color w:val="000000"/>
          <w:szCs w:val="21"/>
        </w:rPr>
        <w:t>等级</w:t>
      </w:r>
      <w:r>
        <w:rPr>
          <w:rFonts w:hint="eastAsia" w:hAnsi="宋体"/>
          <w:color w:val="000000"/>
          <w:szCs w:val="21"/>
        </w:rPr>
        <w:t>；施工</w:t>
      </w:r>
      <w:r>
        <w:rPr>
          <w:rFonts w:hAnsi="宋体"/>
          <w:color w:val="000000"/>
          <w:szCs w:val="21"/>
        </w:rPr>
        <w:t>内容</w:t>
      </w:r>
      <w:r>
        <w:rPr>
          <w:rFonts w:hint="eastAsia" w:hAnsi="宋体"/>
          <w:color w:val="000000"/>
          <w:szCs w:val="21"/>
        </w:rPr>
        <w:t>由两个及以上单位共同承担的，按照就低的原则确定联合体施工资质及等级。</w:t>
      </w:r>
    </w:p>
    <w:p>
      <w:pPr>
        <w:spacing w:line="360" w:lineRule="auto"/>
        <w:ind w:firstLine="420" w:firstLineChars="200"/>
        <w:rPr>
          <w:rFonts w:hAnsi="宋体"/>
          <w:color w:val="000000"/>
          <w:szCs w:val="21"/>
        </w:rPr>
      </w:pPr>
      <w:r>
        <w:rPr>
          <w:rFonts w:hAnsi="宋体"/>
          <w:color w:val="000000"/>
          <w:szCs w:val="21"/>
        </w:rPr>
        <w:t>（</w:t>
      </w:r>
      <w:r>
        <w:rPr>
          <w:rFonts w:hint="eastAsia"/>
          <w:color w:val="000000"/>
          <w:szCs w:val="21"/>
        </w:rPr>
        <w:t>4</w:t>
      </w:r>
      <w:r>
        <w:rPr>
          <w:rFonts w:hAnsi="宋体"/>
          <w:color w:val="000000"/>
          <w:szCs w:val="21"/>
        </w:rPr>
        <w:t>）</w:t>
      </w:r>
      <w:r>
        <w:rPr>
          <w:rFonts w:hint="eastAsia" w:hAnsi="宋体"/>
          <w:color w:val="000000"/>
          <w:szCs w:val="21"/>
        </w:rPr>
        <w:t>联合体各方签订联合体协议书后，</w:t>
      </w:r>
      <w:r>
        <w:rPr>
          <w:rFonts w:hAnsi="宋体"/>
          <w:color w:val="000000"/>
          <w:szCs w:val="21"/>
        </w:rPr>
        <w:t>联合体各方不得再以自己名义单独或参加其他联合体在同一标段中投标。</w:t>
      </w:r>
      <w:r>
        <w:rPr>
          <w:rFonts w:hint="eastAsia" w:hAnsi="宋体"/>
          <w:color w:val="000000"/>
          <w:szCs w:val="21"/>
        </w:rPr>
        <w:t>如有违反，其投标和与此有关的联合体的投标将被拒绝。</w:t>
      </w:r>
    </w:p>
    <w:p>
      <w:pPr>
        <w:spacing w:line="360" w:lineRule="auto"/>
        <w:ind w:firstLine="420" w:firstLineChars="200"/>
        <w:rPr>
          <w:rFonts w:hAnsi="宋体"/>
          <w:color w:val="000000"/>
          <w:szCs w:val="21"/>
        </w:rPr>
      </w:pPr>
      <w:r>
        <w:rPr>
          <w:rFonts w:hint="eastAsia" w:hAnsi="宋体"/>
          <w:color w:val="000000"/>
          <w:szCs w:val="21"/>
        </w:rPr>
        <w:t>（5）联合体中标后，联合体各方应当共同与招标人签订合同，为履行合同向招标人承担连带责任。联合体牵头人应被授权作为联合体各方的代表，向招标人提交履约担保、承担责任和接受指令，并负责整个合同的全面履行和接受本招标项目的工程咨询服务费的支付。履约担保可以联合体任一</w:t>
      </w:r>
      <w:r>
        <w:rPr>
          <w:rFonts w:hAnsi="宋体"/>
          <w:color w:val="000000"/>
          <w:szCs w:val="21"/>
        </w:rPr>
        <w:t>方</w:t>
      </w:r>
      <w:r>
        <w:rPr>
          <w:rFonts w:hint="eastAsia" w:hAnsi="宋体"/>
          <w:color w:val="000000"/>
          <w:szCs w:val="21"/>
        </w:rPr>
        <w:t>的名义提交。</w:t>
      </w:r>
    </w:p>
    <w:p>
      <w:pPr>
        <w:spacing w:line="360" w:lineRule="auto"/>
        <w:ind w:firstLine="420" w:firstLineChars="200"/>
        <w:rPr>
          <w:rFonts w:hint="eastAsia" w:ascii="宋体" w:hAnsi="宋体"/>
          <w:color w:val="000000"/>
          <w:szCs w:val="21"/>
        </w:rPr>
      </w:pPr>
      <w:r>
        <w:rPr>
          <w:rFonts w:hint="eastAsia" w:hAnsi="宋体"/>
          <w:color w:val="000000"/>
          <w:szCs w:val="21"/>
        </w:rPr>
        <w:t>（6）除非另有规定和说明，本章中的“投标人”一词亦指联合体各方。</w:t>
      </w:r>
    </w:p>
    <w:p>
      <w:pPr>
        <w:spacing w:line="400" w:lineRule="exact"/>
        <w:ind w:firstLine="357" w:firstLineChars="170"/>
        <w:rPr>
          <w:rFonts w:hint="eastAsia" w:ascii="宋体" w:hAnsi="宋体"/>
          <w:color w:val="000000"/>
          <w:szCs w:val="21"/>
        </w:rPr>
      </w:pPr>
      <w:r>
        <w:rPr>
          <w:rFonts w:hint="eastAsia" w:ascii="宋体" w:hAnsi="宋体"/>
          <w:color w:val="000000"/>
          <w:szCs w:val="21"/>
        </w:rPr>
        <w:t>1.4.</w:t>
      </w:r>
      <w:r>
        <w:rPr>
          <w:rFonts w:ascii="宋体" w:hAnsi="宋体"/>
          <w:color w:val="000000"/>
          <w:szCs w:val="21"/>
        </w:rPr>
        <w:t>5</w:t>
      </w:r>
      <w:r>
        <w:rPr>
          <w:rFonts w:hint="eastAsia" w:ascii="宋体" w:hAnsi="宋体"/>
          <w:color w:val="000000"/>
          <w:szCs w:val="21"/>
        </w:rPr>
        <w:t xml:space="preserve"> 是否要求采用装配式技术：见投标人须知前附表。</w:t>
      </w:r>
    </w:p>
    <w:p>
      <w:pPr>
        <w:spacing w:line="400" w:lineRule="exact"/>
        <w:ind w:firstLine="357" w:firstLineChars="170"/>
        <w:rPr>
          <w:rFonts w:hint="eastAsia" w:ascii="宋体" w:hAnsi="宋体"/>
          <w:color w:val="000000"/>
          <w:szCs w:val="21"/>
        </w:rPr>
      </w:pPr>
      <w:r>
        <w:rPr>
          <w:rFonts w:hint="eastAsia" w:ascii="宋体" w:hAnsi="宋体"/>
          <w:color w:val="000000"/>
          <w:szCs w:val="21"/>
        </w:rPr>
        <w:t>1.4.</w:t>
      </w:r>
      <w:r>
        <w:rPr>
          <w:rFonts w:ascii="宋体" w:hAnsi="宋体"/>
          <w:color w:val="000000"/>
          <w:szCs w:val="21"/>
        </w:rPr>
        <w:t>6</w:t>
      </w:r>
      <w:r>
        <w:rPr>
          <w:rFonts w:hint="eastAsia" w:ascii="宋体" w:hAnsi="宋体"/>
          <w:color w:val="000000"/>
          <w:szCs w:val="21"/>
        </w:rPr>
        <w:t xml:space="preserve"> 是否要求采用建筑信息模型（BIM）技术：见投标人须知前附表。</w:t>
      </w:r>
    </w:p>
    <w:p>
      <w:pPr>
        <w:pStyle w:val="5"/>
        <w:rPr>
          <w:rFonts w:hint="eastAsia"/>
          <w:color w:val="000000"/>
        </w:rPr>
      </w:pPr>
      <w:bookmarkStart w:id="254" w:name="_Toc282823819"/>
      <w:bookmarkStart w:id="255" w:name="_Toc282843643"/>
      <w:bookmarkStart w:id="256" w:name="_Toc419364232"/>
      <w:bookmarkStart w:id="257" w:name="_Toc433988575"/>
      <w:bookmarkStart w:id="258" w:name="_Toc419321141"/>
      <w:bookmarkStart w:id="259" w:name="_Toc419363508"/>
      <w:bookmarkStart w:id="260" w:name="_Toc419320105"/>
      <w:r>
        <w:rPr>
          <w:rFonts w:hint="eastAsia"/>
          <w:color w:val="000000"/>
        </w:rPr>
        <w:t>1.5 费用承担</w:t>
      </w:r>
      <w:bookmarkEnd w:id="254"/>
      <w:bookmarkEnd w:id="255"/>
      <w:r>
        <w:rPr>
          <w:rFonts w:hint="eastAsia"/>
          <w:color w:val="000000"/>
        </w:rPr>
        <w:t>和设计成果补偿</w:t>
      </w:r>
      <w:bookmarkEnd w:id="256"/>
      <w:bookmarkEnd w:id="257"/>
      <w:bookmarkEnd w:id="258"/>
      <w:bookmarkEnd w:id="259"/>
      <w:bookmarkEnd w:id="260"/>
    </w:p>
    <w:p>
      <w:pPr>
        <w:spacing w:line="400" w:lineRule="exact"/>
        <w:ind w:firstLine="357" w:firstLineChars="170"/>
        <w:rPr>
          <w:rFonts w:ascii="宋体" w:hAnsi="宋体"/>
          <w:color w:val="000000"/>
          <w:szCs w:val="21"/>
        </w:rPr>
      </w:pPr>
      <w:r>
        <w:rPr>
          <w:rFonts w:ascii="宋体" w:hAnsi="宋体"/>
          <w:color w:val="000000"/>
          <w:szCs w:val="21"/>
        </w:rPr>
        <w:t xml:space="preserve">1.5.1 </w:t>
      </w:r>
      <w:r>
        <w:rPr>
          <w:rFonts w:hint="eastAsia" w:ascii="宋体" w:hAnsi="宋体"/>
          <w:color w:val="000000"/>
          <w:szCs w:val="21"/>
        </w:rPr>
        <w:t>投标人准备和参加投标活动发生的费用自理。</w:t>
      </w:r>
    </w:p>
    <w:p>
      <w:pPr>
        <w:spacing w:line="400" w:lineRule="exact"/>
        <w:ind w:firstLine="357" w:firstLineChars="170"/>
        <w:rPr>
          <w:rFonts w:hint="eastAsia" w:ascii="宋体" w:hAnsi="宋体"/>
          <w:color w:val="000000"/>
          <w:szCs w:val="21"/>
        </w:rPr>
      </w:pPr>
      <w:r>
        <w:rPr>
          <w:rFonts w:ascii="宋体" w:hAnsi="宋体"/>
          <w:color w:val="000000"/>
          <w:szCs w:val="21"/>
        </w:rPr>
        <w:t xml:space="preserve">1.5.2 </w:t>
      </w:r>
      <w:r>
        <w:rPr>
          <w:rFonts w:hint="eastAsia" w:ascii="宋体" w:hAnsi="宋体"/>
          <w:color w:val="000000"/>
          <w:szCs w:val="21"/>
        </w:rPr>
        <w:t>招标人对符合招标文件规定的未中标人的设计成果进行补偿的，按投标人须知前附表规定给予补偿，并有权免费使用未中标人设计成果。招标人对符合招标文件规定的未中标人的设计成果不进行补偿的，招标人使用未中标人设计成果的，应征得该投标人同意，并支付使用费。</w:t>
      </w:r>
    </w:p>
    <w:p>
      <w:pPr>
        <w:pStyle w:val="5"/>
        <w:rPr>
          <w:rFonts w:hint="eastAsia"/>
          <w:color w:val="000000"/>
        </w:rPr>
      </w:pPr>
      <w:bookmarkStart w:id="261" w:name="_Toc282823820"/>
      <w:bookmarkStart w:id="262" w:name="_Toc419321142"/>
      <w:bookmarkStart w:id="263" w:name="_Toc419320106"/>
      <w:bookmarkStart w:id="264" w:name="_Toc433988576"/>
      <w:bookmarkStart w:id="265" w:name="_Toc419364233"/>
      <w:bookmarkStart w:id="266" w:name="_Toc419363509"/>
      <w:bookmarkStart w:id="267" w:name="_Toc282843644"/>
      <w:r>
        <w:rPr>
          <w:rFonts w:hint="eastAsia"/>
          <w:color w:val="000000"/>
        </w:rPr>
        <w:t>1.6 保密</w:t>
      </w:r>
      <w:bookmarkEnd w:id="261"/>
      <w:bookmarkEnd w:id="262"/>
      <w:bookmarkEnd w:id="263"/>
      <w:bookmarkEnd w:id="264"/>
      <w:bookmarkEnd w:id="265"/>
      <w:bookmarkEnd w:id="266"/>
      <w:bookmarkEnd w:id="267"/>
    </w:p>
    <w:p>
      <w:pPr>
        <w:spacing w:line="400" w:lineRule="exact"/>
        <w:ind w:firstLine="357" w:firstLineChars="170"/>
        <w:rPr>
          <w:rFonts w:hint="eastAsia" w:ascii="宋体" w:hAnsi="宋体"/>
          <w:color w:val="000000"/>
          <w:szCs w:val="21"/>
        </w:rPr>
      </w:pPr>
      <w:r>
        <w:rPr>
          <w:rFonts w:hint="eastAsia" w:ascii="宋体" w:hAnsi="宋体"/>
          <w:color w:val="000000"/>
          <w:szCs w:val="21"/>
        </w:rPr>
        <w:t>参与招标投标活动的各方应对招标文件和投标文件中的商业和技术等秘密保密，违者应对由此造成的后果承担法律责任。</w:t>
      </w:r>
    </w:p>
    <w:p>
      <w:pPr>
        <w:pStyle w:val="5"/>
        <w:rPr>
          <w:rFonts w:hint="eastAsia"/>
          <w:color w:val="000000"/>
        </w:rPr>
      </w:pPr>
      <w:bookmarkStart w:id="268" w:name="_Toc282843645"/>
      <w:bookmarkStart w:id="269" w:name="_Toc419321143"/>
      <w:bookmarkStart w:id="270" w:name="_Toc419320107"/>
      <w:bookmarkStart w:id="271" w:name="_Toc282823821"/>
      <w:bookmarkStart w:id="272" w:name="_Toc419363510"/>
      <w:bookmarkStart w:id="273" w:name="_Toc419364234"/>
      <w:bookmarkStart w:id="274" w:name="_Toc433988577"/>
      <w:r>
        <w:rPr>
          <w:rFonts w:hint="eastAsia"/>
          <w:color w:val="000000"/>
        </w:rPr>
        <w:t>1.7 语言文字</w:t>
      </w:r>
      <w:bookmarkEnd w:id="268"/>
      <w:bookmarkEnd w:id="269"/>
      <w:bookmarkEnd w:id="270"/>
      <w:bookmarkEnd w:id="271"/>
      <w:bookmarkEnd w:id="272"/>
      <w:bookmarkEnd w:id="273"/>
      <w:bookmarkEnd w:id="274"/>
    </w:p>
    <w:p>
      <w:pPr>
        <w:spacing w:line="400" w:lineRule="exact"/>
        <w:ind w:firstLine="357" w:firstLineChars="170"/>
        <w:rPr>
          <w:rFonts w:hint="eastAsia" w:ascii="宋体" w:hAnsi="宋体"/>
          <w:color w:val="000000"/>
          <w:szCs w:val="21"/>
        </w:rPr>
      </w:pPr>
      <w:r>
        <w:rPr>
          <w:rFonts w:hint="eastAsia" w:ascii="宋体" w:hAnsi="宋体"/>
          <w:color w:val="000000"/>
          <w:szCs w:val="21"/>
        </w:rPr>
        <w:t>除专用术语外，与招标投标有关的语言均使用中文。必要时专用术语应附有中文注释。</w:t>
      </w:r>
    </w:p>
    <w:p>
      <w:pPr>
        <w:pStyle w:val="5"/>
        <w:rPr>
          <w:rFonts w:hint="eastAsia"/>
          <w:color w:val="000000"/>
        </w:rPr>
      </w:pPr>
      <w:bookmarkStart w:id="275" w:name="_Toc282823822"/>
      <w:bookmarkStart w:id="276" w:name="_Toc282843646"/>
      <w:bookmarkStart w:id="277" w:name="_Toc419320108"/>
      <w:bookmarkStart w:id="278" w:name="_Toc419363511"/>
      <w:bookmarkStart w:id="279" w:name="_Toc419321144"/>
      <w:bookmarkStart w:id="280" w:name="_Toc433988578"/>
      <w:bookmarkStart w:id="281" w:name="_Toc419364235"/>
      <w:r>
        <w:rPr>
          <w:rFonts w:hint="eastAsia"/>
          <w:color w:val="000000"/>
        </w:rPr>
        <w:t>1.8 计量单位</w:t>
      </w:r>
      <w:bookmarkEnd w:id="275"/>
      <w:bookmarkEnd w:id="276"/>
      <w:bookmarkEnd w:id="277"/>
      <w:bookmarkEnd w:id="278"/>
      <w:bookmarkEnd w:id="279"/>
      <w:bookmarkEnd w:id="280"/>
      <w:bookmarkEnd w:id="281"/>
    </w:p>
    <w:p>
      <w:pPr>
        <w:spacing w:line="400" w:lineRule="exact"/>
        <w:ind w:firstLine="357" w:firstLineChars="170"/>
        <w:rPr>
          <w:rFonts w:ascii="宋体" w:hAnsi="宋体"/>
          <w:color w:val="000000"/>
          <w:szCs w:val="21"/>
        </w:rPr>
      </w:pPr>
      <w:r>
        <w:rPr>
          <w:rFonts w:hint="eastAsia" w:ascii="宋体" w:hAnsi="宋体"/>
          <w:color w:val="000000"/>
          <w:szCs w:val="21"/>
        </w:rPr>
        <w:t>所有计量均采用中华人民共和国法定计量单位。</w:t>
      </w:r>
    </w:p>
    <w:p>
      <w:pPr>
        <w:pStyle w:val="5"/>
        <w:rPr>
          <w:color w:val="000000"/>
        </w:rPr>
      </w:pPr>
      <w:bookmarkStart w:id="282" w:name="_Toc459567743"/>
      <w:bookmarkStart w:id="283" w:name="_Toc56625508"/>
      <w:r>
        <w:rPr>
          <w:color w:val="000000"/>
        </w:rPr>
        <w:t>1.9</w:t>
      </w:r>
      <w:r>
        <w:rPr>
          <w:rFonts w:hint="eastAsia"/>
          <w:color w:val="000000"/>
        </w:rPr>
        <w:t xml:space="preserve"> </w:t>
      </w:r>
      <w:r>
        <w:rPr>
          <w:color w:val="000000"/>
        </w:rPr>
        <w:t>计价货币</w:t>
      </w:r>
      <w:bookmarkEnd w:id="282"/>
      <w:bookmarkEnd w:id="283"/>
    </w:p>
    <w:p>
      <w:pPr>
        <w:spacing w:line="360" w:lineRule="auto"/>
        <w:ind w:firstLine="420" w:firstLineChars="200"/>
        <w:rPr>
          <w:color w:val="000000"/>
          <w:szCs w:val="21"/>
        </w:rPr>
      </w:pPr>
      <w:r>
        <w:rPr>
          <w:rFonts w:hAnsi="宋体"/>
          <w:color w:val="000000"/>
          <w:szCs w:val="21"/>
        </w:rPr>
        <w:t>本招标投标涉及计价货币的，均为人民币。</w:t>
      </w:r>
    </w:p>
    <w:p>
      <w:pPr>
        <w:spacing w:line="400" w:lineRule="exact"/>
        <w:ind w:firstLine="357" w:firstLineChars="170"/>
        <w:rPr>
          <w:rFonts w:hint="eastAsia" w:ascii="宋体" w:hAnsi="宋体"/>
          <w:color w:val="000000"/>
          <w:szCs w:val="21"/>
        </w:rPr>
      </w:pPr>
    </w:p>
    <w:p>
      <w:pPr>
        <w:pStyle w:val="5"/>
        <w:rPr>
          <w:rFonts w:hint="eastAsia"/>
          <w:color w:val="000000"/>
        </w:rPr>
      </w:pPr>
      <w:bookmarkStart w:id="284" w:name="_Toc419321145"/>
      <w:bookmarkStart w:id="285" w:name="_Toc419363512"/>
      <w:bookmarkStart w:id="286" w:name="_Toc419364236"/>
      <w:bookmarkStart w:id="287" w:name="_Toc433988579"/>
      <w:bookmarkStart w:id="288" w:name="_Toc282823823"/>
      <w:bookmarkStart w:id="289" w:name="_Toc282843647"/>
      <w:bookmarkStart w:id="290" w:name="_Toc419320109"/>
      <w:r>
        <w:rPr>
          <w:rFonts w:hint="eastAsia"/>
          <w:color w:val="000000"/>
        </w:rPr>
        <w:t>1.</w:t>
      </w:r>
      <w:r>
        <w:rPr>
          <w:color w:val="000000"/>
        </w:rPr>
        <w:t>10</w:t>
      </w:r>
      <w:r>
        <w:rPr>
          <w:rFonts w:hint="eastAsia"/>
          <w:color w:val="000000"/>
        </w:rPr>
        <w:t xml:space="preserve"> 踏勘现场</w:t>
      </w:r>
      <w:bookmarkEnd w:id="284"/>
      <w:bookmarkEnd w:id="285"/>
      <w:bookmarkEnd w:id="286"/>
      <w:bookmarkEnd w:id="287"/>
      <w:bookmarkEnd w:id="288"/>
      <w:bookmarkEnd w:id="289"/>
      <w:bookmarkEnd w:id="290"/>
    </w:p>
    <w:p>
      <w:pPr>
        <w:spacing w:line="400" w:lineRule="exact"/>
        <w:ind w:firstLine="357" w:firstLineChars="170"/>
        <w:rPr>
          <w:rFonts w:hint="eastAsia" w:ascii="宋体" w:hAnsi="宋体"/>
          <w:color w:val="000000"/>
          <w:szCs w:val="21"/>
        </w:rPr>
      </w:pPr>
      <w:r>
        <w:rPr>
          <w:rFonts w:hint="eastAsia" w:ascii="宋体" w:hAnsi="宋体"/>
          <w:color w:val="000000"/>
          <w:szCs w:val="21"/>
        </w:rPr>
        <w:t>不组织</w:t>
      </w:r>
    </w:p>
    <w:p>
      <w:pPr>
        <w:pStyle w:val="5"/>
        <w:rPr>
          <w:rFonts w:hint="eastAsia"/>
          <w:color w:val="000000"/>
        </w:rPr>
      </w:pPr>
      <w:bookmarkStart w:id="291" w:name="_Toc282823824"/>
      <w:bookmarkStart w:id="292" w:name="_Toc282843648"/>
      <w:bookmarkStart w:id="293" w:name="_Toc419320110"/>
      <w:bookmarkStart w:id="294" w:name="_Toc419363513"/>
      <w:bookmarkStart w:id="295" w:name="_Toc433988580"/>
      <w:bookmarkStart w:id="296" w:name="_Toc419321146"/>
      <w:bookmarkStart w:id="297" w:name="_Toc419364237"/>
      <w:r>
        <w:rPr>
          <w:rFonts w:hint="eastAsia"/>
          <w:color w:val="000000"/>
        </w:rPr>
        <w:t>1.1</w:t>
      </w:r>
      <w:r>
        <w:rPr>
          <w:color w:val="000000"/>
        </w:rPr>
        <w:t>1</w:t>
      </w:r>
      <w:r>
        <w:rPr>
          <w:rFonts w:hint="eastAsia"/>
          <w:color w:val="000000"/>
        </w:rPr>
        <w:t xml:space="preserve"> 投标预备会</w:t>
      </w:r>
      <w:bookmarkEnd w:id="291"/>
      <w:bookmarkEnd w:id="292"/>
      <w:bookmarkEnd w:id="293"/>
      <w:bookmarkEnd w:id="294"/>
      <w:bookmarkEnd w:id="295"/>
      <w:bookmarkEnd w:id="296"/>
      <w:bookmarkEnd w:id="297"/>
    </w:p>
    <w:p>
      <w:pPr>
        <w:spacing w:line="400" w:lineRule="exact"/>
        <w:ind w:firstLine="357" w:firstLineChars="170"/>
        <w:rPr>
          <w:rFonts w:ascii="宋体" w:hAnsi="宋体"/>
          <w:color w:val="000000"/>
          <w:szCs w:val="21"/>
        </w:rPr>
      </w:pPr>
      <w:r>
        <w:rPr>
          <w:rFonts w:ascii="宋体" w:hAnsi="宋体"/>
          <w:color w:val="000000"/>
          <w:szCs w:val="21"/>
        </w:rPr>
        <w:t>1.1</w:t>
      </w:r>
      <w:r>
        <w:rPr>
          <w:rFonts w:hint="eastAsia" w:ascii="宋体" w:hAnsi="宋体"/>
          <w:color w:val="000000"/>
          <w:szCs w:val="21"/>
        </w:rPr>
        <w:t>1</w:t>
      </w:r>
      <w:r>
        <w:rPr>
          <w:rFonts w:ascii="宋体" w:hAnsi="宋体"/>
          <w:color w:val="000000"/>
          <w:szCs w:val="21"/>
        </w:rPr>
        <w:t xml:space="preserve">.1 </w:t>
      </w:r>
      <w:r>
        <w:rPr>
          <w:rFonts w:hint="eastAsia" w:ascii="宋体" w:hAnsi="宋体"/>
          <w:color w:val="000000"/>
          <w:szCs w:val="21"/>
        </w:rPr>
        <w:t>投标人须知前附表规定召开投标预备会的，招标人按投标人须知前附表规定的时间和地点召开投标预备会，澄清投标人提出的问题。</w:t>
      </w:r>
    </w:p>
    <w:p>
      <w:pPr>
        <w:spacing w:line="400" w:lineRule="exact"/>
        <w:ind w:firstLine="357" w:firstLineChars="170"/>
        <w:rPr>
          <w:rFonts w:ascii="宋体" w:hAnsi="宋体"/>
          <w:color w:val="000000"/>
          <w:szCs w:val="21"/>
        </w:rPr>
      </w:pPr>
      <w:r>
        <w:rPr>
          <w:rFonts w:ascii="宋体" w:hAnsi="宋体"/>
          <w:color w:val="000000"/>
          <w:szCs w:val="21"/>
        </w:rPr>
        <w:t>1.1</w:t>
      </w:r>
      <w:r>
        <w:rPr>
          <w:rFonts w:hint="eastAsia" w:ascii="宋体" w:hAnsi="宋体"/>
          <w:color w:val="000000"/>
          <w:szCs w:val="21"/>
        </w:rPr>
        <w:t>1</w:t>
      </w:r>
      <w:r>
        <w:rPr>
          <w:rFonts w:ascii="宋体" w:hAnsi="宋体"/>
          <w:color w:val="000000"/>
          <w:szCs w:val="21"/>
        </w:rPr>
        <w:t xml:space="preserve">.2 </w:t>
      </w:r>
      <w:r>
        <w:rPr>
          <w:rFonts w:hint="eastAsia" w:ascii="宋体" w:hAnsi="宋体"/>
          <w:color w:val="000000"/>
          <w:szCs w:val="21"/>
        </w:rPr>
        <w:t>投标人应在投标人须知前附表规定的时间前，以书面形式将提出的问题送达招标人，以便招标人在会议期间澄清。</w:t>
      </w:r>
    </w:p>
    <w:p>
      <w:pPr>
        <w:spacing w:line="400" w:lineRule="exact"/>
        <w:ind w:firstLine="357" w:firstLineChars="170"/>
        <w:rPr>
          <w:rFonts w:hint="eastAsia" w:ascii="宋体" w:hAnsi="宋体"/>
          <w:color w:val="000000"/>
          <w:szCs w:val="21"/>
        </w:rPr>
      </w:pPr>
      <w:r>
        <w:rPr>
          <w:rFonts w:ascii="宋体" w:hAnsi="宋体"/>
          <w:color w:val="000000"/>
          <w:szCs w:val="21"/>
        </w:rPr>
        <w:t>1.1</w:t>
      </w:r>
      <w:r>
        <w:rPr>
          <w:rFonts w:hint="eastAsia" w:ascii="宋体" w:hAnsi="宋体"/>
          <w:color w:val="000000"/>
          <w:szCs w:val="21"/>
        </w:rPr>
        <w:t>1</w:t>
      </w:r>
      <w:r>
        <w:rPr>
          <w:rFonts w:ascii="宋体" w:hAnsi="宋体"/>
          <w:color w:val="000000"/>
          <w:szCs w:val="21"/>
        </w:rPr>
        <w:t xml:space="preserve">.3 </w:t>
      </w:r>
      <w:r>
        <w:rPr>
          <w:rFonts w:hint="eastAsia" w:ascii="宋体" w:hAnsi="宋体"/>
          <w:color w:val="000000"/>
          <w:szCs w:val="21"/>
        </w:rPr>
        <w:t>投标预备会后，招标人在投标人须知前附表规定的时间内，将对投标人所提问题的澄清，通过广西壮族自治区公共资源交易平台系统发</w:t>
      </w:r>
      <w:r>
        <w:rPr>
          <w:rFonts w:ascii="宋体" w:hAnsi="宋体"/>
          <w:color w:val="000000"/>
          <w:szCs w:val="21"/>
        </w:rPr>
        <w:t>布</w:t>
      </w:r>
      <w:r>
        <w:rPr>
          <w:rFonts w:hint="eastAsia" w:ascii="宋体" w:hAnsi="宋体"/>
          <w:color w:val="000000"/>
          <w:szCs w:val="21"/>
        </w:rPr>
        <w:t>澄清。该澄清内容为招标文件的组成部分。</w:t>
      </w:r>
    </w:p>
    <w:p>
      <w:pPr>
        <w:pStyle w:val="5"/>
        <w:rPr>
          <w:rFonts w:hint="eastAsia"/>
          <w:color w:val="000000"/>
        </w:rPr>
      </w:pPr>
      <w:bookmarkStart w:id="298" w:name="_Toc282823825"/>
      <w:bookmarkStart w:id="299" w:name="_Toc282843649"/>
      <w:bookmarkStart w:id="300" w:name="_Toc419320111"/>
      <w:bookmarkStart w:id="301" w:name="_Toc419321147"/>
      <w:bookmarkStart w:id="302" w:name="_Toc419363514"/>
      <w:bookmarkStart w:id="303" w:name="_Toc419364238"/>
      <w:bookmarkStart w:id="304" w:name="_Toc433988581"/>
      <w:r>
        <w:rPr>
          <w:rFonts w:hint="eastAsia"/>
          <w:color w:val="000000"/>
        </w:rPr>
        <w:t>1.1</w:t>
      </w:r>
      <w:r>
        <w:rPr>
          <w:color w:val="000000"/>
        </w:rPr>
        <w:t>2</w:t>
      </w:r>
      <w:r>
        <w:rPr>
          <w:rFonts w:hint="eastAsia"/>
          <w:color w:val="000000"/>
        </w:rPr>
        <w:t xml:space="preserve"> 分包</w:t>
      </w:r>
      <w:bookmarkEnd w:id="298"/>
      <w:bookmarkEnd w:id="299"/>
      <w:bookmarkEnd w:id="300"/>
      <w:bookmarkEnd w:id="301"/>
      <w:bookmarkEnd w:id="302"/>
      <w:bookmarkEnd w:id="303"/>
      <w:bookmarkEnd w:id="304"/>
    </w:p>
    <w:p>
      <w:pPr>
        <w:spacing w:line="400" w:lineRule="exact"/>
        <w:ind w:firstLine="357" w:firstLineChars="170"/>
        <w:rPr>
          <w:rFonts w:hint="eastAsia"/>
          <w:color w:val="000000"/>
        </w:rPr>
      </w:pPr>
      <w:bookmarkStart w:id="305" w:name="_Toc282843650"/>
      <w:bookmarkStart w:id="306" w:name="_Toc282823826"/>
      <w:r>
        <w:rPr>
          <w:rFonts w:hint="eastAsia" w:ascii="宋体" w:hAnsi="宋体"/>
          <w:color w:val="000000"/>
          <w:szCs w:val="21"/>
        </w:rPr>
        <w:t>由分包人实施的非主体、非关键性工作，投标人应当按照第五章“发包人要求”的规定提供分包人候选名单及其相应资料。</w:t>
      </w:r>
    </w:p>
    <w:bookmarkEnd w:id="305"/>
    <w:bookmarkEnd w:id="306"/>
    <w:p>
      <w:pPr>
        <w:pStyle w:val="4"/>
        <w:rPr>
          <w:color w:val="000000"/>
        </w:rPr>
      </w:pPr>
      <w:bookmarkStart w:id="307" w:name="_Toc414553654"/>
      <w:bookmarkStart w:id="308" w:name="_Toc419320113"/>
      <w:bookmarkStart w:id="309" w:name="_Toc419321149"/>
      <w:bookmarkStart w:id="310" w:name="_Toc419363516"/>
      <w:bookmarkStart w:id="311" w:name="_Toc419364240"/>
      <w:bookmarkStart w:id="312" w:name="_Toc433988583"/>
      <w:bookmarkStart w:id="313" w:name="_Toc59203007"/>
      <w:bookmarkStart w:id="314" w:name="_Toc282823827"/>
      <w:bookmarkStart w:id="315" w:name="_Toc396778059"/>
      <w:bookmarkStart w:id="316" w:name="_Toc283128905"/>
      <w:r>
        <w:rPr>
          <w:color w:val="000000"/>
        </w:rPr>
        <w:t>2</w:t>
      </w:r>
      <w:r>
        <w:rPr>
          <w:rFonts w:hint="eastAsia"/>
          <w:color w:val="000000"/>
        </w:rPr>
        <w:t>．招标文件</w:t>
      </w:r>
      <w:bookmarkEnd w:id="307"/>
      <w:bookmarkEnd w:id="308"/>
      <w:bookmarkEnd w:id="309"/>
      <w:bookmarkEnd w:id="310"/>
      <w:bookmarkEnd w:id="311"/>
      <w:bookmarkEnd w:id="312"/>
      <w:bookmarkEnd w:id="313"/>
      <w:bookmarkEnd w:id="314"/>
      <w:bookmarkEnd w:id="315"/>
      <w:bookmarkEnd w:id="316"/>
    </w:p>
    <w:p>
      <w:pPr>
        <w:pStyle w:val="5"/>
        <w:rPr>
          <w:color w:val="000000"/>
        </w:rPr>
      </w:pPr>
      <w:bookmarkStart w:id="317" w:name="_Toc419320114"/>
      <w:bookmarkStart w:id="318" w:name="_Toc419363517"/>
      <w:bookmarkStart w:id="319" w:name="_Toc419321150"/>
      <w:bookmarkStart w:id="320" w:name="_Toc419364241"/>
      <w:bookmarkStart w:id="321" w:name="_Toc433988584"/>
      <w:r>
        <w:rPr>
          <w:color w:val="000000"/>
        </w:rPr>
        <w:t xml:space="preserve">2.1 </w:t>
      </w:r>
      <w:r>
        <w:rPr>
          <w:rFonts w:hint="eastAsia"/>
          <w:color w:val="000000"/>
        </w:rPr>
        <w:t>招标文件的组成</w:t>
      </w:r>
      <w:bookmarkEnd w:id="317"/>
      <w:bookmarkEnd w:id="318"/>
      <w:bookmarkEnd w:id="319"/>
      <w:bookmarkEnd w:id="320"/>
      <w:bookmarkEnd w:id="321"/>
    </w:p>
    <w:p>
      <w:pPr>
        <w:spacing w:line="400" w:lineRule="exact"/>
        <w:ind w:firstLine="420" w:firstLineChars="200"/>
        <w:jc w:val="left"/>
        <w:rPr>
          <w:rFonts w:hint="eastAsia"/>
          <w:color w:val="000000"/>
          <w:szCs w:val="21"/>
        </w:rPr>
      </w:pPr>
      <w:r>
        <w:rPr>
          <w:rFonts w:hint="eastAsia"/>
          <w:color w:val="000000"/>
          <w:szCs w:val="21"/>
        </w:rPr>
        <w:t>本招标文件包括：</w:t>
      </w:r>
    </w:p>
    <w:p>
      <w:pPr>
        <w:autoSpaceDE w:val="0"/>
        <w:autoSpaceDN w:val="0"/>
        <w:adjustRightInd w:val="0"/>
        <w:spacing w:line="400" w:lineRule="exact"/>
        <w:ind w:firstLine="359" w:firstLineChars="171"/>
        <w:jc w:val="left"/>
        <w:rPr>
          <w:rFonts w:ascii="宋体" w:hAnsi="宋体"/>
          <w:bCs/>
          <w:color w:val="000000"/>
          <w:szCs w:val="21"/>
        </w:rPr>
      </w:pPr>
      <w:r>
        <w:rPr>
          <w:rFonts w:hint="eastAsia" w:ascii="宋体" w:hAnsi="宋体"/>
          <w:bCs/>
          <w:color w:val="000000"/>
          <w:szCs w:val="21"/>
        </w:rPr>
        <w:t>（</w:t>
      </w:r>
      <w:r>
        <w:rPr>
          <w:rFonts w:ascii="宋体" w:hAnsi="宋体"/>
          <w:bCs/>
          <w:color w:val="000000"/>
          <w:szCs w:val="21"/>
        </w:rPr>
        <w:t>1</w:t>
      </w:r>
      <w:r>
        <w:rPr>
          <w:rFonts w:hint="eastAsia" w:ascii="宋体" w:hAnsi="宋体"/>
          <w:bCs/>
          <w:color w:val="000000"/>
          <w:szCs w:val="21"/>
        </w:rPr>
        <w:t>）招标公告（或投标邀请函）；</w:t>
      </w:r>
    </w:p>
    <w:p>
      <w:pPr>
        <w:autoSpaceDE w:val="0"/>
        <w:autoSpaceDN w:val="0"/>
        <w:adjustRightInd w:val="0"/>
        <w:spacing w:line="400" w:lineRule="exact"/>
        <w:ind w:firstLine="359" w:firstLineChars="171"/>
        <w:jc w:val="left"/>
        <w:rPr>
          <w:rFonts w:ascii="宋体" w:hAnsi="宋体"/>
          <w:bCs/>
          <w:color w:val="000000"/>
          <w:szCs w:val="21"/>
        </w:rPr>
      </w:pPr>
      <w:r>
        <w:rPr>
          <w:rFonts w:hint="eastAsia" w:ascii="宋体" w:hAnsi="宋体"/>
          <w:bCs/>
          <w:color w:val="000000"/>
          <w:szCs w:val="21"/>
        </w:rPr>
        <w:t>（</w:t>
      </w:r>
      <w:r>
        <w:rPr>
          <w:rFonts w:ascii="宋体" w:hAnsi="宋体"/>
          <w:bCs/>
          <w:color w:val="000000"/>
          <w:szCs w:val="21"/>
        </w:rPr>
        <w:t>2</w:t>
      </w:r>
      <w:r>
        <w:rPr>
          <w:rFonts w:hint="eastAsia" w:ascii="宋体" w:hAnsi="宋体"/>
          <w:bCs/>
          <w:color w:val="000000"/>
          <w:szCs w:val="21"/>
        </w:rPr>
        <w:t>）投标人须知；</w:t>
      </w:r>
    </w:p>
    <w:p>
      <w:pPr>
        <w:autoSpaceDE w:val="0"/>
        <w:autoSpaceDN w:val="0"/>
        <w:adjustRightInd w:val="0"/>
        <w:spacing w:line="400" w:lineRule="exact"/>
        <w:ind w:firstLine="359" w:firstLineChars="171"/>
        <w:jc w:val="left"/>
        <w:rPr>
          <w:rFonts w:ascii="宋体" w:hAnsi="宋体"/>
          <w:bCs/>
          <w:color w:val="000000"/>
          <w:szCs w:val="21"/>
        </w:rPr>
      </w:pPr>
      <w:r>
        <w:rPr>
          <w:rFonts w:hint="eastAsia" w:ascii="宋体" w:hAnsi="宋体"/>
          <w:bCs/>
          <w:color w:val="000000"/>
          <w:szCs w:val="21"/>
        </w:rPr>
        <w:t>（</w:t>
      </w:r>
      <w:r>
        <w:rPr>
          <w:rFonts w:ascii="宋体" w:hAnsi="宋体"/>
          <w:bCs/>
          <w:color w:val="000000"/>
          <w:szCs w:val="21"/>
        </w:rPr>
        <w:t>3</w:t>
      </w:r>
      <w:r>
        <w:rPr>
          <w:rFonts w:hint="eastAsia" w:ascii="宋体" w:hAnsi="宋体"/>
          <w:bCs/>
          <w:color w:val="000000"/>
          <w:szCs w:val="21"/>
        </w:rPr>
        <w:t>）评标办法；</w:t>
      </w:r>
    </w:p>
    <w:p>
      <w:pPr>
        <w:autoSpaceDE w:val="0"/>
        <w:autoSpaceDN w:val="0"/>
        <w:adjustRightInd w:val="0"/>
        <w:spacing w:line="400" w:lineRule="exact"/>
        <w:ind w:firstLine="359" w:firstLineChars="171"/>
        <w:jc w:val="left"/>
        <w:rPr>
          <w:rFonts w:hint="eastAsia" w:ascii="宋体" w:hAnsi="宋体"/>
          <w:bCs/>
          <w:color w:val="000000"/>
          <w:szCs w:val="21"/>
        </w:rPr>
      </w:pPr>
      <w:r>
        <w:rPr>
          <w:rFonts w:hint="eastAsia" w:ascii="宋体" w:hAnsi="宋体"/>
          <w:bCs/>
          <w:color w:val="000000"/>
          <w:szCs w:val="21"/>
        </w:rPr>
        <w:t>（4）合同条款及格式；</w:t>
      </w:r>
    </w:p>
    <w:p>
      <w:pPr>
        <w:autoSpaceDE w:val="0"/>
        <w:autoSpaceDN w:val="0"/>
        <w:adjustRightInd w:val="0"/>
        <w:spacing w:line="400" w:lineRule="exact"/>
        <w:ind w:firstLine="359" w:firstLineChars="171"/>
        <w:jc w:val="left"/>
        <w:rPr>
          <w:rFonts w:hint="eastAsia" w:ascii="宋体" w:hAnsi="宋体"/>
          <w:bCs/>
          <w:color w:val="000000"/>
          <w:szCs w:val="21"/>
        </w:rPr>
      </w:pPr>
      <w:r>
        <w:rPr>
          <w:rFonts w:hint="eastAsia" w:ascii="宋体" w:hAnsi="宋体"/>
          <w:bCs/>
          <w:color w:val="000000"/>
          <w:szCs w:val="21"/>
        </w:rPr>
        <w:t>（5）发包人要求；</w:t>
      </w:r>
    </w:p>
    <w:p>
      <w:pPr>
        <w:autoSpaceDE w:val="0"/>
        <w:autoSpaceDN w:val="0"/>
        <w:adjustRightInd w:val="0"/>
        <w:spacing w:line="400" w:lineRule="exact"/>
        <w:ind w:firstLine="359" w:firstLineChars="171"/>
        <w:jc w:val="left"/>
        <w:rPr>
          <w:rFonts w:ascii="宋体" w:hAnsi="宋体"/>
          <w:bCs/>
          <w:color w:val="000000"/>
          <w:szCs w:val="21"/>
        </w:rPr>
      </w:pPr>
      <w:r>
        <w:rPr>
          <w:rFonts w:hint="eastAsia" w:ascii="宋体" w:hAnsi="宋体"/>
          <w:bCs/>
          <w:color w:val="000000"/>
          <w:szCs w:val="21"/>
        </w:rPr>
        <w:t>（6）发包人提供的资料和条件；</w:t>
      </w:r>
    </w:p>
    <w:p>
      <w:pPr>
        <w:autoSpaceDE w:val="0"/>
        <w:autoSpaceDN w:val="0"/>
        <w:adjustRightInd w:val="0"/>
        <w:spacing w:line="400" w:lineRule="exact"/>
        <w:ind w:firstLine="359" w:firstLineChars="171"/>
        <w:jc w:val="left"/>
        <w:rPr>
          <w:rFonts w:hint="eastAsia" w:ascii="宋体" w:hAnsi="宋体"/>
          <w:bCs/>
          <w:color w:val="000000"/>
          <w:szCs w:val="21"/>
        </w:rPr>
      </w:pPr>
      <w:r>
        <w:rPr>
          <w:rFonts w:hint="eastAsia" w:ascii="宋体" w:hAnsi="宋体"/>
          <w:bCs/>
          <w:color w:val="000000"/>
          <w:szCs w:val="21"/>
        </w:rPr>
        <w:t>（</w:t>
      </w:r>
      <w:r>
        <w:rPr>
          <w:rFonts w:ascii="宋体" w:hAnsi="宋体"/>
          <w:bCs/>
          <w:color w:val="000000"/>
          <w:szCs w:val="21"/>
        </w:rPr>
        <w:t>7</w:t>
      </w:r>
      <w:r>
        <w:rPr>
          <w:rFonts w:hint="eastAsia" w:ascii="宋体" w:hAnsi="宋体"/>
          <w:bCs/>
          <w:color w:val="000000"/>
          <w:szCs w:val="21"/>
        </w:rPr>
        <w:t>）投标文件格式；</w:t>
      </w:r>
    </w:p>
    <w:p>
      <w:pPr>
        <w:autoSpaceDE w:val="0"/>
        <w:autoSpaceDN w:val="0"/>
        <w:adjustRightInd w:val="0"/>
        <w:spacing w:line="400" w:lineRule="exact"/>
        <w:ind w:firstLine="359" w:firstLineChars="171"/>
        <w:jc w:val="left"/>
        <w:rPr>
          <w:rFonts w:hint="eastAsia" w:ascii="宋体" w:hAnsi="宋体"/>
          <w:bCs/>
          <w:color w:val="000000"/>
          <w:szCs w:val="21"/>
        </w:rPr>
      </w:pPr>
      <w:r>
        <w:rPr>
          <w:rFonts w:hint="eastAsia" w:ascii="宋体" w:hAnsi="宋体"/>
          <w:bCs/>
          <w:color w:val="000000"/>
          <w:szCs w:val="21"/>
        </w:rPr>
        <w:t>（</w:t>
      </w:r>
      <w:r>
        <w:rPr>
          <w:rFonts w:ascii="宋体" w:hAnsi="宋体"/>
          <w:bCs/>
          <w:color w:val="000000"/>
          <w:szCs w:val="21"/>
        </w:rPr>
        <w:t>8</w:t>
      </w:r>
      <w:r>
        <w:rPr>
          <w:rFonts w:hint="eastAsia" w:ascii="宋体" w:hAnsi="宋体"/>
          <w:bCs/>
          <w:color w:val="000000"/>
          <w:szCs w:val="21"/>
        </w:rPr>
        <w:t>）招标控制价；</w:t>
      </w:r>
    </w:p>
    <w:p>
      <w:pPr>
        <w:autoSpaceDE w:val="0"/>
        <w:autoSpaceDN w:val="0"/>
        <w:adjustRightInd w:val="0"/>
        <w:spacing w:line="400" w:lineRule="exact"/>
        <w:ind w:firstLine="359" w:firstLineChars="171"/>
        <w:jc w:val="left"/>
        <w:rPr>
          <w:rFonts w:ascii="宋体" w:hAnsi="宋体"/>
          <w:bCs/>
          <w:color w:val="000000"/>
          <w:szCs w:val="21"/>
        </w:rPr>
      </w:pPr>
      <w:r>
        <w:rPr>
          <w:rFonts w:hint="eastAsia" w:ascii="宋体" w:hAnsi="宋体"/>
          <w:bCs/>
          <w:color w:val="000000"/>
          <w:szCs w:val="21"/>
        </w:rPr>
        <w:t>（</w:t>
      </w:r>
      <w:r>
        <w:rPr>
          <w:rFonts w:ascii="宋体" w:hAnsi="宋体"/>
          <w:bCs/>
          <w:color w:val="000000"/>
          <w:szCs w:val="21"/>
        </w:rPr>
        <w:t>9</w:t>
      </w:r>
      <w:r>
        <w:rPr>
          <w:rFonts w:hint="eastAsia" w:ascii="宋体" w:hAnsi="宋体"/>
          <w:bCs/>
          <w:color w:val="000000"/>
          <w:szCs w:val="21"/>
        </w:rPr>
        <w:t>）投标人须知前附表规定的其他资料。</w:t>
      </w:r>
    </w:p>
    <w:p>
      <w:pPr>
        <w:autoSpaceDE w:val="0"/>
        <w:autoSpaceDN w:val="0"/>
        <w:adjustRightInd w:val="0"/>
        <w:spacing w:line="400" w:lineRule="exact"/>
        <w:ind w:firstLine="359" w:firstLineChars="171"/>
        <w:jc w:val="left"/>
        <w:rPr>
          <w:rFonts w:ascii="宋体" w:hAnsi="宋体" w:cs="仿宋_GB2312"/>
          <w:color w:val="000000"/>
          <w:kern w:val="0"/>
          <w:szCs w:val="21"/>
        </w:rPr>
      </w:pPr>
      <w:r>
        <w:rPr>
          <w:rFonts w:hint="eastAsia" w:ascii="宋体" w:hAnsi="宋体" w:cs="仿宋_GB2312"/>
          <w:color w:val="000000"/>
          <w:kern w:val="0"/>
          <w:szCs w:val="21"/>
        </w:rPr>
        <w:t>根据本章第</w:t>
      </w:r>
      <w:r>
        <w:rPr>
          <w:rFonts w:ascii="宋体" w:hAnsi="宋体" w:cs="TimesNewRomanPSMT"/>
          <w:color w:val="000000"/>
          <w:kern w:val="0"/>
          <w:szCs w:val="21"/>
        </w:rPr>
        <w:t xml:space="preserve">1.11 </w:t>
      </w:r>
      <w:r>
        <w:rPr>
          <w:rFonts w:hint="eastAsia" w:ascii="宋体" w:hAnsi="宋体" w:cs="仿宋_GB2312"/>
          <w:color w:val="000000"/>
          <w:kern w:val="0"/>
          <w:szCs w:val="21"/>
        </w:rPr>
        <w:t>款、第</w:t>
      </w:r>
      <w:r>
        <w:rPr>
          <w:rFonts w:ascii="宋体" w:hAnsi="宋体" w:cs="TimesNewRomanPSMT"/>
          <w:color w:val="000000"/>
          <w:kern w:val="0"/>
          <w:szCs w:val="21"/>
        </w:rPr>
        <w:t xml:space="preserve">2.2 </w:t>
      </w:r>
      <w:r>
        <w:rPr>
          <w:rFonts w:hint="eastAsia" w:ascii="宋体" w:hAnsi="宋体" w:cs="仿宋_GB2312"/>
          <w:color w:val="000000"/>
          <w:kern w:val="0"/>
          <w:szCs w:val="21"/>
        </w:rPr>
        <w:t>款和第</w:t>
      </w:r>
      <w:r>
        <w:rPr>
          <w:rFonts w:ascii="宋体" w:hAnsi="宋体" w:cs="TimesNewRomanPSMT"/>
          <w:color w:val="000000"/>
          <w:kern w:val="0"/>
          <w:szCs w:val="21"/>
        </w:rPr>
        <w:t xml:space="preserve">2.3 </w:t>
      </w:r>
      <w:r>
        <w:rPr>
          <w:rFonts w:hint="eastAsia" w:ascii="宋体" w:hAnsi="宋体" w:cs="仿宋_GB2312"/>
          <w:color w:val="000000"/>
          <w:kern w:val="0"/>
          <w:szCs w:val="21"/>
        </w:rPr>
        <w:t>款对招标文件所作的澄清、修改，构成招标文件的组成部分。</w:t>
      </w:r>
    </w:p>
    <w:p>
      <w:pPr>
        <w:pStyle w:val="5"/>
        <w:rPr>
          <w:color w:val="000000"/>
        </w:rPr>
      </w:pPr>
      <w:bookmarkStart w:id="322" w:name="_Toc419363518"/>
      <w:bookmarkStart w:id="323" w:name="_Toc419320115"/>
      <w:bookmarkStart w:id="324" w:name="_Toc419321151"/>
      <w:bookmarkStart w:id="325" w:name="_Toc419364242"/>
      <w:bookmarkStart w:id="326" w:name="_Toc433988585"/>
      <w:r>
        <w:rPr>
          <w:color w:val="000000"/>
        </w:rPr>
        <w:t xml:space="preserve">2.2 </w:t>
      </w:r>
      <w:r>
        <w:rPr>
          <w:rFonts w:hint="eastAsia"/>
          <w:color w:val="000000"/>
        </w:rPr>
        <w:t>招标文件的澄清</w:t>
      </w:r>
      <w:bookmarkEnd w:id="322"/>
      <w:bookmarkEnd w:id="323"/>
      <w:bookmarkEnd w:id="324"/>
      <w:bookmarkEnd w:id="325"/>
      <w:bookmarkEnd w:id="326"/>
    </w:p>
    <w:p>
      <w:pPr>
        <w:spacing w:line="400" w:lineRule="exact"/>
        <w:ind w:firstLine="420" w:firstLineChars="200"/>
        <w:jc w:val="left"/>
        <w:rPr>
          <w:rFonts w:hint="eastAsia"/>
          <w:color w:val="000000"/>
          <w:szCs w:val="21"/>
        </w:rPr>
      </w:pPr>
      <w:r>
        <w:rPr>
          <w:rFonts w:hint="eastAsia"/>
          <w:color w:val="000000"/>
          <w:szCs w:val="21"/>
        </w:rPr>
        <w:t>2.2.1 投标人应仔细阅读和检查招标文件的全部内容，如有疑问或异议，应在投标人须知前附表规定的时间前通过广西壮族自治区公共资源交易平台系统进行网上投标询疑，要求招标人（招标代理）对招标文件予以澄清。</w:t>
      </w:r>
    </w:p>
    <w:p>
      <w:pPr>
        <w:spacing w:line="400" w:lineRule="exact"/>
        <w:ind w:firstLine="420" w:firstLineChars="200"/>
        <w:jc w:val="left"/>
        <w:rPr>
          <w:color w:val="000000"/>
          <w:szCs w:val="21"/>
        </w:rPr>
      </w:pPr>
      <w:r>
        <w:rPr>
          <w:rFonts w:hint="eastAsia"/>
          <w:color w:val="000000"/>
          <w:szCs w:val="21"/>
        </w:rPr>
        <w:t>2.2.</w:t>
      </w:r>
      <w:r>
        <w:rPr>
          <w:color w:val="000000"/>
          <w:szCs w:val="21"/>
        </w:rPr>
        <w:t>2</w:t>
      </w:r>
      <w:r>
        <w:rPr>
          <w:rFonts w:hint="eastAsia"/>
          <w:color w:val="000000"/>
          <w:szCs w:val="21"/>
        </w:rPr>
        <w:t>招标人对招标文件的澄清将在“投标人须知前附表”规定的投标截止时间15日前（不涉及招标文件实质性内容修改的除外）以“投标人须知前附表”规定的方式发布，并提供给所有下载了招标文件的投标人下载，但不得指明澄清问题的来源。如果澄清发出的时间距投标截止时间不足15日，相应延长投标截止时间。</w:t>
      </w:r>
    </w:p>
    <w:p>
      <w:pPr>
        <w:spacing w:line="360" w:lineRule="auto"/>
        <w:ind w:firstLine="420" w:firstLineChars="200"/>
        <w:rPr>
          <w:rFonts w:hint="eastAsia"/>
          <w:color w:val="000000"/>
          <w:szCs w:val="21"/>
        </w:rPr>
      </w:pPr>
      <w:r>
        <w:rPr>
          <w:rFonts w:hAnsi="宋体"/>
          <w:color w:val="000000"/>
        </w:rPr>
        <w:t>2.2.3</w:t>
      </w:r>
      <w:r>
        <w:rPr>
          <w:rFonts w:hint="eastAsia" w:hAnsi="宋体" w:cs="宋体"/>
          <w:color w:val="000000"/>
        </w:rPr>
        <w:t>投标人确认收到澄清的方式：</w:t>
      </w:r>
      <w:r>
        <w:rPr>
          <w:rFonts w:hint="eastAsia" w:cs="宋体"/>
          <w:color w:val="000000"/>
        </w:rPr>
        <w:t>见</w:t>
      </w:r>
      <w:r>
        <w:rPr>
          <w:rFonts w:hint="eastAsia"/>
          <w:color w:val="000000"/>
          <w:szCs w:val="21"/>
        </w:rPr>
        <w:t>“投标人须知前附表”</w:t>
      </w:r>
      <w:r>
        <w:rPr>
          <w:rFonts w:hint="eastAsia" w:cs="宋体"/>
          <w:color w:val="000000"/>
        </w:rPr>
        <w:t>。</w:t>
      </w:r>
    </w:p>
    <w:p>
      <w:pPr>
        <w:pStyle w:val="5"/>
        <w:rPr>
          <w:color w:val="000000"/>
        </w:rPr>
      </w:pPr>
      <w:bookmarkStart w:id="327" w:name="_Toc419363519"/>
      <w:bookmarkStart w:id="328" w:name="_Toc433988586"/>
      <w:bookmarkStart w:id="329" w:name="_Toc419364243"/>
      <w:bookmarkStart w:id="330" w:name="_Toc419320116"/>
      <w:bookmarkStart w:id="331" w:name="_Toc419321152"/>
      <w:r>
        <w:rPr>
          <w:color w:val="000000"/>
        </w:rPr>
        <w:t xml:space="preserve">2.3 </w:t>
      </w:r>
      <w:r>
        <w:rPr>
          <w:rFonts w:hint="eastAsia"/>
          <w:color w:val="000000"/>
        </w:rPr>
        <w:t>招标文件的修改</w:t>
      </w:r>
      <w:bookmarkEnd w:id="327"/>
      <w:bookmarkEnd w:id="328"/>
      <w:bookmarkEnd w:id="329"/>
      <w:bookmarkEnd w:id="330"/>
      <w:bookmarkEnd w:id="331"/>
    </w:p>
    <w:p>
      <w:pPr>
        <w:spacing w:line="400" w:lineRule="exact"/>
        <w:ind w:firstLine="420" w:firstLineChars="200"/>
        <w:jc w:val="left"/>
        <w:rPr>
          <w:rFonts w:hint="eastAsia"/>
          <w:color w:val="000000"/>
          <w:szCs w:val="21"/>
        </w:rPr>
      </w:pPr>
      <w:r>
        <w:rPr>
          <w:rFonts w:hint="eastAsia"/>
          <w:color w:val="000000"/>
          <w:szCs w:val="21"/>
        </w:rPr>
        <w:t>2.3.1 在投标截止时间15日前，招标人可以对招标文件进行修改，如修改涉及评标办法和投标文件格式的内容，招标人应将修改后的招标文件重新上传并通过广西壮族自治区公共资源交易平台系统通知所有下载了招标文件的投标人，投标人应按修改后的招标文件制作投标文件。如果修改招标文件的时间距投标截止时间不足15日，相应延长投标截止时间。</w:t>
      </w:r>
    </w:p>
    <w:p>
      <w:pPr>
        <w:spacing w:line="400" w:lineRule="exact"/>
        <w:ind w:firstLine="420" w:firstLineChars="200"/>
        <w:jc w:val="left"/>
        <w:rPr>
          <w:rFonts w:hint="eastAsia"/>
          <w:color w:val="000000"/>
          <w:szCs w:val="21"/>
        </w:rPr>
      </w:pPr>
      <w:r>
        <w:rPr>
          <w:rFonts w:hint="eastAsia"/>
          <w:color w:val="000000"/>
          <w:szCs w:val="21"/>
        </w:rPr>
        <w:t>2.3.2 当招标文件、招标文件的修改、补充在同一内容表述不一致时，以最后的更正、补遗、澄清为准。未在系统发布的更正、补遗、澄清为无效更正、补遗、澄清。</w:t>
      </w:r>
    </w:p>
    <w:p>
      <w:pPr>
        <w:spacing w:line="400" w:lineRule="exact"/>
        <w:ind w:firstLine="420" w:firstLineChars="200"/>
        <w:jc w:val="left"/>
        <w:rPr>
          <w:rFonts w:hint="eastAsia"/>
          <w:color w:val="000000"/>
          <w:szCs w:val="21"/>
        </w:rPr>
      </w:pPr>
      <w:r>
        <w:rPr>
          <w:rFonts w:hint="eastAsia"/>
          <w:color w:val="000000"/>
          <w:szCs w:val="21"/>
        </w:rPr>
        <w:t xml:space="preserve">招标人应根据系统发布的更正、补遗、澄清重新生成招标文件。除更正、补遗、澄清内容外，其他内容以原招标文件为准。 </w:t>
      </w:r>
    </w:p>
    <w:p>
      <w:pPr>
        <w:spacing w:line="400" w:lineRule="exact"/>
        <w:ind w:firstLine="420" w:firstLineChars="200"/>
        <w:jc w:val="left"/>
        <w:rPr>
          <w:rFonts w:hint="eastAsia"/>
          <w:color w:val="000000"/>
          <w:szCs w:val="21"/>
        </w:rPr>
      </w:pPr>
      <w:r>
        <w:rPr>
          <w:rFonts w:hint="eastAsia"/>
          <w:color w:val="000000"/>
          <w:szCs w:val="21"/>
        </w:rPr>
        <w:t xml:space="preserve">2.3.3 为使投标人在编制投标文件时有充分的时间对招标文件的修改、补充等内容进行研究并做出响应，招标人可酌情延长提交投标文件的截止时间，具体时间在招标文件的修改、补充等通知中予以明确。 </w:t>
      </w:r>
    </w:p>
    <w:p>
      <w:pPr>
        <w:spacing w:line="400" w:lineRule="exact"/>
        <w:ind w:firstLine="420" w:firstLineChars="200"/>
        <w:jc w:val="left"/>
        <w:rPr>
          <w:rFonts w:hint="eastAsia"/>
          <w:color w:val="000000"/>
          <w:szCs w:val="21"/>
        </w:rPr>
      </w:pPr>
      <w:r>
        <w:rPr>
          <w:rFonts w:hint="eastAsia"/>
          <w:color w:val="000000"/>
          <w:szCs w:val="21"/>
        </w:rPr>
        <w:t>2.3.4 招标文件的修改或补充应在广西壮族自治区公共资源交易平台系统上进行发布。招标文件的修改内容作为招标文件的组成部分，具有约束作用。</w:t>
      </w:r>
    </w:p>
    <w:p>
      <w:pPr>
        <w:pStyle w:val="4"/>
        <w:rPr>
          <w:color w:val="000000"/>
        </w:rPr>
      </w:pPr>
      <w:bookmarkStart w:id="332" w:name="_Toc59203008"/>
      <w:bookmarkStart w:id="333" w:name="_Toc282823828"/>
      <w:bookmarkStart w:id="334" w:name="_Toc283128906"/>
      <w:bookmarkStart w:id="335" w:name="_Toc396778060"/>
      <w:bookmarkStart w:id="336" w:name="_Toc414553655"/>
      <w:bookmarkStart w:id="337" w:name="_Toc419321153"/>
      <w:bookmarkStart w:id="338" w:name="_Toc419320117"/>
      <w:bookmarkStart w:id="339" w:name="_Toc419363520"/>
      <w:bookmarkStart w:id="340" w:name="_Toc419364244"/>
      <w:bookmarkStart w:id="341" w:name="_Toc433988587"/>
      <w:r>
        <w:rPr>
          <w:color w:val="000000"/>
        </w:rPr>
        <w:t>3</w:t>
      </w:r>
      <w:r>
        <w:rPr>
          <w:rFonts w:hint="eastAsia"/>
          <w:color w:val="000000"/>
        </w:rPr>
        <w:t>．投标文件</w:t>
      </w:r>
      <w:bookmarkEnd w:id="332"/>
      <w:bookmarkEnd w:id="333"/>
      <w:bookmarkEnd w:id="334"/>
      <w:bookmarkEnd w:id="335"/>
      <w:bookmarkEnd w:id="336"/>
      <w:bookmarkEnd w:id="337"/>
      <w:bookmarkEnd w:id="338"/>
      <w:bookmarkEnd w:id="339"/>
      <w:bookmarkEnd w:id="340"/>
      <w:bookmarkEnd w:id="341"/>
    </w:p>
    <w:p>
      <w:pPr>
        <w:pStyle w:val="5"/>
        <w:rPr>
          <w:rFonts w:hint="eastAsia"/>
          <w:color w:val="000000"/>
        </w:rPr>
      </w:pPr>
      <w:bookmarkStart w:id="342" w:name="_Toc419363521"/>
      <w:bookmarkStart w:id="343" w:name="_Toc419321154"/>
      <w:bookmarkStart w:id="344" w:name="_Toc433988588"/>
      <w:bookmarkStart w:id="345" w:name="_Toc419364245"/>
      <w:bookmarkStart w:id="346" w:name="_Toc419320118"/>
      <w:r>
        <w:rPr>
          <w:color w:val="000000"/>
        </w:rPr>
        <w:t xml:space="preserve">3.1 </w:t>
      </w:r>
      <w:r>
        <w:rPr>
          <w:rFonts w:hint="eastAsia"/>
          <w:color w:val="000000"/>
        </w:rPr>
        <w:t>投标文件的组成</w:t>
      </w:r>
      <w:bookmarkEnd w:id="342"/>
      <w:bookmarkEnd w:id="343"/>
      <w:bookmarkEnd w:id="344"/>
      <w:bookmarkEnd w:id="345"/>
      <w:bookmarkEnd w:id="346"/>
    </w:p>
    <w:p>
      <w:pPr>
        <w:spacing w:line="400" w:lineRule="exact"/>
        <w:ind w:firstLine="525" w:firstLineChars="250"/>
        <w:rPr>
          <w:rFonts w:hint="eastAsia"/>
          <w:color w:val="000000"/>
          <w:szCs w:val="21"/>
        </w:rPr>
      </w:pPr>
      <w:r>
        <w:rPr>
          <w:color w:val="000000"/>
          <w:szCs w:val="21"/>
        </w:rPr>
        <w:t xml:space="preserve">3.1.1 </w:t>
      </w:r>
      <w:r>
        <w:rPr>
          <w:rFonts w:hint="eastAsia"/>
          <w:color w:val="000000"/>
          <w:szCs w:val="21"/>
        </w:rPr>
        <w:t>投标文件应包括下列内容：</w:t>
      </w:r>
    </w:p>
    <w:p>
      <w:pPr>
        <w:spacing w:line="400" w:lineRule="exact"/>
        <w:ind w:firstLine="525" w:firstLineChars="250"/>
        <w:rPr>
          <w:rFonts w:hint="eastAsia" w:hAnsi="宋体"/>
          <w:color w:val="000000"/>
        </w:rPr>
      </w:pPr>
      <w:r>
        <w:rPr>
          <w:rFonts w:hint="eastAsia" w:hAnsi="宋体"/>
          <w:color w:val="000000"/>
        </w:rPr>
        <w:t>□资格审查: 具体材料见投标人须知前附表；</w:t>
      </w:r>
    </w:p>
    <w:p>
      <w:pPr>
        <w:spacing w:line="400" w:lineRule="exact"/>
        <w:ind w:firstLine="527" w:firstLineChars="250"/>
        <w:rPr>
          <w:rFonts w:hint="eastAsia" w:hAnsi="宋体"/>
          <w:color w:val="000000"/>
        </w:rPr>
      </w:pPr>
      <w:r>
        <w:rPr>
          <w:rFonts w:hint="eastAsia" w:hAnsi="宋体"/>
          <w:b/>
          <w:color w:val="000000"/>
        </w:rPr>
        <w:t>□</w:t>
      </w:r>
      <w:r>
        <w:rPr>
          <w:rFonts w:hint="eastAsia" w:hAnsi="宋体"/>
          <w:color w:val="000000"/>
        </w:rPr>
        <w:t>商务标：具体材料见投标人须知前附表；</w:t>
      </w:r>
    </w:p>
    <w:p>
      <w:pPr>
        <w:spacing w:line="400" w:lineRule="exact"/>
        <w:ind w:firstLine="527" w:firstLineChars="250"/>
        <w:rPr>
          <w:rFonts w:hint="eastAsia"/>
          <w:color w:val="000000"/>
        </w:rPr>
      </w:pPr>
      <w:r>
        <w:rPr>
          <w:rFonts w:hint="eastAsia" w:hAnsi="宋体"/>
          <w:b/>
          <w:color w:val="000000"/>
        </w:rPr>
        <w:t>□</w:t>
      </w:r>
      <w:r>
        <w:rPr>
          <w:rFonts w:hint="eastAsia" w:hAnsi="宋体"/>
          <w:color w:val="000000"/>
        </w:rPr>
        <w:t>技术标</w:t>
      </w:r>
      <w:r>
        <w:rPr>
          <w:rFonts w:hint="eastAsia"/>
          <w:color w:val="000000"/>
        </w:rPr>
        <w:t>：具体材料见投标人须知前附表；</w:t>
      </w:r>
    </w:p>
    <w:p>
      <w:pPr>
        <w:spacing w:line="400" w:lineRule="exact"/>
        <w:ind w:firstLine="527" w:firstLineChars="250"/>
        <w:rPr>
          <w:rFonts w:hint="eastAsia"/>
          <w:color w:val="000000"/>
        </w:rPr>
      </w:pPr>
      <w:r>
        <w:rPr>
          <w:rFonts w:hint="eastAsia" w:hAnsi="宋体"/>
          <w:b/>
          <w:color w:val="000000"/>
        </w:rPr>
        <w:t>□</w:t>
      </w:r>
      <w:r>
        <w:rPr>
          <w:rFonts w:hint="eastAsia" w:ascii="宋体" w:hAnsi="宋体"/>
          <w:color w:val="000000"/>
          <w:szCs w:val="21"/>
        </w:rPr>
        <w:t>设计标：</w:t>
      </w:r>
      <w:r>
        <w:rPr>
          <w:rFonts w:hint="eastAsia"/>
          <w:color w:val="000000"/>
        </w:rPr>
        <w:t>具体材料见投标人须知前附表；</w:t>
      </w:r>
    </w:p>
    <w:p>
      <w:pPr>
        <w:spacing w:line="400" w:lineRule="exact"/>
        <w:ind w:firstLine="527" w:firstLineChars="250"/>
        <w:rPr>
          <w:rFonts w:hint="eastAsia"/>
          <w:color w:val="000000"/>
        </w:rPr>
      </w:pPr>
      <w:r>
        <w:rPr>
          <w:rFonts w:hint="eastAsia" w:hAnsi="宋体"/>
          <w:b/>
          <w:color w:val="000000"/>
        </w:rPr>
        <w:t>□</w:t>
      </w:r>
      <w:r>
        <w:rPr>
          <w:rFonts w:hint="eastAsia"/>
          <w:color w:val="000000"/>
        </w:rPr>
        <w:t>资信业绩：</w:t>
      </w:r>
      <w:r>
        <w:rPr>
          <w:rFonts w:hint="eastAsia" w:hAnsi="宋体"/>
          <w:color w:val="000000"/>
        </w:rPr>
        <w:t>具体材料见投标人须知前附表；</w:t>
      </w:r>
    </w:p>
    <w:p>
      <w:pPr>
        <w:spacing w:line="400" w:lineRule="exact"/>
        <w:ind w:firstLine="525" w:firstLineChars="250"/>
        <w:rPr>
          <w:rFonts w:hint="eastAsia"/>
          <w:color w:val="000000"/>
        </w:rPr>
      </w:pPr>
      <w:r>
        <w:rPr>
          <w:rFonts w:hint="eastAsia"/>
          <w:color w:val="000000"/>
        </w:rPr>
        <w:t xml:space="preserve">3.1.2 </w:t>
      </w:r>
      <w:r>
        <w:rPr>
          <w:color w:val="000000"/>
          <w:szCs w:val="21"/>
        </w:rPr>
        <w:t>“投标人须知前附表”规定不接受联合体投标的，或投标人没有组成联合体的，投标文件不包括本章第3.1.1</w:t>
      </w:r>
      <w:r>
        <w:rPr>
          <w:rFonts w:hint="eastAsia"/>
          <w:color w:val="000000"/>
          <w:szCs w:val="21"/>
        </w:rPr>
        <w:t>资格审查</w:t>
      </w:r>
      <w:r>
        <w:rPr>
          <w:color w:val="000000"/>
          <w:szCs w:val="21"/>
        </w:rPr>
        <w:t>（2）</w:t>
      </w:r>
      <w:r>
        <w:rPr>
          <w:rFonts w:hint="eastAsia"/>
          <w:color w:val="000000"/>
          <w:szCs w:val="21"/>
        </w:rPr>
        <w:t>中</w:t>
      </w:r>
      <w:r>
        <w:rPr>
          <w:color w:val="000000"/>
          <w:szCs w:val="21"/>
        </w:rPr>
        <w:t>所指的联合体协议书。</w:t>
      </w:r>
    </w:p>
    <w:p>
      <w:pPr>
        <w:spacing w:line="400" w:lineRule="exact"/>
        <w:ind w:firstLine="525" w:firstLineChars="250"/>
        <w:rPr>
          <w:color w:val="000000"/>
        </w:rPr>
      </w:pPr>
      <w:r>
        <w:rPr>
          <w:color w:val="000000"/>
        </w:rPr>
        <w:t>3.1.</w:t>
      </w:r>
      <w:r>
        <w:rPr>
          <w:rFonts w:hint="eastAsia"/>
          <w:color w:val="000000"/>
        </w:rPr>
        <w:t>3 投标人没有组成联合体的，投标文件不包括本章第</w:t>
      </w:r>
      <w:r>
        <w:rPr>
          <w:color w:val="000000"/>
        </w:rPr>
        <w:t>3.1.</w:t>
      </w:r>
      <w:r>
        <w:rPr>
          <w:rFonts w:hint="eastAsia"/>
          <w:color w:val="000000"/>
        </w:rPr>
        <w:t>4～3.1.8款的内容。</w:t>
      </w:r>
    </w:p>
    <w:p>
      <w:pPr>
        <w:spacing w:line="400" w:lineRule="exact"/>
        <w:ind w:firstLine="525" w:firstLineChars="250"/>
        <w:rPr>
          <w:rFonts w:hint="eastAsia"/>
          <w:color w:val="000000"/>
        </w:rPr>
      </w:pPr>
      <w:r>
        <w:rPr>
          <w:rFonts w:hint="eastAsia"/>
          <w:color w:val="000000"/>
        </w:rPr>
        <w:t xml:space="preserve">3.1.4 </w:t>
      </w:r>
      <w:r>
        <w:rPr>
          <w:color w:val="000000"/>
        </w:rPr>
        <w:t>组成联合体投标时</w:t>
      </w:r>
      <w:r>
        <w:rPr>
          <w:rFonts w:hint="eastAsia"/>
          <w:color w:val="000000"/>
        </w:rPr>
        <w:t>资格要求：见投标人须知前附表。</w:t>
      </w:r>
    </w:p>
    <w:p>
      <w:pPr>
        <w:spacing w:line="400" w:lineRule="exact"/>
        <w:ind w:firstLine="525" w:firstLineChars="250"/>
        <w:rPr>
          <w:rFonts w:hint="eastAsia"/>
          <w:color w:val="000000"/>
        </w:rPr>
      </w:pPr>
      <w:r>
        <w:rPr>
          <w:rFonts w:hint="eastAsia"/>
          <w:color w:val="000000"/>
        </w:rPr>
        <w:t xml:space="preserve">3.1.5 </w:t>
      </w:r>
      <w:r>
        <w:rPr>
          <w:color w:val="000000"/>
        </w:rPr>
        <w:t>联合体</w:t>
      </w:r>
      <w:r>
        <w:rPr>
          <w:rFonts w:hint="eastAsia"/>
          <w:color w:val="000000"/>
        </w:rPr>
        <w:t>参加投标，</w:t>
      </w:r>
      <w:r>
        <w:rPr>
          <w:color w:val="000000"/>
        </w:rPr>
        <w:t>各方</w:t>
      </w:r>
      <w:r>
        <w:rPr>
          <w:rFonts w:hint="eastAsia"/>
          <w:color w:val="000000"/>
        </w:rPr>
        <w:t>必须</w:t>
      </w:r>
      <w:r>
        <w:rPr>
          <w:color w:val="000000"/>
        </w:rPr>
        <w:t>签订联合体协议</w:t>
      </w:r>
      <w:r>
        <w:rPr>
          <w:rFonts w:hint="eastAsia"/>
          <w:color w:val="000000"/>
        </w:rPr>
        <w:t>，在协议中应明确各方在联合体中的责任、承担任务量，</w:t>
      </w:r>
      <w:r>
        <w:rPr>
          <w:color w:val="000000"/>
        </w:rPr>
        <w:t>联合体协议书应随投标文件提交</w:t>
      </w:r>
      <w:r>
        <w:rPr>
          <w:rFonts w:hint="eastAsia"/>
          <w:color w:val="000000"/>
        </w:rPr>
        <w:t>。</w:t>
      </w:r>
    </w:p>
    <w:p>
      <w:pPr>
        <w:spacing w:line="400" w:lineRule="exact"/>
        <w:ind w:firstLine="525" w:firstLineChars="250"/>
        <w:rPr>
          <w:color w:val="000000"/>
        </w:rPr>
      </w:pPr>
      <w:r>
        <w:rPr>
          <w:rFonts w:hint="eastAsia"/>
          <w:color w:val="000000"/>
        </w:rPr>
        <w:t xml:space="preserve">3.1.6 </w:t>
      </w:r>
      <w:r>
        <w:rPr>
          <w:color w:val="000000"/>
        </w:rPr>
        <w:t>联合体各方签订联合体协议后，不得再以自己名义单独投标，也不得组成新的联合体或参加其他联合体投标。</w:t>
      </w:r>
    </w:p>
    <w:p>
      <w:pPr>
        <w:spacing w:line="400" w:lineRule="exact"/>
        <w:ind w:firstLine="525" w:firstLineChars="250"/>
        <w:rPr>
          <w:color w:val="000000"/>
        </w:rPr>
      </w:pPr>
      <w:r>
        <w:rPr>
          <w:rFonts w:hint="eastAsia"/>
          <w:color w:val="000000"/>
        </w:rPr>
        <w:t xml:space="preserve">3.1.7 </w:t>
      </w:r>
      <w:r>
        <w:rPr>
          <w:color w:val="000000"/>
        </w:rPr>
        <w:t>联合体牵头人为投标邀请函中的被邀请人</w:t>
      </w:r>
      <w:r>
        <w:rPr>
          <w:rFonts w:hint="eastAsia"/>
          <w:color w:val="000000"/>
        </w:rPr>
        <w:t>（邀请招标时）</w:t>
      </w:r>
      <w:r>
        <w:rPr>
          <w:color w:val="000000"/>
        </w:rPr>
        <w:t>，联合体牵头人负责投标和合同实施阶段的主办、协调工作，并应当向招标人提交由所有联合体成员法定代表人签署的授权书。</w:t>
      </w:r>
    </w:p>
    <w:p>
      <w:pPr>
        <w:spacing w:line="400" w:lineRule="exact"/>
        <w:ind w:firstLine="525" w:firstLineChars="250"/>
        <w:rPr>
          <w:color w:val="000000"/>
        </w:rPr>
      </w:pPr>
      <w:r>
        <w:rPr>
          <w:rFonts w:hint="eastAsia"/>
          <w:color w:val="000000"/>
        </w:rPr>
        <w:t xml:space="preserve">3.1.8 </w:t>
      </w:r>
      <w:r>
        <w:rPr>
          <w:color w:val="000000"/>
        </w:rPr>
        <w:t>联合体中标的，联合体</w:t>
      </w:r>
      <w:r>
        <w:rPr>
          <w:rFonts w:hint="eastAsia"/>
          <w:color w:val="000000"/>
        </w:rPr>
        <w:t>各方应共同</w:t>
      </w:r>
      <w:r>
        <w:rPr>
          <w:color w:val="000000"/>
        </w:rPr>
        <w:t>与</w:t>
      </w:r>
      <w:r>
        <w:rPr>
          <w:rFonts w:hint="eastAsia"/>
          <w:color w:val="000000"/>
        </w:rPr>
        <w:t>招标人</w:t>
      </w:r>
      <w:r>
        <w:rPr>
          <w:color w:val="000000"/>
        </w:rPr>
        <w:t>签订合同，</w:t>
      </w:r>
      <w:r>
        <w:rPr>
          <w:rFonts w:hint="eastAsia"/>
          <w:color w:val="000000"/>
        </w:rPr>
        <w:t>就中标项目</w:t>
      </w:r>
      <w:r>
        <w:rPr>
          <w:color w:val="000000"/>
        </w:rPr>
        <w:t>向</w:t>
      </w:r>
      <w:r>
        <w:rPr>
          <w:rFonts w:hint="eastAsia"/>
          <w:color w:val="000000"/>
        </w:rPr>
        <w:t>招标人</w:t>
      </w:r>
      <w:r>
        <w:rPr>
          <w:color w:val="000000"/>
        </w:rPr>
        <w:t>承担连带责任。</w:t>
      </w:r>
    </w:p>
    <w:p>
      <w:pPr>
        <w:spacing w:line="400" w:lineRule="exact"/>
        <w:ind w:firstLine="525" w:firstLineChars="250"/>
        <w:rPr>
          <w:rFonts w:hint="eastAsia"/>
          <w:color w:val="000000"/>
        </w:rPr>
      </w:pPr>
      <w:r>
        <w:rPr>
          <w:rFonts w:hint="eastAsia"/>
          <w:color w:val="000000"/>
        </w:rPr>
        <w:t>3.1.</w:t>
      </w:r>
      <w:r>
        <w:rPr>
          <w:color w:val="000000"/>
        </w:rPr>
        <w:t>9</w:t>
      </w:r>
      <w:r>
        <w:rPr>
          <w:rFonts w:hint="eastAsia" w:cs="宋体"/>
          <w:color w:val="000000"/>
        </w:rPr>
        <w:t>近年财务状况、完成或</w:t>
      </w:r>
      <w:r>
        <w:rPr>
          <w:rFonts w:cs="宋体"/>
          <w:color w:val="000000"/>
        </w:rPr>
        <w:t>承接</w:t>
      </w:r>
      <w:r>
        <w:rPr>
          <w:rFonts w:hint="eastAsia" w:cs="宋体"/>
          <w:color w:val="000000"/>
        </w:rPr>
        <w:t>的类似项目的年份要求：见</w:t>
      </w:r>
      <w:r>
        <w:rPr>
          <w:color w:val="000000"/>
        </w:rPr>
        <w:t>“</w:t>
      </w:r>
      <w:r>
        <w:rPr>
          <w:rFonts w:hint="eastAsia" w:cs="宋体"/>
          <w:color w:val="000000"/>
        </w:rPr>
        <w:t>投标人须知前附表</w:t>
      </w:r>
      <w:r>
        <w:rPr>
          <w:color w:val="000000"/>
        </w:rPr>
        <w:t>”</w:t>
      </w:r>
      <w:r>
        <w:rPr>
          <w:rFonts w:hint="eastAsia" w:cs="宋体"/>
          <w:color w:val="000000"/>
        </w:rPr>
        <w:t>。</w:t>
      </w:r>
    </w:p>
    <w:p>
      <w:pPr>
        <w:pStyle w:val="5"/>
        <w:rPr>
          <w:color w:val="000000"/>
        </w:rPr>
      </w:pPr>
      <w:bookmarkStart w:id="347" w:name="_Toc419321155"/>
      <w:bookmarkStart w:id="348" w:name="_Toc419363522"/>
      <w:bookmarkStart w:id="349" w:name="_Toc419320119"/>
      <w:bookmarkStart w:id="350" w:name="_Toc419364246"/>
      <w:bookmarkStart w:id="351" w:name="_Toc433988589"/>
      <w:r>
        <w:rPr>
          <w:color w:val="000000"/>
        </w:rPr>
        <w:t xml:space="preserve">3.2 </w:t>
      </w:r>
      <w:r>
        <w:rPr>
          <w:rFonts w:hint="eastAsia"/>
          <w:color w:val="000000"/>
        </w:rPr>
        <w:t>投标报价</w:t>
      </w:r>
      <w:bookmarkEnd w:id="347"/>
      <w:bookmarkEnd w:id="348"/>
      <w:bookmarkEnd w:id="349"/>
      <w:bookmarkEnd w:id="350"/>
      <w:bookmarkEnd w:id="351"/>
    </w:p>
    <w:p>
      <w:pPr>
        <w:spacing w:line="400" w:lineRule="exact"/>
        <w:ind w:firstLine="525" w:firstLineChars="250"/>
        <w:rPr>
          <w:rFonts w:hint="eastAsia"/>
          <w:color w:val="000000"/>
        </w:rPr>
      </w:pPr>
      <w:r>
        <w:rPr>
          <w:color w:val="000000"/>
        </w:rPr>
        <w:t>3.2.1</w:t>
      </w:r>
      <w:r>
        <w:rPr>
          <w:rFonts w:hint="eastAsia"/>
          <w:color w:val="000000"/>
        </w:rPr>
        <w:t xml:space="preserve"> 投标人应按第七章“投标文件格式”的要求填写投标函；</w:t>
      </w:r>
    </w:p>
    <w:p>
      <w:pPr>
        <w:spacing w:line="400" w:lineRule="exact"/>
        <w:ind w:firstLine="525" w:firstLineChars="250"/>
        <w:rPr>
          <w:color w:val="000000"/>
        </w:rPr>
      </w:pPr>
      <w:r>
        <w:rPr>
          <w:rFonts w:hint="eastAsia"/>
          <w:color w:val="000000"/>
        </w:rPr>
        <w:t>3.2.2投标人应充分了解施工场地的位置、周边环境、道路、装卸、保管、安装限制以及影响投标报价的其他要素。投标人根据投标设计，结合市场情况进行投标报价。</w:t>
      </w:r>
    </w:p>
    <w:p>
      <w:pPr>
        <w:spacing w:line="400" w:lineRule="exact"/>
        <w:ind w:firstLine="525" w:firstLineChars="250"/>
        <w:rPr>
          <w:rFonts w:hint="eastAsia"/>
          <w:color w:val="000000"/>
        </w:rPr>
      </w:pPr>
      <w:r>
        <w:rPr>
          <w:color w:val="000000"/>
        </w:rPr>
        <w:t>3.2.</w:t>
      </w:r>
      <w:r>
        <w:rPr>
          <w:rFonts w:hint="eastAsia"/>
          <w:color w:val="000000"/>
        </w:rPr>
        <w:t>3</w:t>
      </w:r>
      <w:r>
        <w:rPr>
          <w:color w:val="000000"/>
        </w:rPr>
        <w:t xml:space="preserve"> </w:t>
      </w:r>
      <w:r>
        <w:rPr>
          <w:rFonts w:hint="eastAsia"/>
          <w:color w:val="000000"/>
        </w:rPr>
        <w:t>投标人在投标截止时间前修改投标函中的投标报价总额，应同时修改投标文件“工程总承包费用汇总表”中的相应报价。投标报价总额为各分项金额之和，此修改须符合本章第</w:t>
      </w:r>
      <w:r>
        <w:rPr>
          <w:color w:val="000000"/>
        </w:rPr>
        <w:t xml:space="preserve">4.3 </w:t>
      </w:r>
      <w:r>
        <w:rPr>
          <w:rFonts w:hint="eastAsia"/>
          <w:color w:val="000000"/>
        </w:rPr>
        <w:t>款的有关要求。</w:t>
      </w:r>
    </w:p>
    <w:p>
      <w:pPr>
        <w:spacing w:line="400" w:lineRule="exact"/>
        <w:ind w:firstLine="525" w:firstLineChars="250"/>
        <w:rPr>
          <w:rFonts w:hint="eastAsia"/>
          <w:color w:val="000000"/>
        </w:rPr>
      </w:pPr>
      <w:r>
        <w:rPr>
          <w:rFonts w:hint="eastAsia"/>
          <w:color w:val="000000"/>
        </w:rPr>
        <w:t>3.2.4 招标人设有招标控制价的，投标人的投标报价不得超过招标控制价，招标控制价或其计算方法在投标人须知前附表中载明。</w:t>
      </w:r>
    </w:p>
    <w:p>
      <w:pPr>
        <w:spacing w:line="400" w:lineRule="exact"/>
        <w:ind w:firstLine="525" w:firstLineChars="250"/>
        <w:rPr>
          <w:rFonts w:hint="eastAsia"/>
          <w:color w:val="000000"/>
        </w:rPr>
      </w:pPr>
      <w:r>
        <w:rPr>
          <w:rFonts w:hint="eastAsia"/>
          <w:color w:val="000000"/>
        </w:rPr>
        <w:t>3.2.5 投标报价的其他要求见标投人须知前附表。</w:t>
      </w:r>
    </w:p>
    <w:p>
      <w:pPr>
        <w:pStyle w:val="5"/>
        <w:rPr>
          <w:color w:val="000000"/>
        </w:rPr>
      </w:pPr>
      <w:bookmarkStart w:id="352" w:name="_Toc419363523"/>
      <w:bookmarkStart w:id="353" w:name="_Toc419364247"/>
      <w:bookmarkStart w:id="354" w:name="_Toc433988590"/>
      <w:bookmarkStart w:id="355" w:name="_Toc419321156"/>
      <w:bookmarkStart w:id="356" w:name="_Toc419320120"/>
      <w:r>
        <w:rPr>
          <w:color w:val="000000"/>
        </w:rPr>
        <w:t xml:space="preserve">3.3 </w:t>
      </w:r>
      <w:r>
        <w:rPr>
          <w:rFonts w:hint="eastAsia"/>
          <w:color w:val="000000"/>
        </w:rPr>
        <w:t>投标有效期</w:t>
      </w:r>
      <w:bookmarkEnd w:id="352"/>
      <w:bookmarkEnd w:id="353"/>
      <w:bookmarkEnd w:id="354"/>
      <w:bookmarkEnd w:id="355"/>
      <w:bookmarkEnd w:id="356"/>
    </w:p>
    <w:p>
      <w:pPr>
        <w:autoSpaceDE w:val="0"/>
        <w:autoSpaceDN w:val="0"/>
        <w:adjustRightInd w:val="0"/>
        <w:spacing w:line="400" w:lineRule="exact"/>
        <w:ind w:firstLine="359" w:firstLineChars="171"/>
        <w:jc w:val="left"/>
        <w:rPr>
          <w:rFonts w:ascii="宋体" w:hAnsi="宋体" w:cs="仿宋_GB2312"/>
          <w:color w:val="000000"/>
          <w:kern w:val="0"/>
          <w:szCs w:val="21"/>
        </w:rPr>
      </w:pPr>
      <w:r>
        <w:rPr>
          <w:rFonts w:ascii="宋体" w:hAnsi="宋体" w:cs="仿宋_GB2312"/>
          <w:color w:val="000000"/>
          <w:kern w:val="0"/>
          <w:szCs w:val="21"/>
        </w:rPr>
        <w:t xml:space="preserve">3.3.1 </w:t>
      </w:r>
      <w:r>
        <w:rPr>
          <w:rFonts w:hint="eastAsia" w:ascii="宋体" w:hAnsi="宋体" w:cs="仿宋_GB2312"/>
          <w:color w:val="000000"/>
          <w:kern w:val="0"/>
          <w:szCs w:val="21"/>
        </w:rPr>
        <w:t>在投标人须知前附表规定的投标有效期内，投标人不得要求撤销或修改其投标文件。</w:t>
      </w:r>
    </w:p>
    <w:p>
      <w:pPr>
        <w:autoSpaceDE w:val="0"/>
        <w:autoSpaceDN w:val="0"/>
        <w:adjustRightInd w:val="0"/>
        <w:spacing w:line="400" w:lineRule="exact"/>
        <w:ind w:firstLine="359" w:firstLineChars="171"/>
        <w:jc w:val="left"/>
        <w:rPr>
          <w:rFonts w:hint="eastAsia" w:ascii="宋体" w:hAnsi="宋体" w:cs="仿宋_GB2312"/>
          <w:color w:val="000000"/>
          <w:kern w:val="0"/>
          <w:szCs w:val="21"/>
        </w:rPr>
      </w:pPr>
      <w:r>
        <w:rPr>
          <w:rFonts w:ascii="宋体" w:hAnsi="宋体" w:cs="仿宋_GB2312"/>
          <w:color w:val="000000"/>
          <w:kern w:val="0"/>
          <w:szCs w:val="21"/>
        </w:rPr>
        <w:t>3.3.2</w:t>
      </w:r>
      <w:r>
        <w:rPr>
          <w:rFonts w:hint="eastAsia" w:ascii="宋体" w:hAnsi="宋体" w:cs="仿宋_GB2312"/>
          <w:color w:val="000000"/>
          <w:kern w:val="0"/>
          <w:szCs w:val="21"/>
        </w:rPr>
        <w:t xml:space="preserve"> 在投标有效期内，投标人撤销或修改其投标文件的，应承担招标文件和法律规定的责任。</w:t>
      </w:r>
    </w:p>
    <w:p>
      <w:pPr>
        <w:autoSpaceDE w:val="0"/>
        <w:autoSpaceDN w:val="0"/>
        <w:adjustRightInd w:val="0"/>
        <w:spacing w:line="400" w:lineRule="exact"/>
        <w:ind w:firstLine="359" w:firstLineChars="171"/>
        <w:jc w:val="left"/>
        <w:rPr>
          <w:rFonts w:ascii="宋体" w:hAnsi="宋体" w:cs="仿宋_GB2312"/>
          <w:color w:val="000000"/>
          <w:kern w:val="0"/>
          <w:szCs w:val="21"/>
        </w:rPr>
      </w:pPr>
      <w:r>
        <w:rPr>
          <w:rFonts w:hint="eastAsia" w:ascii="宋体" w:hAnsi="宋体" w:cs="仿宋_GB2312"/>
          <w:color w:val="000000"/>
          <w:kern w:val="0"/>
          <w:szCs w:val="21"/>
        </w:rPr>
        <w:t>3.3.3 出现特殊情况需要延长投标有效期的，招标人通过广西壮族自治区公共资源交易平台系统通知所有投标人延长投标有效期。投标人同意延长的，应相应延长其投标保证金的有效期，但不得要求或被允许修改或撤销其投标文件；投标人拒绝延长的，其投标失效，但投标人有权收回其投标保证金。</w:t>
      </w:r>
    </w:p>
    <w:p>
      <w:pPr>
        <w:pStyle w:val="5"/>
        <w:rPr>
          <w:color w:val="000000"/>
        </w:rPr>
      </w:pPr>
      <w:bookmarkStart w:id="357" w:name="_Toc419364248"/>
      <w:bookmarkStart w:id="358" w:name="_Toc419320121"/>
      <w:bookmarkStart w:id="359" w:name="_Toc419363524"/>
      <w:bookmarkStart w:id="360" w:name="_Toc419321157"/>
      <w:bookmarkStart w:id="361" w:name="_Toc433988591"/>
      <w:r>
        <w:rPr>
          <w:color w:val="000000"/>
        </w:rPr>
        <w:t xml:space="preserve">3.4 </w:t>
      </w:r>
      <w:r>
        <w:rPr>
          <w:rFonts w:hint="eastAsia"/>
          <w:color w:val="000000"/>
        </w:rPr>
        <w:t xml:space="preserve"> 投标保证金</w:t>
      </w:r>
      <w:bookmarkEnd w:id="357"/>
      <w:bookmarkEnd w:id="358"/>
      <w:bookmarkEnd w:id="359"/>
      <w:bookmarkEnd w:id="360"/>
      <w:bookmarkEnd w:id="361"/>
    </w:p>
    <w:p>
      <w:pPr>
        <w:autoSpaceDE w:val="0"/>
        <w:autoSpaceDN w:val="0"/>
        <w:adjustRightInd w:val="0"/>
        <w:spacing w:line="400" w:lineRule="exact"/>
        <w:ind w:firstLine="359" w:firstLineChars="171"/>
        <w:jc w:val="left"/>
        <w:rPr>
          <w:rFonts w:ascii="宋体" w:hAnsi="宋体" w:cs="TimesNewRomanPSMT"/>
          <w:color w:val="000000"/>
          <w:kern w:val="0"/>
          <w:szCs w:val="21"/>
        </w:rPr>
      </w:pPr>
      <w:r>
        <w:rPr>
          <w:rFonts w:ascii="宋体" w:hAnsi="宋体" w:cs="TimesNewRomanPSMT"/>
          <w:color w:val="000000"/>
          <w:kern w:val="0"/>
          <w:szCs w:val="21"/>
        </w:rPr>
        <w:t>3.4.1</w:t>
      </w:r>
      <w:r>
        <w:rPr>
          <w:rFonts w:hint="eastAsia" w:ascii="宋体" w:hAnsi="宋体" w:cs="TimesNewRomanPSMT"/>
          <w:color w:val="000000"/>
          <w:kern w:val="0"/>
          <w:szCs w:val="21"/>
        </w:rPr>
        <w:t>投标人必须在投标截止时间前，按“投标人须知前附表”规定的金额、方式和第七章“投标文件格式”规定的投标保证金格式提交投标保证金。投标保证金的提交情况以广西壮族自治区公共资源交易平台系统记录为准。联合体投标的，其投标保证金由联合体的任一方提交，并应符合“投标人须知前附表”的规定。</w:t>
      </w:r>
    </w:p>
    <w:p>
      <w:pPr>
        <w:autoSpaceDE w:val="0"/>
        <w:autoSpaceDN w:val="0"/>
        <w:adjustRightInd w:val="0"/>
        <w:spacing w:line="400" w:lineRule="exact"/>
        <w:ind w:firstLine="359" w:firstLineChars="171"/>
        <w:jc w:val="left"/>
        <w:rPr>
          <w:rFonts w:ascii="宋体" w:hAnsi="宋体" w:cs="TimesNewRomanPSMT"/>
          <w:color w:val="000000"/>
          <w:kern w:val="0"/>
          <w:szCs w:val="21"/>
        </w:rPr>
      </w:pPr>
      <w:r>
        <w:rPr>
          <w:rFonts w:ascii="宋体" w:hAnsi="宋体" w:cs="TimesNewRomanPSMT"/>
          <w:color w:val="000000"/>
          <w:kern w:val="0"/>
          <w:szCs w:val="21"/>
        </w:rPr>
        <w:t xml:space="preserve">3.4.2 </w:t>
      </w:r>
      <w:r>
        <w:rPr>
          <w:rFonts w:hint="eastAsia" w:ascii="宋体" w:hAnsi="宋体" w:cs="TimesNewRomanPSMT"/>
          <w:color w:val="000000"/>
          <w:kern w:val="0"/>
          <w:szCs w:val="21"/>
        </w:rPr>
        <w:t>投标人不按本章第</w:t>
      </w:r>
      <w:r>
        <w:rPr>
          <w:rFonts w:ascii="宋体" w:hAnsi="宋体" w:cs="TimesNewRomanPSMT"/>
          <w:color w:val="000000"/>
          <w:kern w:val="0"/>
          <w:szCs w:val="21"/>
        </w:rPr>
        <w:t xml:space="preserve">3.4.1 </w:t>
      </w:r>
      <w:r>
        <w:rPr>
          <w:rFonts w:hint="eastAsia" w:ascii="宋体" w:hAnsi="宋体" w:cs="TimesNewRomanPSMT"/>
          <w:color w:val="000000"/>
          <w:kern w:val="0"/>
          <w:szCs w:val="21"/>
        </w:rPr>
        <w:t>项要求提交投标保证金的，其投标文件作无效投标处理。</w:t>
      </w:r>
    </w:p>
    <w:p>
      <w:pPr>
        <w:autoSpaceDE w:val="0"/>
        <w:autoSpaceDN w:val="0"/>
        <w:adjustRightInd w:val="0"/>
        <w:spacing w:line="400" w:lineRule="exact"/>
        <w:ind w:firstLine="359" w:firstLineChars="171"/>
        <w:jc w:val="left"/>
        <w:rPr>
          <w:rFonts w:ascii="宋体" w:hAnsi="宋体" w:cs="TimesNewRomanPSMT"/>
          <w:color w:val="000000"/>
          <w:kern w:val="0"/>
          <w:szCs w:val="21"/>
        </w:rPr>
      </w:pPr>
      <w:r>
        <w:rPr>
          <w:rFonts w:ascii="宋体" w:hAnsi="宋体" w:cs="TimesNewRomanPSMT"/>
          <w:color w:val="000000"/>
          <w:kern w:val="0"/>
          <w:szCs w:val="21"/>
        </w:rPr>
        <w:t>3.4.3</w:t>
      </w:r>
      <w:r>
        <w:rPr>
          <w:rFonts w:hint="eastAsia" w:ascii="宋体" w:hAnsi="宋体" w:cs="TimesNewRomanPSMT"/>
          <w:color w:val="000000"/>
          <w:kern w:val="0"/>
          <w:szCs w:val="21"/>
        </w:rPr>
        <w:t xml:space="preserve"> </w:t>
      </w:r>
      <w:r>
        <w:rPr>
          <w:rFonts w:ascii="宋体" w:hAnsi="宋体" w:cs="TimesNewRomanPSMT"/>
          <w:color w:val="000000"/>
          <w:kern w:val="0"/>
          <w:szCs w:val="21"/>
        </w:rPr>
        <w:t>对未中标人交纳的投标保证金</w:t>
      </w:r>
      <w:r>
        <w:rPr>
          <w:rFonts w:hint="eastAsia" w:ascii="宋体" w:hAnsi="宋体" w:cs="TimesNewRomanPSMT"/>
          <w:color w:val="000000"/>
          <w:kern w:val="0"/>
          <w:szCs w:val="21"/>
        </w:rPr>
        <w:t>（保函原件）</w:t>
      </w:r>
      <w:r>
        <w:rPr>
          <w:rFonts w:ascii="宋体" w:hAnsi="宋体" w:cs="TimesNewRomanPSMT"/>
          <w:color w:val="000000"/>
          <w:kern w:val="0"/>
          <w:szCs w:val="21"/>
        </w:rPr>
        <w:t>应当于中标通知书发出之日起5日内退回；对中标人交纳的投标保证金</w:t>
      </w:r>
      <w:r>
        <w:rPr>
          <w:rFonts w:hint="eastAsia" w:ascii="宋体" w:hAnsi="宋体" w:cs="TimesNewRomanPSMT"/>
          <w:color w:val="000000"/>
          <w:kern w:val="0"/>
          <w:szCs w:val="21"/>
        </w:rPr>
        <w:t>（保函原件）</w:t>
      </w:r>
      <w:r>
        <w:rPr>
          <w:rFonts w:ascii="宋体" w:hAnsi="宋体" w:cs="TimesNewRomanPSMT"/>
          <w:color w:val="000000"/>
          <w:kern w:val="0"/>
          <w:szCs w:val="21"/>
        </w:rPr>
        <w:t>应当于合同签订之日起5日内退回。</w:t>
      </w:r>
    </w:p>
    <w:p>
      <w:pPr>
        <w:autoSpaceDE w:val="0"/>
        <w:autoSpaceDN w:val="0"/>
        <w:adjustRightInd w:val="0"/>
        <w:spacing w:line="400" w:lineRule="exact"/>
        <w:ind w:firstLine="359" w:firstLineChars="171"/>
        <w:jc w:val="left"/>
        <w:rPr>
          <w:rFonts w:ascii="宋体" w:hAnsi="宋体" w:cs="TimesNewRomanPSMT"/>
          <w:color w:val="000000"/>
          <w:kern w:val="0"/>
          <w:szCs w:val="21"/>
        </w:rPr>
      </w:pPr>
      <w:r>
        <w:rPr>
          <w:rFonts w:ascii="宋体" w:hAnsi="宋体" w:cs="TimesNewRomanPSMT"/>
          <w:color w:val="000000"/>
          <w:kern w:val="0"/>
          <w:szCs w:val="21"/>
        </w:rPr>
        <w:t xml:space="preserve">3.4.4 </w:t>
      </w:r>
      <w:r>
        <w:rPr>
          <w:rFonts w:hint="eastAsia" w:ascii="宋体" w:hAnsi="宋体" w:cs="TimesNewRomanPSMT"/>
          <w:color w:val="000000"/>
          <w:kern w:val="0"/>
          <w:szCs w:val="21"/>
        </w:rPr>
        <w:t>有下列情形之一的，投标保证金将不予退还：</w:t>
      </w:r>
    </w:p>
    <w:p>
      <w:pPr>
        <w:autoSpaceDE w:val="0"/>
        <w:autoSpaceDN w:val="0"/>
        <w:adjustRightInd w:val="0"/>
        <w:spacing w:line="400" w:lineRule="exact"/>
        <w:ind w:firstLine="359" w:firstLineChars="171"/>
        <w:jc w:val="left"/>
        <w:rPr>
          <w:rFonts w:ascii="宋体" w:hAnsi="宋体" w:cs="TimesNewRomanPSMT"/>
          <w:color w:val="000000"/>
          <w:kern w:val="0"/>
          <w:szCs w:val="21"/>
        </w:rPr>
      </w:pPr>
      <w:r>
        <w:rPr>
          <w:rFonts w:hint="eastAsia" w:ascii="宋体" w:hAnsi="宋体" w:cs="TimesNewRomanPSMT"/>
          <w:color w:val="000000"/>
          <w:kern w:val="0"/>
          <w:szCs w:val="21"/>
        </w:rPr>
        <w:t>（</w:t>
      </w:r>
      <w:r>
        <w:rPr>
          <w:rFonts w:ascii="宋体" w:hAnsi="宋体" w:cs="TimesNewRomanPSMT"/>
          <w:color w:val="000000"/>
          <w:kern w:val="0"/>
          <w:szCs w:val="21"/>
        </w:rPr>
        <w:t>1</w:t>
      </w:r>
      <w:r>
        <w:rPr>
          <w:rFonts w:hint="eastAsia" w:ascii="宋体" w:hAnsi="宋体" w:cs="TimesNewRomanPSMT"/>
          <w:color w:val="000000"/>
          <w:kern w:val="0"/>
          <w:szCs w:val="21"/>
        </w:rPr>
        <w:t>）投标人在规定的投标有效期内撤销或修改其投标文件；</w:t>
      </w:r>
    </w:p>
    <w:p>
      <w:pPr>
        <w:autoSpaceDE w:val="0"/>
        <w:autoSpaceDN w:val="0"/>
        <w:adjustRightInd w:val="0"/>
        <w:spacing w:line="400" w:lineRule="exact"/>
        <w:ind w:firstLine="359" w:firstLineChars="171"/>
        <w:jc w:val="left"/>
        <w:rPr>
          <w:rFonts w:ascii="宋体" w:hAnsi="宋体" w:cs="TimesNewRomanPSMT"/>
          <w:color w:val="000000"/>
          <w:kern w:val="0"/>
          <w:szCs w:val="21"/>
        </w:rPr>
      </w:pPr>
      <w:r>
        <w:rPr>
          <w:rFonts w:hint="eastAsia" w:ascii="宋体" w:hAnsi="宋体" w:cs="TimesNewRomanPSMT"/>
          <w:color w:val="000000"/>
          <w:kern w:val="0"/>
          <w:szCs w:val="21"/>
        </w:rPr>
        <w:t>（</w:t>
      </w:r>
      <w:r>
        <w:rPr>
          <w:rFonts w:ascii="宋体" w:hAnsi="宋体" w:cs="TimesNewRomanPSMT"/>
          <w:color w:val="000000"/>
          <w:kern w:val="0"/>
          <w:szCs w:val="21"/>
        </w:rPr>
        <w:t>2</w:t>
      </w:r>
      <w:r>
        <w:rPr>
          <w:rFonts w:hint="eastAsia" w:ascii="宋体" w:hAnsi="宋体" w:cs="TimesNewRomanPSMT"/>
          <w:color w:val="000000"/>
          <w:kern w:val="0"/>
          <w:szCs w:val="21"/>
        </w:rPr>
        <w:t>）中标人在收到中标通知书后，无正当理由拒签合同协议书或未按招标文件规定提交履约担保。</w:t>
      </w:r>
    </w:p>
    <w:p>
      <w:pPr>
        <w:pStyle w:val="5"/>
        <w:rPr>
          <w:rFonts w:hint="eastAsia"/>
          <w:color w:val="000000"/>
        </w:rPr>
      </w:pPr>
      <w:bookmarkStart w:id="362" w:name="_Toc419321158"/>
      <w:bookmarkStart w:id="363" w:name="_Toc419320122"/>
      <w:bookmarkStart w:id="364" w:name="_Toc419363525"/>
      <w:bookmarkStart w:id="365" w:name="_Toc433988592"/>
      <w:bookmarkStart w:id="366" w:name="_Toc419364249"/>
      <w:r>
        <w:rPr>
          <w:color w:val="000000"/>
        </w:rPr>
        <w:t xml:space="preserve">3.5 </w:t>
      </w:r>
      <w:r>
        <w:rPr>
          <w:rFonts w:hint="eastAsia"/>
          <w:color w:val="000000"/>
        </w:rPr>
        <w:t>资格审查资料</w:t>
      </w:r>
      <w:bookmarkEnd w:id="362"/>
      <w:bookmarkEnd w:id="363"/>
      <w:bookmarkEnd w:id="364"/>
      <w:bookmarkEnd w:id="365"/>
      <w:bookmarkEnd w:id="366"/>
      <w:r>
        <w:rPr>
          <w:rFonts w:hint="eastAsia"/>
          <w:color w:val="000000"/>
        </w:rPr>
        <w:t>（适用于已进行资格预审的）</w:t>
      </w:r>
    </w:p>
    <w:p>
      <w:pPr>
        <w:autoSpaceDE w:val="0"/>
        <w:autoSpaceDN w:val="0"/>
        <w:adjustRightInd w:val="0"/>
        <w:spacing w:line="400" w:lineRule="exact"/>
        <w:ind w:firstLine="420"/>
        <w:jc w:val="left"/>
        <w:rPr>
          <w:rFonts w:hint="eastAsia" w:ascii="宋体" w:hAnsi="宋体" w:cs="TimesNewRomanPSMT"/>
          <w:color w:val="000000"/>
          <w:kern w:val="0"/>
          <w:szCs w:val="21"/>
        </w:rPr>
      </w:pPr>
      <w:r>
        <w:rPr>
          <w:rFonts w:hint="eastAsia" w:ascii="宋体" w:hAnsi="宋体" w:cs="TimesNewRomanPSMT"/>
          <w:color w:val="000000"/>
          <w:kern w:val="0"/>
          <w:szCs w:val="21"/>
        </w:rPr>
        <w:t>投标人在递交投标文件前，发生可能影响其投标资格的新情况的，应更新或补充其在申请资格预审时提供的资料，以证实其各项资格条件仍能继续满足资格预审文件的要求，且没有实质性降低。</w:t>
      </w:r>
    </w:p>
    <w:p>
      <w:pPr>
        <w:pStyle w:val="5"/>
        <w:rPr>
          <w:color w:val="000000"/>
        </w:rPr>
      </w:pPr>
      <w:bookmarkStart w:id="367" w:name="_Toc419320124"/>
      <w:bookmarkStart w:id="368" w:name="_Toc419321160"/>
      <w:bookmarkStart w:id="369" w:name="_Toc419363527"/>
      <w:bookmarkStart w:id="370" w:name="_Toc419364251"/>
      <w:bookmarkStart w:id="371" w:name="_Toc433988594"/>
      <w:r>
        <w:rPr>
          <w:color w:val="000000"/>
        </w:rPr>
        <w:t xml:space="preserve">3.6 </w:t>
      </w:r>
      <w:r>
        <w:rPr>
          <w:rFonts w:hint="eastAsia"/>
          <w:color w:val="000000"/>
        </w:rPr>
        <w:t>备选投标方案</w:t>
      </w:r>
      <w:bookmarkEnd w:id="367"/>
      <w:bookmarkEnd w:id="368"/>
      <w:bookmarkEnd w:id="369"/>
      <w:bookmarkEnd w:id="370"/>
      <w:bookmarkEnd w:id="371"/>
    </w:p>
    <w:p>
      <w:pPr>
        <w:autoSpaceDE w:val="0"/>
        <w:autoSpaceDN w:val="0"/>
        <w:adjustRightInd w:val="0"/>
        <w:spacing w:line="400" w:lineRule="exact"/>
        <w:ind w:firstLine="359" w:firstLineChars="171"/>
        <w:jc w:val="left"/>
        <w:rPr>
          <w:rFonts w:ascii="宋体" w:hAnsi="宋体" w:cs="TimesNewRomanPSMT"/>
          <w:color w:val="000000"/>
          <w:kern w:val="0"/>
          <w:szCs w:val="21"/>
        </w:rPr>
      </w:pPr>
      <w:r>
        <w:rPr>
          <w:rFonts w:hint="eastAsia" w:ascii="宋体" w:hAnsi="宋体" w:cs="TimesNewRomanPSMT"/>
          <w:color w:val="000000"/>
          <w:kern w:val="0"/>
          <w:szCs w:val="21"/>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pPr>
        <w:pStyle w:val="5"/>
        <w:rPr>
          <w:color w:val="000000"/>
        </w:rPr>
      </w:pPr>
      <w:bookmarkStart w:id="372" w:name="_Toc419320125"/>
      <w:bookmarkStart w:id="373" w:name="_Toc419321161"/>
      <w:bookmarkStart w:id="374" w:name="_Toc419363528"/>
      <w:bookmarkStart w:id="375" w:name="_Toc433988595"/>
      <w:bookmarkStart w:id="376" w:name="_Toc419364252"/>
      <w:r>
        <w:rPr>
          <w:color w:val="000000"/>
        </w:rPr>
        <w:t xml:space="preserve">3.7 </w:t>
      </w:r>
      <w:r>
        <w:rPr>
          <w:rFonts w:hint="eastAsia"/>
          <w:color w:val="000000"/>
        </w:rPr>
        <w:t>投标文件的编制</w:t>
      </w:r>
      <w:bookmarkEnd w:id="372"/>
      <w:bookmarkEnd w:id="373"/>
      <w:bookmarkEnd w:id="374"/>
      <w:bookmarkEnd w:id="375"/>
      <w:bookmarkEnd w:id="376"/>
    </w:p>
    <w:p>
      <w:pPr>
        <w:autoSpaceDE w:val="0"/>
        <w:autoSpaceDN w:val="0"/>
        <w:adjustRightInd w:val="0"/>
        <w:spacing w:line="400" w:lineRule="exact"/>
        <w:ind w:firstLine="359" w:firstLineChars="171"/>
        <w:jc w:val="left"/>
        <w:rPr>
          <w:rFonts w:ascii="宋体" w:hAnsi="宋体" w:cs="TimesNewRomanPSMT"/>
          <w:color w:val="000000"/>
          <w:kern w:val="0"/>
          <w:szCs w:val="21"/>
        </w:rPr>
      </w:pPr>
      <w:r>
        <w:rPr>
          <w:rFonts w:ascii="宋体" w:hAnsi="宋体" w:cs="TimesNewRomanPSMT"/>
          <w:color w:val="000000"/>
          <w:kern w:val="0"/>
          <w:szCs w:val="21"/>
        </w:rPr>
        <w:t xml:space="preserve">3.7.1 </w:t>
      </w:r>
      <w:r>
        <w:rPr>
          <w:rFonts w:hint="eastAsia" w:ascii="宋体" w:hAnsi="宋体" w:cs="TimesNewRomanPSMT"/>
          <w:color w:val="000000"/>
          <w:kern w:val="0"/>
          <w:szCs w:val="21"/>
        </w:rPr>
        <w:t>投标文件应按</w:t>
      </w:r>
      <w:r>
        <w:rPr>
          <w:rFonts w:hint="eastAsia" w:ascii="宋体" w:hAnsi="宋体" w:cs="TimesNewRomanPSMT"/>
          <w:b/>
          <w:color w:val="000000"/>
          <w:kern w:val="0"/>
          <w:szCs w:val="21"/>
        </w:rPr>
        <w:t>第七章</w:t>
      </w:r>
      <w:r>
        <w:rPr>
          <w:rFonts w:hint="eastAsia" w:ascii="宋体" w:hAnsi="宋体" w:cs="TimesNewRomanPSMT"/>
          <w:color w:val="000000"/>
          <w:kern w:val="0"/>
          <w:szCs w:val="21"/>
        </w:rPr>
        <w:t>“投标文件格式”进行编写，如有必要，可以增加附页，作为投标文件的组成部分。其中，投标函附录在满足招标文件实质性要求的基础上，可以提出比招标文件要求更有利于招标人的承诺。</w:t>
      </w:r>
    </w:p>
    <w:p>
      <w:pPr>
        <w:autoSpaceDE w:val="0"/>
        <w:autoSpaceDN w:val="0"/>
        <w:adjustRightInd w:val="0"/>
        <w:spacing w:line="400" w:lineRule="exact"/>
        <w:ind w:firstLine="359" w:firstLineChars="171"/>
        <w:jc w:val="left"/>
        <w:rPr>
          <w:rFonts w:ascii="宋体" w:hAnsi="宋体" w:cs="TimesNewRomanPSMT"/>
          <w:color w:val="000000"/>
          <w:kern w:val="0"/>
          <w:szCs w:val="21"/>
        </w:rPr>
      </w:pPr>
      <w:r>
        <w:rPr>
          <w:rFonts w:ascii="宋体" w:hAnsi="宋体" w:cs="TimesNewRomanPSMT"/>
          <w:color w:val="000000"/>
          <w:kern w:val="0"/>
          <w:szCs w:val="21"/>
        </w:rPr>
        <w:t xml:space="preserve">3.7.2 </w:t>
      </w:r>
      <w:r>
        <w:rPr>
          <w:rFonts w:hint="eastAsia" w:ascii="宋体" w:hAnsi="宋体" w:cs="TimesNewRomanPSMT"/>
          <w:color w:val="000000"/>
          <w:kern w:val="0"/>
          <w:szCs w:val="21"/>
        </w:rPr>
        <w:t>投标文件应当对招标文件有关工期、投标有效期、质量要求、技术标准和要求、招标范围等实质性内容作出响应。</w:t>
      </w:r>
    </w:p>
    <w:p>
      <w:pPr>
        <w:autoSpaceDE w:val="0"/>
        <w:autoSpaceDN w:val="0"/>
        <w:adjustRightInd w:val="0"/>
        <w:spacing w:line="400" w:lineRule="exact"/>
        <w:ind w:firstLine="359" w:firstLineChars="171"/>
        <w:jc w:val="left"/>
        <w:rPr>
          <w:rFonts w:hint="eastAsia" w:ascii="宋体" w:hAnsi="宋体" w:cs="仿宋_GB2312"/>
          <w:color w:val="000000"/>
          <w:kern w:val="0"/>
          <w:szCs w:val="21"/>
        </w:rPr>
      </w:pPr>
      <w:r>
        <w:rPr>
          <w:rFonts w:ascii="宋体" w:hAnsi="宋体" w:cs="TimesNewRomanPSMT"/>
          <w:color w:val="000000"/>
          <w:kern w:val="0"/>
          <w:szCs w:val="21"/>
        </w:rPr>
        <w:t>3.7.3</w:t>
      </w:r>
      <w:r>
        <w:rPr>
          <w:rFonts w:hint="eastAsia" w:ascii="宋体" w:hAnsi="宋体" w:cs="仿宋_GB2312"/>
          <w:color w:val="000000"/>
          <w:kern w:val="0"/>
          <w:szCs w:val="21"/>
        </w:rPr>
        <w:t>投标文件应采用广西壮族自治区公共资源交易平台系统兼容的投标文件制作软件制作，电子投标文件由投标人在招标文件规定的投标文件相关位置加盖投标人法人单位电子印章。投标文件未经投标人法人单位加盖法人单位电子印章的，均作否决投标处理。联合体投标的，除联合体协议书需要双方盖章，其他只需盖联合体任一单位的电子印章。</w:t>
      </w:r>
    </w:p>
    <w:p>
      <w:pPr>
        <w:autoSpaceDE w:val="0"/>
        <w:autoSpaceDN w:val="0"/>
        <w:adjustRightInd w:val="0"/>
        <w:spacing w:line="400" w:lineRule="exact"/>
        <w:ind w:firstLine="359" w:firstLineChars="171"/>
        <w:jc w:val="left"/>
        <w:rPr>
          <w:rFonts w:hint="eastAsia" w:ascii="宋体" w:hAnsi="宋体" w:cs="仿宋_GB2312"/>
          <w:color w:val="000000"/>
          <w:kern w:val="0"/>
          <w:szCs w:val="21"/>
        </w:rPr>
      </w:pPr>
      <w:r>
        <w:rPr>
          <w:rFonts w:hint="eastAsia" w:ascii="宋体" w:hAnsi="宋体" w:cs="仿宋_GB2312"/>
          <w:color w:val="000000"/>
          <w:kern w:val="0"/>
          <w:szCs w:val="21"/>
        </w:rPr>
        <w:t>3.7.4电子投标文件一份见“投标人须知前附表”。</w:t>
      </w:r>
    </w:p>
    <w:p>
      <w:pPr>
        <w:autoSpaceDE w:val="0"/>
        <w:autoSpaceDN w:val="0"/>
        <w:adjustRightInd w:val="0"/>
        <w:spacing w:line="400" w:lineRule="exact"/>
        <w:ind w:firstLine="359" w:firstLineChars="171"/>
        <w:jc w:val="left"/>
        <w:rPr>
          <w:rFonts w:hint="eastAsia" w:ascii="宋体" w:hAnsi="宋体" w:cs="TimesNewRomanPSMT"/>
          <w:color w:val="000000"/>
          <w:kern w:val="0"/>
          <w:szCs w:val="21"/>
        </w:rPr>
      </w:pPr>
      <w:r>
        <w:rPr>
          <w:rFonts w:hint="eastAsia" w:ascii="宋体" w:hAnsi="宋体" w:cs="仿宋_GB2312"/>
          <w:color w:val="000000"/>
          <w:kern w:val="0"/>
          <w:szCs w:val="21"/>
        </w:rPr>
        <w:t>3.7.5补充内容：投标文件编制的其它要求详见“投标人须知前附表”</w:t>
      </w:r>
      <w:r>
        <w:rPr>
          <w:rFonts w:hint="eastAsia" w:ascii="宋体" w:hAnsi="宋体" w:cs="TimesNewRomanPSMT"/>
          <w:color w:val="000000"/>
          <w:kern w:val="0"/>
          <w:szCs w:val="21"/>
        </w:rPr>
        <w:t>。</w:t>
      </w:r>
    </w:p>
    <w:p>
      <w:pPr>
        <w:pStyle w:val="4"/>
        <w:rPr>
          <w:color w:val="000000"/>
        </w:rPr>
      </w:pPr>
      <w:bookmarkStart w:id="377" w:name="_Toc282823829"/>
      <w:bookmarkStart w:id="378" w:name="_Toc414553656"/>
      <w:bookmarkStart w:id="379" w:name="_Toc419320126"/>
      <w:bookmarkStart w:id="380" w:name="_Toc419364253"/>
      <w:bookmarkStart w:id="381" w:name="_Toc59203009"/>
      <w:bookmarkStart w:id="382" w:name="_Toc419321162"/>
      <w:bookmarkStart w:id="383" w:name="_Toc433988596"/>
      <w:bookmarkStart w:id="384" w:name="_Toc419363529"/>
      <w:bookmarkStart w:id="385" w:name="_Toc396778061"/>
      <w:r>
        <w:rPr>
          <w:color w:val="000000"/>
        </w:rPr>
        <w:t>4</w:t>
      </w:r>
      <w:r>
        <w:rPr>
          <w:rFonts w:hint="eastAsia"/>
          <w:color w:val="000000"/>
        </w:rPr>
        <w:t>．投标</w:t>
      </w:r>
      <w:bookmarkEnd w:id="377"/>
      <w:bookmarkEnd w:id="378"/>
      <w:bookmarkEnd w:id="379"/>
      <w:bookmarkEnd w:id="380"/>
      <w:bookmarkEnd w:id="381"/>
      <w:bookmarkEnd w:id="382"/>
      <w:bookmarkEnd w:id="383"/>
      <w:bookmarkEnd w:id="384"/>
      <w:bookmarkEnd w:id="385"/>
    </w:p>
    <w:p>
      <w:pPr>
        <w:pStyle w:val="5"/>
        <w:rPr>
          <w:color w:val="000000"/>
        </w:rPr>
      </w:pPr>
      <w:bookmarkStart w:id="386" w:name="_Toc419320127"/>
      <w:bookmarkStart w:id="387" w:name="_Toc419363530"/>
      <w:bookmarkStart w:id="388" w:name="_Toc433988597"/>
      <w:bookmarkStart w:id="389" w:name="_Toc419321163"/>
      <w:bookmarkStart w:id="390" w:name="_Toc419364254"/>
      <w:r>
        <w:rPr>
          <w:color w:val="000000"/>
        </w:rPr>
        <w:t>4.1</w:t>
      </w:r>
      <w:r>
        <w:rPr>
          <w:rFonts w:hint="eastAsia"/>
          <w:color w:val="000000"/>
        </w:rPr>
        <w:t>投标文件的加密和数字证书认证</w:t>
      </w:r>
      <w:bookmarkEnd w:id="386"/>
      <w:bookmarkEnd w:id="387"/>
      <w:bookmarkEnd w:id="388"/>
      <w:bookmarkEnd w:id="389"/>
      <w:bookmarkEnd w:id="390"/>
    </w:p>
    <w:p>
      <w:pPr>
        <w:autoSpaceDE w:val="0"/>
        <w:autoSpaceDN w:val="0"/>
        <w:adjustRightInd w:val="0"/>
        <w:spacing w:line="400" w:lineRule="exact"/>
        <w:ind w:firstLine="359" w:firstLineChars="171"/>
        <w:jc w:val="left"/>
        <w:rPr>
          <w:rFonts w:hint="eastAsia" w:ascii="宋体" w:hAnsi="宋体" w:cs="TimesNewRomanPSMT"/>
          <w:color w:val="000000"/>
          <w:kern w:val="0"/>
          <w:szCs w:val="21"/>
        </w:rPr>
      </w:pPr>
      <w:r>
        <w:rPr>
          <w:rFonts w:ascii="宋体" w:hAnsi="宋体" w:cs="TimesNewRomanPSMT"/>
          <w:color w:val="000000"/>
          <w:kern w:val="0"/>
          <w:szCs w:val="21"/>
        </w:rPr>
        <w:t>4.1.1</w:t>
      </w:r>
      <w:r>
        <w:rPr>
          <w:rFonts w:hint="eastAsia" w:ascii="宋体" w:hAnsi="宋体" w:cs="TimesNewRomanPSMT"/>
          <w:color w:val="000000"/>
          <w:kern w:val="0"/>
          <w:szCs w:val="21"/>
        </w:rPr>
        <w:t>投标文件应通过投标文件制作软件进行制作，并通过数字证书认证和加密，最终同时生成一份加密格式（*.GXTF）的投标文件</w:t>
      </w:r>
    </w:p>
    <w:p>
      <w:pPr>
        <w:autoSpaceDE w:val="0"/>
        <w:autoSpaceDN w:val="0"/>
        <w:adjustRightInd w:val="0"/>
        <w:spacing w:line="400" w:lineRule="exact"/>
        <w:ind w:firstLine="359" w:firstLineChars="171"/>
        <w:jc w:val="left"/>
        <w:rPr>
          <w:rFonts w:ascii="宋体" w:hAnsi="宋体" w:cs="TimesNewRomanPSMT"/>
          <w:color w:val="000000"/>
          <w:kern w:val="0"/>
          <w:szCs w:val="21"/>
        </w:rPr>
      </w:pPr>
      <w:r>
        <w:rPr>
          <w:rFonts w:hint="eastAsia" w:ascii="宋体" w:hAnsi="宋体" w:cs="TimesNewRomanPSMT"/>
          <w:color w:val="000000"/>
          <w:kern w:val="0"/>
          <w:szCs w:val="21"/>
        </w:rPr>
        <w:t>4.1.2 未按本章第4.1.1项要求加密和数字证书认证的投标文件，为无效投标文件。</w:t>
      </w:r>
    </w:p>
    <w:p>
      <w:pPr>
        <w:pStyle w:val="5"/>
        <w:rPr>
          <w:color w:val="000000"/>
        </w:rPr>
      </w:pPr>
      <w:bookmarkStart w:id="391" w:name="_Toc433988598"/>
      <w:bookmarkStart w:id="392" w:name="_Toc419320128"/>
      <w:bookmarkStart w:id="393" w:name="_Toc419321164"/>
      <w:bookmarkStart w:id="394" w:name="_Toc419363531"/>
      <w:bookmarkStart w:id="395" w:name="_Toc419364255"/>
      <w:r>
        <w:rPr>
          <w:color w:val="000000"/>
        </w:rPr>
        <w:t xml:space="preserve">4.2 </w:t>
      </w:r>
      <w:r>
        <w:rPr>
          <w:rFonts w:hint="eastAsia"/>
          <w:color w:val="000000"/>
        </w:rPr>
        <w:t>投标文件的递交</w:t>
      </w:r>
      <w:bookmarkEnd w:id="391"/>
      <w:bookmarkEnd w:id="392"/>
      <w:bookmarkEnd w:id="393"/>
      <w:bookmarkEnd w:id="394"/>
      <w:bookmarkEnd w:id="395"/>
    </w:p>
    <w:p>
      <w:pPr>
        <w:autoSpaceDE w:val="0"/>
        <w:autoSpaceDN w:val="0"/>
        <w:adjustRightInd w:val="0"/>
        <w:spacing w:line="400" w:lineRule="exact"/>
        <w:ind w:firstLine="359" w:firstLineChars="171"/>
        <w:jc w:val="left"/>
        <w:rPr>
          <w:rFonts w:hint="eastAsia" w:ascii="宋体" w:hAnsi="宋体" w:cs="TimesNewRomanPSMT"/>
          <w:color w:val="000000"/>
          <w:kern w:val="0"/>
          <w:szCs w:val="21"/>
        </w:rPr>
      </w:pPr>
      <w:r>
        <w:rPr>
          <w:rFonts w:ascii="宋体" w:hAnsi="宋体" w:cs="TimesNewRomanPSMT"/>
          <w:color w:val="000000"/>
          <w:kern w:val="0"/>
          <w:szCs w:val="21"/>
        </w:rPr>
        <w:t>4.2</w:t>
      </w:r>
      <w:r>
        <w:rPr>
          <w:rFonts w:hint="eastAsia" w:ascii="宋体" w:hAnsi="宋体" w:cs="TimesNewRomanPSMT"/>
          <w:color w:val="000000"/>
          <w:kern w:val="0"/>
          <w:szCs w:val="21"/>
        </w:rPr>
        <w:t>.1 投标人应在投标人须知前附表第2.2.2项规定的投标截止时间前，向广西壮族自治区公共资源交易平台系统提交加密后的电子投标文件。</w:t>
      </w:r>
    </w:p>
    <w:p>
      <w:pPr>
        <w:autoSpaceDE w:val="0"/>
        <w:autoSpaceDN w:val="0"/>
        <w:adjustRightInd w:val="0"/>
        <w:spacing w:line="400" w:lineRule="exact"/>
        <w:ind w:firstLine="359" w:firstLineChars="171"/>
        <w:jc w:val="left"/>
        <w:rPr>
          <w:rFonts w:hint="eastAsia" w:ascii="宋体" w:hAnsi="宋体" w:cs="TimesNewRomanPSMT"/>
          <w:color w:val="000000"/>
          <w:kern w:val="0"/>
          <w:szCs w:val="21"/>
        </w:rPr>
      </w:pPr>
      <w:r>
        <w:rPr>
          <w:rFonts w:hint="eastAsia" w:ascii="宋体" w:hAnsi="宋体" w:cs="TimesNewRomanPSMT"/>
          <w:color w:val="000000"/>
          <w:kern w:val="0"/>
          <w:szCs w:val="21"/>
        </w:rPr>
        <w:t>4.</w:t>
      </w:r>
      <w:r>
        <w:rPr>
          <w:rFonts w:ascii="宋体" w:hAnsi="宋体" w:cs="TimesNewRomanPSMT"/>
          <w:color w:val="000000"/>
          <w:kern w:val="0"/>
          <w:szCs w:val="21"/>
        </w:rPr>
        <w:t>2</w:t>
      </w:r>
      <w:r>
        <w:rPr>
          <w:rFonts w:hint="eastAsia" w:ascii="宋体" w:hAnsi="宋体" w:cs="TimesNewRomanPSMT"/>
          <w:color w:val="000000"/>
          <w:kern w:val="0"/>
          <w:szCs w:val="21"/>
        </w:rPr>
        <w:t>.2递交投标文件地点：见投标人须知前附表，未在开标截止时间前通过网上招投标系统提交有效电子投标文件的，广西壮族自治区公共资源交易平台系统不予接收。逾期上传的投标文件，为无效投标文件。</w:t>
      </w:r>
    </w:p>
    <w:p>
      <w:pPr>
        <w:autoSpaceDE w:val="0"/>
        <w:autoSpaceDN w:val="0"/>
        <w:adjustRightInd w:val="0"/>
        <w:spacing w:line="400" w:lineRule="exact"/>
        <w:ind w:firstLine="359" w:firstLineChars="171"/>
        <w:jc w:val="left"/>
        <w:rPr>
          <w:rFonts w:ascii="宋体" w:hAnsi="宋体" w:cs="TimesNewRomanPSMT"/>
          <w:color w:val="000000"/>
          <w:kern w:val="0"/>
          <w:szCs w:val="21"/>
        </w:rPr>
      </w:pPr>
      <w:r>
        <w:rPr>
          <w:rFonts w:hint="eastAsia" w:ascii="宋体" w:hAnsi="宋体" w:cs="TimesNewRomanPSMT"/>
          <w:color w:val="000000"/>
          <w:kern w:val="0"/>
          <w:szCs w:val="21"/>
        </w:rPr>
        <w:t>4.</w:t>
      </w:r>
      <w:r>
        <w:rPr>
          <w:rFonts w:ascii="宋体" w:hAnsi="宋体" w:cs="TimesNewRomanPSMT"/>
          <w:color w:val="000000"/>
          <w:kern w:val="0"/>
          <w:szCs w:val="21"/>
        </w:rPr>
        <w:t>2</w:t>
      </w:r>
      <w:r>
        <w:rPr>
          <w:rFonts w:hint="eastAsia" w:ascii="宋体" w:hAnsi="宋体" w:cs="TimesNewRomanPSMT"/>
          <w:color w:val="000000"/>
          <w:kern w:val="0"/>
          <w:szCs w:val="21"/>
        </w:rPr>
        <w:t>.3 是否退还投标文件：见投标人须知前附表。</w:t>
      </w:r>
    </w:p>
    <w:p>
      <w:pPr>
        <w:pStyle w:val="5"/>
        <w:rPr>
          <w:color w:val="000000"/>
        </w:rPr>
      </w:pPr>
      <w:bookmarkStart w:id="396" w:name="_Toc419321165"/>
      <w:bookmarkStart w:id="397" w:name="_Toc419363532"/>
      <w:bookmarkStart w:id="398" w:name="_Toc419364256"/>
      <w:bookmarkStart w:id="399" w:name="_Toc433988599"/>
      <w:bookmarkStart w:id="400" w:name="_Toc419320129"/>
      <w:r>
        <w:rPr>
          <w:color w:val="000000"/>
        </w:rPr>
        <w:t xml:space="preserve">4.3 </w:t>
      </w:r>
      <w:r>
        <w:rPr>
          <w:rFonts w:hint="eastAsia"/>
          <w:color w:val="000000"/>
        </w:rPr>
        <w:t>投标文件的修改与撤回</w:t>
      </w:r>
      <w:bookmarkEnd w:id="396"/>
      <w:bookmarkEnd w:id="397"/>
      <w:bookmarkEnd w:id="398"/>
      <w:bookmarkEnd w:id="399"/>
      <w:bookmarkEnd w:id="400"/>
    </w:p>
    <w:p>
      <w:pPr>
        <w:autoSpaceDE w:val="0"/>
        <w:autoSpaceDN w:val="0"/>
        <w:adjustRightInd w:val="0"/>
        <w:spacing w:line="400" w:lineRule="exact"/>
        <w:ind w:firstLine="359" w:firstLineChars="171"/>
        <w:jc w:val="left"/>
        <w:rPr>
          <w:rFonts w:hint="eastAsia" w:ascii="宋体" w:hAnsi="宋体" w:cs="TimesNewRomanPSMT"/>
          <w:color w:val="000000"/>
          <w:kern w:val="0"/>
          <w:szCs w:val="21"/>
        </w:rPr>
      </w:pPr>
      <w:r>
        <w:rPr>
          <w:rFonts w:ascii="宋体" w:hAnsi="宋体" w:cs="TimesNewRomanPSMT"/>
          <w:color w:val="000000"/>
          <w:kern w:val="0"/>
          <w:szCs w:val="21"/>
        </w:rPr>
        <w:t>4.3</w:t>
      </w:r>
      <w:r>
        <w:rPr>
          <w:rFonts w:hint="eastAsia" w:ascii="宋体" w:hAnsi="宋体" w:cs="TimesNewRomanPSMT"/>
          <w:color w:val="000000"/>
          <w:kern w:val="0"/>
          <w:szCs w:val="21"/>
        </w:rPr>
        <w:t>.1 在投标人须知前附表第2.2.2项规定的投标截止时间前，投标人可以修改或撤回已提交的投标文件，最终投标文件以投标截止时间前上传至广西壮族自治区公共资源交易平台系统的最后一份投标文件为准。</w:t>
      </w:r>
    </w:p>
    <w:p>
      <w:pPr>
        <w:autoSpaceDE w:val="0"/>
        <w:autoSpaceDN w:val="0"/>
        <w:adjustRightInd w:val="0"/>
        <w:spacing w:line="400" w:lineRule="exact"/>
        <w:ind w:firstLine="359" w:firstLineChars="171"/>
        <w:jc w:val="left"/>
        <w:rPr>
          <w:rFonts w:ascii="宋体" w:hAnsi="宋体" w:cs="TimesNewRomanPSMT"/>
          <w:color w:val="000000"/>
          <w:kern w:val="0"/>
          <w:szCs w:val="21"/>
        </w:rPr>
      </w:pPr>
      <w:r>
        <w:rPr>
          <w:rFonts w:hint="eastAsia" w:ascii="宋体" w:hAnsi="宋体" w:cs="TimesNewRomanPSMT"/>
          <w:color w:val="000000"/>
          <w:kern w:val="0"/>
          <w:szCs w:val="21"/>
        </w:rPr>
        <w:t>4.</w:t>
      </w:r>
      <w:r>
        <w:rPr>
          <w:rFonts w:ascii="宋体" w:hAnsi="宋体" w:cs="TimesNewRomanPSMT"/>
          <w:color w:val="000000"/>
          <w:kern w:val="0"/>
          <w:szCs w:val="21"/>
        </w:rPr>
        <w:t>3</w:t>
      </w:r>
      <w:r>
        <w:rPr>
          <w:rFonts w:hint="eastAsia" w:ascii="宋体" w:hAnsi="宋体" w:cs="TimesNewRomanPSMT"/>
          <w:color w:val="000000"/>
          <w:kern w:val="0"/>
          <w:szCs w:val="21"/>
        </w:rPr>
        <w:t>.2 修改的内容为投标文件的组成部分。</w:t>
      </w:r>
    </w:p>
    <w:p>
      <w:pPr>
        <w:pStyle w:val="4"/>
        <w:rPr>
          <w:color w:val="000000"/>
        </w:rPr>
      </w:pPr>
      <w:bookmarkStart w:id="401" w:name="_Toc419320130"/>
      <w:bookmarkStart w:id="402" w:name="_Toc282823830"/>
      <w:bookmarkStart w:id="403" w:name="_Toc396778062"/>
      <w:bookmarkStart w:id="404" w:name="_Toc414553657"/>
      <w:bookmarkStart w:id="405" w:name="_Toc419364257"/>
      <w:bookmarkStart w:id="406" w:name="_Toc419321166"/>
      <w:bookmarkStart w:id="407" w:name="_Toc419363533"/>
      <w:bookmarkStart w:id="408" w:name="_Toc59203010"/>
      <w:bookmarkStart w:id="409" w:name="_Toc433988600"/>
      <w:r>
        <w:rPr>
          <w:color w:val="000000"/>
        </w:rPr>
        <w:t>5</w:t>
      </w:r>
      <w:r>
        <w:rPr>
          <w:rFonts w:hint="eastAsia"/>
          <w:color w:val="000000"/>
        </w:rPr>
        <w:t>．开标</w:t>
      </w:r>
      <w:bookmarkEnd w:id="401"/>
      <w:bookmarkEnd w:id="402"/>
      <w:bookmarkEnd w:id="403"/>
      <w:bookmarkEnd w:id="404"/>
      <w:bookmarkEnd w:id="405"/>
      <w:bookmarkEnd w:id="406"/>
      <w:bookmarkEnd w:id="407"/>
      <w:bookmarkEnd w:id="408"/>
      <w:bookmarkEnd w:id="409"/>
    </w:p>
    <w:p>
      <w:pPr>
        <w:pStyle w:val="5"/>
        <w:rPr>
          <w:color w:val="000000"/>
        </w:rPr>
      </w:pPr>
      <w:bookmarkStart w:id="410" w:name="_Toc419320131"/>
      <w:bookmarkStart w:id="411" w:name="_Toc419321167"/>
      <w:bookmarkStart w:id="412" w:name="_Toc419364258"/>
      <w:bookmarkStart w:id="413" w:name="_Toc433988601"/>
      <w:bookmarkStart w:id="414" w:name="_Toc419363534"/>
      <w:r>
        <w:rPr>
          <w:color w:val="000000"/>
        </w:rPr>
        <w:t xml:space="preserve">5.1 </w:t>
      </w:r>
      <w:r>
        <w:rPr>
          <w:rFonts w:hint="eastAsia"/>
          <w:color w:val="000000"/>
        </w:rPr>
        <w:t>开标时间和地点</w:t>
      </w:r>
      <w:bookmarkEnd w:id="410"/>
      <w:bookmarkEnd w:id="411"/>
      <w:bookmarkEnd w:id="412"/>
      <w:bookmarkEnd w:id="413"/>
      <w:bookmarkEnd w:id="414"/>
    </w:p>
    <w:p>
      <w:pPr>
        <w:spacing w:line="360" w:lineRule="auto"/>
        <w:ind w:firstLine="420" w:firstLineChars="200"/>
        <w:rPr>
          <w:color w:val="000000"/>
          <w:szCs w:val="21"/>
        </w:rPr>
      </w:pPr>
      <w:bookmarkStart w:id="415" w:name="_Toc419321168"/>
      <w:bookmarkStart w:id="416" w:name="_Toc419363535"/>
      <w:bookmarkStart w:id="417" w:name="_Toc419364259"/>
      <w:bookmarkStart w:id="418" w:name="_Toc433988602"/>
      <w:bookmarkStart w:id="419" w:name="_Toc419320132"/>
      <w:r>
        <w:rPr>
          <w:rFonts w:hint="eastAsia"/>
          <w:color w:val="000000"/>
          <w:szCs w:val="21"/>
        </w:rPr>
        <w:t>招标人在本章第2.2.2款规定的投标截止时间（开标时间）和“投标人须知前附表”规定的地点公开开标，并邀请所有投标人的专职投标员准时参加。于投标截止前，参加现场开标的投标人代表必须是法定代表人或专职投标员，必须携带专职投标员本人身份证原件（法定代表人参加现场开标会时，只需提供法定代表人身份证明及法定代表人身份证原件、专职投标员身份证复印件）和携带生成投标文件时所使用的企业CA锁参加开标，现场对电子投标文件进行解密；参加网上开标的投标人由专职投标员登录广西壮族自治区公共资源交易平台系统网上开标室，输入身份证号签到，并通过广西壮族自治区公共资源交易平台系统验证签到，既没有按时参加现场开标，又没有参加网上开标室签到的投标人，视为自动放弃投标。</w:t>
      </w:r>
    </w:p>
    <w:p>
      <w:pPr>
        <w:spacing w:line="360" w:lineRule="auto"/>
        <w:ind w:firstLine="420" w:firstLineChars="200"/>
        <w:rPr>
          <w:rFonts w:hint="eastAsia"/>
          <w:color w:val="000000"/>
          <w:szCs w:val="21"/>
        </w:rPr>
      </w:pPr>
      <w:r>
        <w:rPr>
          <w:rFonts w:hint="eastAsia"/>
          <w:color w:val="000000"/>
          <w:szCs w:val="21"/>
        </w:rPr>
        <w:t>招标代理机构的招标代理员必须到场，并向招标人出示本人身份证原件并验证核验。</w:t>
      </w:r>
    </w:p>
    <w:p>
      <w:pPr>
        <w:spacing w:line="360" w:lineRule="auto"/>
        <w:ind w:firstLine="420" w:firstLineChars="200"/>
        <w:rPr>
          <w:color w:val="000000"/>
          <w:szCs w:val="21"/>
        </w:rPr>
      </w:pPr>
      <w:r>
        <w:rPr>
          <w:rFonts w:hint="eastAsia"/>
          <w:color w:val="000000"/>
          <w:szCs w:val="21"/>
        </w:rPr>
        <w:t>开标会由招标人或其委托的招标代理机构主持</w:t>
      </w:r>
      <w:r>
        <w:rPr>
          <w:color w:val="000000"/>
          <w:szCs w:val="21"/>
        </w:rPr>
        <w:t>。</w:t>
      </w:r>
    </w:p>
    <w:p>
      <w:pPr>
        <w:pStyle w:val="5"/>
        <w:rPr>
          <w:color w:val="000000"/>
        </w:rPr>
      </w:pPr>
      <w:r>
        <w:rPr>
          <w:color w:val="000000"/>
        </w:rPr>
        <w:t xml:space="preserve">5.2 </w:t>
      </w:r>
      <w:r>
        <w:rPr>
          <w:rFonts w:hint="eastAsia"/>
          <w:color w:val="000000"/>
        </w:rPr>
        <w:t>开标程序</w:t>
      </w:r>
      <w:bookmarkEnd w:id="415"/>
      <w:bookmarkEnd w:id="416"/>
      <w:bookmarkEnd w:id="417"/>
      <w:bookmarkEnd w:id="418"/>
      <w:bookmarkEnd w:id="419"/>
    </w:p>
    <w:p>
      <w:pPr>
        <w:autoSpaceDE w:val="0"/>
        <w:autoSpaceDN w:val="0"/>
        <w:adjustRightInd w:val="0"/>
        <w:spacing w:line="400" w:lineRule="exact"/>
        <w:ind w:firstLine="359" w:firstLineChars="171"/>
        <w:jc w:val="left"/>
        <w:rPr>
          <w:rFonts w:ascii="宋体" w:hAnsi="宋体" w:cs="TimesNewRomanPSMT"/>
          <w:color w:val="000000"/>
          <w:kern w:val="0"/>
          <w:szCs w:val="21"/>
        </w:rPr>
      </w:pPr>
      <w:r>
        <w:rPr>
          <w:rFonts w:hint="eastAsia" w:ascii="宋体" w:hAnsi="宋体" w:cs="TimesNewRomanPSMT"/>
          <w:color w:val="000000"/>
          <w:kern w:val="0"/>
          <w:szCs w:val="21"/>
        </w:rPr>
        <w:t>开标会由招标人或其委托的招标代理机构主持。主持人按下列程序进行开标：</w:t>
      </w:r>
    </w:p>
    <w:p>
      <w:pPr>
        <w:spacing w:line="420" w:lineRule="exact"/>
        <w:ind w:firstLine="420" w:firstLineChars="200"/>
        <w:rPr>
          <w:rFonts w:ascii="宋体" w:hAnsi="宋体"/>
          <w:color w:val="000000"/>
          <w:szCs w:val="21"/>
        </w:rPr>
      </w:pPr>
      <w:r>
        <w:rPr>
          <w:rFonts w:hint="eastAsia" w:ascii="宋体" w:hAnsi="宋体"/>
          <w:color w:val="000000"/>
          <w:szCs w:val="21"/>
        </w:rPr>
        <w:t>（1）宣布开标纪律；</w:t>
      </w:r>
    </w:p>
    <w:p>
      <w:pPr>
        <w:spacing w:line="420" w:lineRule="exact"/>
        <w:ind w:firstLine="420" w:firstLineChars="200"/>
        <w:rPr>
          <w:rFonts w:hint="eastAsia" w:ascii="宋体" w:hAnsi="宋体"/>
          <w:color w:val="000000"/>
          <w:szCs w:val="21"/>
        </w:rPr>
      </w:pPr>
      <w:r>
        <w:rPr>
          <w:rFonts w:hint="eastAsia" w:ascii="宋体" w:hAnsi="宋体"/>
          <w:color w:val="000000"/>
          <w:szCs w:val="21"/>
        </w:rPr>
        <w:t>（2）宣布开标人、唱标人、记录人、监标人等有关人员名单；</w:t>
      </w:r>
    </w:p>
    <w:p>
      <w:pPr>
        <w:spacing w:line="420" w:lineRule="exact"/>
        <w:ind w:firstLine="420" w:firstLineChars="200"/>
        <w:rPr>
          <w:rFonts w:hint="eastAsia" w:ascii="宋体" w:hAnsi="宋体"/>
          <w:color w:val="000000"/>
          <w:szCs w:val="21"/>
        </w:rPr>
      </w:pPr>
      <w:r>
        <w:rPr>
          <w:rFonts w:hint="eastAsia" w:ascii="宋体" w:hAnsi="宋体"/>
          <w:color w:val="000000"/>
          <w:szCs w:val="21"/>
        </w:rPr>
        <w:t>（3）公布在投标截止时间前递交投标文件的投标人名称及身份证验证签到等情况；</w:t>
      </w:r>
    </w:p>
    <w:p>
      <w:pPr>
        <w:spacing w:line="420" w:lineRule="exact"/>
        <w:ind w:firstLine="420" w:firstLineChars="200"/>
        <w:rPr>
          <w:rFonts w:hint="eastAsia" w:ascii="宋体" w:hAnsi="宋体"/>
          <w:color w:val="000000"/>
          <w:szCs w:val="21"/>
        </w:rPr>
      </w:pPr>
      <w:r>
        <w:rPr>
          <w:rFonts w:hint="eastAsia" w:ascii="宋体" w:hAnsi="宋体"/>
          <w:color w:val="000000"/>
          <w:szCs w:val="21"/>
        </w:rPr>
        <w:t>（4）由招标人代表和监督人员检查投标人的资格证件（包括网上开标的专职投标员或身份证原件扫描件，到现场开标的，提供专职投标员身份证原件或法人参加现场开标的提供法定代表人身份证明及法定代表人身份证原件、专职投标员身份证复印件等），投标人拟投入的工程</w:t>
      </w:r>
      <w:r>
        <w:rPr>
          <w:rFonts w:ascii="宋体" w:hAnsi="宋体"/>
          <w:color w:val="000000"/>
          <w:szCs w:val="21"/>
        </w:rPr>
        <w:t>总承包</w:t>
      </w:r>
      <w:r>
        <w:rPr>
          <w:rFonts w:hint="eastAsia" w:ascii="宋体" w:hAnsi="宋体"/>
          <w:color w:val="000000"/>
          <w:szCs w:val="21"/>
        </w:rPr>
        <w:t>项目经理、施工</w:t>
      </w:r>
      <w:r>
        <w:rPr>
          <w:rFonts w:ascii="宋体" w:hAnsi="宋体"/>
          <w:color w:val="000000"/>
          <w:szCs w:val="21"/>
        </w:rPr>
        <w:t>项目经理</w:t>
      </w:r>
      <w:r>
        <w:rPr>
          <w:rFonts w:hint="eastAsia" w:ascii="宋体" w:hAnsi="宋体"/>
          <w:color w:val="000000"/>
          <w:szCs w:val="21"/>
        </w:rPr>
        <w:t>被标注为注册状态异常的，本人须持本人身份证原件出席开标会现场，未出席的，招标人有权拒绝该投标人投标；</w:t>
      </w:r>
    </w:p>
    <w:p>
      <w:pPr>
        <w:spacing w:line="420" w:lineRule="exact"/>
        <w:ind w:firstLine="420" w:firstLineChars="200"/>
        <w:rPr>
          <w:rFonts w:hint="eastAsia" w:ascii="宋体" w:hAnsi="宋体"/>
          <w:color w:val="000000"/>
          <w:szCs w:val="22"/>
        </w:rPr>
      </w:pPr>
      <w:r>
        <w:rPr>
          <w:rFonts w:hint="eastAsia" w:ascii="宋体" w:hAnsi="宋体"/>
          <w:color w:val="000000"/>
          <w:szCs w:val="21"/>
        </w:rPr>
        <w:t>（5）</w:t>
      </w:r>
      <w:r>
        <w:rPr>
          <w:rFonts w:hAnsi="宋体" w:cs="宋体"/>
          <w:color w:val="000000"/>
        </w:rPr>
        <w:t>宣布符合条件的投标单位</w:t>
      </w:r>
      <w:r>
        <w:rPr>
          <w:rFonts w:hint="eastAsia" w:ascii="宋体" w:hAnsi="宋体"/>
          <w:color w:val="000000"/>
          <w:szCs w:val="22"/>
        </w:rPr>
        <w:t>按照上传投标文件的先后顺序依次由参加现场开标会的专职投标员持CA锁解密或参加</w:t>
      </w:r>
      <w:r>
        <w:rPr>
          <w:rFonts w:ascii="宋体" w:hAnsi="宋体"/>
          <w:color w:val="000000"/>
          <w:szCs w:val="22"/>
        </w:rPr>
        <w:t>网上开标室开标的专</w:t>
      </w:r>
      <w:r>
        <w:rPr>
          <w:rFonts w:hint="eastAsia" w:ascii="宋体" w:hAnsi="宋体"/>
          <w:color w:val="000000"/>
          <w:szCs w:val="22"/>
        </w:rPr>
        <w:t>职</w:t>
      </w:r>
      <w:r>
        <w:rPr>
          <w:rFonts w:ascii="宋体" w:hAnsi="宋体"/>
          <w:color w:val="000000"/>
          <w:szCs w:val="22"/>
        </w:rPr>
        <w:t>投标员</w:t>
      </w:r>
      <w:r>
        <w:rPr>
          <w:rFonts w:hAnsi="宋体" w:cs="宋体"/>
          <w:color w:val="000000"/>
        </w:rPr>
        <w:t>点击解密按钮</w:t>
      </w:r>
      <w:r>
        <w:rPr>
          <w:rFonts w:hint="eastAsia" w:ascii="宋体" w:hAnsi="宋体"/>
          <w:color w:val="000000"/>
          <w:szCs w:val="22"/>
        </w:rPr>
        <w:t>操作</w:t>
      </w:r>
      <w:r>
        <w:rPr>
          <w:rFonts w:ascii="宋体" w:hAnsi="宋体"/>
          <w:color w:val="000000"/>
          <w:szCs w:val="22"/>
        </w:rPr>
        <w:t>网</w:t>
      </w:r>
      <w:r>
        <w:rPr>
          <w:rFonts w:hint="eastAsia" w:ascii="宋体" w:hAnsi="宋体"/>
          <w:color w:val="000000"/>
          <w:szCs w:val="22"/>
        </w:rPr>
        <w:t>上</w:t>
      </w:r>
      <w:r>
        <w:rPr>
          <w:rFonts w:ascii="宋体" w:hAnsi="宋体"/>
          <w:color w:val="000000"/>
          <w:szCs w:val="22"/>
        </w:rPr>
        <w:t>解密</w:t>
      </w:r>
      <w:r>
        <w:rPr>
          <w:rFonts w:hint="eastAsia" w:ascii="宋体" w:hAnsi="宋体"/>
          <w:color w:val="000000"/>
          <w:szCs w:val="21"/>
        </w:rPr>
        <w:t>；</w:t>
      </w:r>
      <w:r>
        <w:rPr>
          <w:rFonts w:hint="eastAsia" w:ascii="宋体" w:hAnsi="宋体"/>
          <w:color w:val="000000"/>
          <w:szCs w:val="22"/>
        </w:rPr>
        <w:t xml:space="preserve"> </w:t>
      </w:r>
    </w:p>
    <w:p>
      <w:pPr>
        <w:spacing w:line="420" w:lineRule="exact"/>
        <w:ind w:firstLine="525" w:firstLineChars="250"/>
        <w:rPr>
          <w:rFonts w:ascii="宋体" w:hAns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）公布解密情况（解密是否成功、投标人名称、拟投入的工程总承包项目经理</w:t>
      </w:r>
      <w:r>
        <w:rPr>
          <w:rFonts w:ascii="宋体" w:hAnsi="宋体"/>
          <w:color w:val="000000"/>
          <w:szCs w:val="21"/>
        </w:rPr>
        <w:t>、施工</w:t>
      </w:r>
      <w:r>
        <w:rPr>
          <w:rFonts w:hint="eastAsia" w:ascii="宋体" w:hAnsi="宋体"/>
          <w:color w:val="000000"/>
          <w:szCs w:val="21"/>
        </w:rPr>
        <w:t>项目经理和所有专职安全生产管理人员是否通过系统验证、投标家数等情况）</w:t>
      </w:r>
    </w:p>
    <w:p>
      <w:pPr>
        <w:spacing w:line="420" w:lineRule="exact"/>
        <w:ind w:firstLine="525" w:firstLineChars="250"/>
        <w:rPr>
          <w:rFonts w:hint="eastAsia" w:ascii="宋体" w:hAnsi="宋体"/>
          <w:color w:val="000000"/>
          <w:szCs w:val="21"/>
        </w:rPr>
      </w:pPr>
      <w:r>
        <w:rPr>
          <w:rFonts w:hint="eastAsia" w:ascii="宋体" w:hAnsi="宋体"/>
          <w:color w:val="000000"/>
          <w:szCs w:val="21"/>
        </w:rPr>
        <w:t>（</w:t>
      </w:r>
      <w:r>
        <w:rPr>
          <w:rFonts w:ascii="宋体" w:hAnsi="宋体"/>
          <w:color w:val="000000"/>
          <w:szCs w:val="21"/>
        </w:rPr>
        <w:t>7</w:t>
      </w:r>
      <w:r>
        <w:rPr>
          <w:rFonts w:hint="eastAsia" w:ascii="宋体" w:hAnsi="宋体"/>
          <w:color w:val="000000"/>
          <w:szCs w:val="21"/>
        </w:rPr>
        <w:t>）招标人代表随机抽取企业信誉实力分分值权重、K值；</w:t>
      </w:r>
    </w:p>
    <w:p>
      <w:pPr>
        <w:spacing w:line="420" w:lineRule="exact"/>
        <w:ind w:firstLine="525" w:firstLineChars="250"/>
        <w:rPr>
          <w:rFonts w:ascii="宋体" w:hAnsi="宋体"/>
          <w:color w:val="000000"/>
          <w:szCs w:val="21"/>
        </w:rPr>
      </w:pPr>
      <w:r>
        <w:rPr>
          <w:rFonts w:hint="eastAsia" w:ascii="宋体" w:hAnsi="宋体"/>
          <w:color w:val="000000"/>
          <w:szCs w:val="21"/>
        </w:rPr>
        <w:t>（</w:t>
      </w:r>
      <w:r>
        <w:rPr>
          <w:rFonts w:ascii="宋体" w:hAnsi="宋体"/>
          <w:color w:val="000000"/>
          <w:szCs w:val="21"/>
        </w:rPr>
        <w:t>8</w:t>
      </w:r>
      <w:r>
        <w:rPr>
          <w:rFonts w:hint="eastAsia" w:ascii="宋体" w:hAnsi="宋体"/>
          <w:color w:val="000000"/>
          <w:szCs w:val="21"/>
        </w:rPr>
        <w:t>）公布投标人名称、标段名称、投标保证金的提交情况、投标报价、质量目标、工期及其他内容；</w:t>
      </w:r>
    </w:p>
    <w:p>
      <w:pPr>
        <w:spacing w:line="420" w:lineRule="exact"/>
        <w:ind w:firstLine="525" w:firstLineChars="250"/>
        <w:rPr>
          <w:rFonts w:ascii="宋体" w:hAnsi="宋体"/>
          <w:color w:val="000000"/>
          <w:szCs w:val="21"/>
        </w:rPr>
      </w:pPr>
      <w:r>
        <w:rPr>
          <w:rFonts w:hint="eastAsia" w:ascii="宋体" w:hAnsi="宋体"/>
          <w:color w:val="000000"/>
          <w:szCs w:val="21"/>
        </w:rPr>
        <w:t>（</w:t>
      </w:r>
      <w:r>
        <w:rPr>
          <w:rFonts w:ascii="宋体" w:hAnsi="宋体"/>
          <w:color w:val="000000"/>
          <w:szCs w:val="21"/>
        </w:rPr>
        <w:t>9</w:t>
      </w:r>
      <w:r>
        <w:rPr>
          <w:rFonts w:hint="eastAsia" w:ascii="宋体" w:hAnsi="宋体"/>
          <w:color w:val="000000"/>
          <w:szCs w:val="21"/>
        </w:rPr>
        <w:t>）公布招标控制价及相关内容。</w:t>
      </w:r>
    </w:p>
    <w:p>
      <w:pPr>
        <w:spacing w:line="420" w:lineRule="exact"/>
        <w:ind w:firstLine="420" w:firstLineChars="200"/>
        <w:rPr>
          <w:rFonts w:hint="eastAsia" w:ascii="宋体" w:hAnsi="宋体"/>
          <w:color w:val="000000"/>
          <w:szCs w:val="21"/>
        </w:rPr>
      </w:pPr>
      <w:r>
        <w:rPr>
          <w:rFonts w:hint="eastAsia" w:ascii="宋体" w:hAnsi="宋体"/>
          <w:color w:val="000000"/>
          <w:szCs w:val="21"/>
        </w:rPr>
        <w:t>（</w:t>
      </w:r>
      <w:r>
        <w:rPr>
          <w:rFonts w:ascii="宋体" w:hAnsi="宋体"/>
          <w:color w:val="000000"/>
          <w:szCs w:val="21"/>
        </w:rPr>
        <w:t>10</w:t>
      </w:r>
      <w:r>
        <w:rPr>
          <w:rFonts w:hint="eastAsia" w:ascii="宋体" w:hAnsi="宋体"/>
          <w:color w:val="000000"/>
          <w:szCs w:val="21"/>
        </w:rPr>
        <w:t>）各投标人代表核对各自单位信息并在开标记录表上签字或盖法人单位电子章确认、招标人代表、监标人、记录人等有关人员在开标记录上签字确认；</w:t>
      </w:r>
    </w:p>
    <w:p>
      <w:pPr>
        <w:autoSpaceDE w:val="0"/>
        <w:autoSpaceDN w:val="0"/>
        <w:adjustRightInd w:val="0"/>
        <w:spacing w:line="400" w:lineRule="exact"/>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11</w:t>
      </w:r>
      <w:r>
        <w:rPr>
          <w:rFonts w:hint="eastAsia" w:ascii="宋体" w:hAnsi="宋体"/>
          <w:color w:val="000000"/>
          <w:szCs w:val="21"/>
        </w:rPr>
        <w:t>）开标结束。</w:t>
      </w:r>
    </w:p>
    <w:p>
      <w:pPr>
        <w:pStyle w:val="5"/>
        <w:rPr>
          <w:color w:val="000000"/>
        </w:rPr>
      </w:pPr>
      <w:r>
        <w:rPr>
          <w:color w:val="000000"/>
        </w:rPr>
        <w:t>5.3</w:t>
      </w:r>
      <w:r>
        <w:rPr>
          <w:rFonts w:hint="eastAsia"/>
          <w:color w:val="000000"/>
        </w:rPr>
        <w:t>电子开标的应急措施</w:t>
      </w:r>
    </w:p>
    <w:p>
      <w:pPr>
        <w:autoSpaceDE w:val="0"/>
        <w:autoSpaceDN w:val="0"/>
        <w:adjustRightIn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5.3.1电子开标如出现下列原因，导致系统无法正常运行，或者无法保证招投标过程的公平、公正和信息安全时，招标监管部门和交易中心应采取应急措施。</w:t>
      </w:r>
    </w:p>
    <w:p>
      <w:pPr>
        <w:autoSpaceDE w:val="0"/>
        <w:autoSpaceDN w:val="0"/>
        <w:adjustRightIn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 xml:space="preserve">（1）系统服务器发生故障或停电等情况，无法访问或无法使用系统； </w:t>
      </w:r>
    </w:p>
    <w:p>
      <w:pPr>
        <w:autoSpaceDE w:val="0"/>
        <w:autoSpaceDN w:val="0"/>
        <w:adjustRightIn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 xml:space="preserve">（2）系统的软件或数据库出现错误，不能进行正常操作； </w:t>
      </w:r>
    </w:p>
    <w:p>
      <w:pPr>
        <w:autoSpaceDE w:val="0"/>
        <w:autoSpaceDN w:val="0"/>
        <w:adjustRightIn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 xml:space="preserve">（3）系统发现有安全漏洞，有潜在的泄密危险； </w:t>
      </w:r>
    </w:p>
    <w:p>
      <w:pPr>
        <w:autoSpaceDE w:val="0"/>
        <w:autoSpaceDN w:val="0"/>
        <w:adjustRightIn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 xml:space="preserve">（4）病毒发作或受到外来的攻击； </w:t>
      </w:r>
    </w:p>
    <w:p>
      <w:pPr>
        <w:autoSpaceDE w:val="0"/>
        <w:autoSpaceDN w:val="0"/>
        <w:adjustRightIn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 xml:space="preserve">（5）其他无法保证招投标过程公平、公正和信息安全的情形。 </w:t>
      </w:r>
    </w:p>
    <w:p>
      <w:pPr>
        <w:autoSpaceDE w:val="0"/>
        <w:autoSpaceDN w:val="0"/>
        <w:adjustRightIn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出现上述情况时，应对未开标的暂停开标。已在系统内开标的立即停止，经招标监督部门确认无法正常开标，则对原有资料及信息作出保密处理，或等待系统恢复正常后再组织进行开标。</w:t>
      </w:r>
    </w:p>
    <w:p>
      <w:pPr>
        <w:autoSpaceDE w:val="0"/>
        <w:autoSpaceDN w:val="0"/>
        <w:adjustRightIn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5.3.2 投标人在个人解密开始后15分钟内完成投标文件的解密工作（以广西壮族自治区公共资源交易平台系统解密倒计时为准）。因投标人原因造成投标文件在规定时间内未解密的，视为投标人撤销其投标文件。</w:t>
      </w:r>
    </w:p>
    <w:p>
      <w:pPr>
        <w:autoSpaceDE w:val="0"/>
        <w:autoSpaceDN w:val="0"/>
        <w:adjustRightIn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5.3.3因网络问题或者诚信库系统问题导致电子开标系统无法正常访问诚信库进行身份证验证时，可暂停开标，等待网络或者诚信库恢复访问时再进行身份证验证。如投标人在投标截止时间前已正常提交相关开评标材料，但因以上原因导致系统显示验证迟到的，经过招标监督部门和招标人确认后，可以继续进行开标。</w:t>
      </w:r>
    </w:p>
    <w:p>
      <w:pPr>
        <w:autoSpaceDE w:val="0"/>
        <w:autoSpaceDN w:val="0"/>
        <w:adjustRightIn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5.3.4 开标时显示保证金状态为未提交时，应通过当地交易中心、系统维护方以及银行核实原因。如果是因为投标人提交保证金的账号与诚信库备案的企业基本户不一致的，或者投标人提交的保证金金额少于招标文件要求的，经过招标监督部门确认并经招标人同意后，招标人在开标时当场拒收其投标，不得进入评标。如果是因为网络原因或者广西壮族自治区公共资源交易平台系统、银行系统原因导致的，并且银行最终确认投标人已按时足额提交了保证金的，可以继续进行开标。</w:t>
      </w:r>
    </w:p>
    <w:p>
      <w:pPr>
        <w:pStyle w:val="5"/>
        <w:rPr>
          <w:color w:val="000000"/>
        </w:rPr>
      </w:pPr>
      <w:bookmarkStart w:id="420" w:name="_Toc465114768"/>
      <w:r>
        <w:rPr>
          <w:color w:val="000000"/>
        </w:rPr>
        <w:t>5.4不予开标</w:t>
      </w:r>
      <w:bookmarkEnd w:id="420"/>
    </w:p>
    <w:p>
      <w:pPr>
        <w:spacing w:line="360" w:lineRule="auto"/>
        <w:ind w:firstLine="420" w:firstLineChars="200"/>
        <w:rPr>
          <w:color w:val="000000"/>
          <w:szCs w:val="21"/>
        </w:rPr>
      </w:pPr>
      <w:r>
        <w:rPr>
          <w:color w:val="000000"/>
          <w:szCs w:val="21"/>
        </w:rPr>
        <w:t>符合下列情况之一的投标，招标人拒绝受理</w:t>
      </w:r>
      <w:r>
        <w:rPr>
          <w:rFonts w:hint="eastAsia"/>
          <w:color w:val="000000"/>
          <w:szCs w:val="21"/>
        </w:rPr>
        <w:t>其投标</w:t>
      </w:r>
      <w:r>
        <w:rPr>
          <w:color w:val="000000"/>
          <w:szCs w:val="21"/>
        </w:rPr>
        <w:t>，不得进入评标：</w:t>
      </w:r>
    </w:p>
    <w:p>
      <w:pPr>
        <w:spacing w:line="360" w:lineRule="auto"/>
        <w:ind w:firstLine="420" w:firstLineChars="200"/>
        <w:rPr>
          <w:color w:val="000000"/>
          <w:szCs w:val="21"/>
        </w:rPr>
      </w:pPr>
      <w:r>
        <w:rPr>
          <w:color w:val="000000"/>
          <w:szCs w:val="21"/>
        </w:rPr>
        <w:t>（1）</w:t>
      </w:r>
      <w:r>
        <w:rPr>
          <w:rFonts w:hint="eastAsia"/>
          <w:color w:val="000000"/>
          <w:szCs w:val="21"/>
        </w:rPr>
        <w:t>加密的电子投标文件未能在投标截止时间前成功上传的</w:t>
      </w:r>
      <w:r>
        <w:rPr>
          <w:color w:val="000000"/>
          <w:szCs w:val="21"/>
        </w:rPr>
        <w:t>；</w:t>
      </w:r>
    </w:p>
    <w:p>
      <w:pPr>
        <w:spacing w:line="360" w:lineRule="auto"/>
        <w:ind w:firstLine="420" w:firstLineChars="200"/>
        <w:rPr>
          <w:rFonts w:hint="eastAsia"/>
          <w:color w:val="000000"/>
          <w:szCs w:val="21"/>
        </w:rPr>
      </w:pPr>
      <w:r>
        <w:rPr>
          <w:color w:val="000000"/>
          <w:szCs w:val="21"/>
        </w:rPr>
        <w:t>（2）</w:t>
      </w:r>
      <w:r>
        <w:rPr>
          <w:rFonts w:hint="eastAsia"/>
          <w:color w:val="000000"/>
          <w:szCs w:val="21"/>
        </w:rPr>
        <w:t>投标人专职投标员未在投标截止时间前到达开标现场签到也未登录广西壮族自治区公共资源交易平台系统网上开标室，输入身份证号签到，并通过广西壮族自治区公共资源交易平台系统验证，或工程总承包项目经理、施工项目经理、专职安全生产管理人员未通过核验或验证的（或其中任何一人的身份信息被锁定无效的）；</w:t>
      </w:r>
    </w:p>
    <w:p>
      <w:pPr>
        <w:spacing w:line="360" w:lineRule="auto"/>
        <w:ind w:firstLine="420" w:firstLineChars="200"/>
        <w:rPr>
          <w:color w:val="000000"/>
          <w:szCs w:val="21"/>
        </w:rPr>
      </w:pPr>
      <w:r>
        <w:rPr>
          <w:rFonts w:hint="eastAsia"/>
          <w:color w:val="000000"/>
          <w:szCs w:val="21"/>
        </w:rPr>
        <w:t>（3）由于投标人原因，投标文件不能正常解密的</w:t>
      </w:r>
      <w:r>
        <w:rPr>
          <w:color w:val="000000"/>
          <w:szCs w:val="21"/>
        </w:rPr>
        <w:t>；</w:t>
      </w:r>
    </w:p>
    <w:p>
      <w:pPr>
        <w:spacing w:line="360" w:lineRule="auto"/>
        <w:ind w:firstLine="420" w:firstLineChars="200"/>
        <w:rPr>
          <w:color w:val="000000"/>
          <w:szCs w:val="21"/>
        </w:rPr>
      </w:pPr>
      <w:r>
        <w:rPr>
          <w:color w:val="000000"/>
          <w:szCs w:val="21"/>
        </w:rPr>
        <w:t>（</w:t>
      </w:r>
      <w:r>
        <w:rPr>
          <w:rFonts w:hint="eastAsia"/>
          <w:color w:val="000000"/>
          <w:szCs w:val="21"/>
        </w:rPr>
        <w:t>4</w:t>
      </w:r>
      <w:r>
        <w:rPr>
          <w:color w:val="000000"/>
          <w:szCs w:val="21"/>
        </w:rPr>
        <w:t>）</w:t>
      </w:r>
      <w:r>
        <w:rPr>
          <w:rFonts w:hint="eastAsia"/>
          <w:color w:val="000000"/>
          <w:szCs w:val="21"/>
        </w:rPr>
        <w:t>现场持身份证通过身份证验证的专职投标员与</w:t>
      </w:r>
      <w:r>
        <w:rPr>
          <w:color w:val="000000"/>
          <w:szCs w:val="21"/>
        </w:rPr>
        <w:t>投标文件</w:t>
      </w:r>
      <w:r>
        <w:rPr>
          <w:rFonts w:hint="eastAsia"/>
          <w:color w:val="000000"/>
          <w:szCs w:val="21"/>
        </w:rPr>
        <w:t>资格</w:t>
      </w:r>
      <w:r>
        <w:rPr>
          <w:color w:val="000000"/>
          <w:szCs w:val="21"/>
        </w:rPr>
        <w:t>审核文件内的</w:t>
      </w:r>
      <w:r>
        <w:rPr>
          <w:rFonts w:hint="eastAsia"/>
          <w:color w:val="000000"/>
          <w:szCs w:val="21"/>
        </w:rPr>
        <w:t>专职投标员非同一人的；</w:t>
      </w:r>
    </w:p>
    <w:p>
      <w:pPr>
        <w:spacing w:line="360" w:lineRule="auto"/>
        <w:ind w:firstLine="420" w:firstLineChars="200"/>
        <w:rPr>
          <w:rFonts w:hint="eastAsia"/>
          <w:color w:val="000000"/>
          <w:szCs w:val="21"/>
        </w:rPr>
      </w:pPr>
      <w:r>
        <w:rPr>
          <w:rFonts w:hint="eastAsia"/>
          <w:color w:val="000000"/>
          <w:szCs w:val="21"/>
        </w:rPr>
        <w:t>（5）投标人拟投入工程</w:t>
      </w:r>
      <w:r>
        <w:rPr>
          <w:color w:val="000000"/>
          <w:szCs w:val="21"/>
        </w:rPr>
        <w:t>总承包项目经理、</w:t>
      </w:r>
      <w:r>
        <w:rPr>
          <w:rFonts w:hint="eastAsia"/>
          <w:color w:val="000000"/>
          <w:szCs w:val="21"/>
        </w:rPr>
        <w:t>施工项目经理被标注为注册状态异常，且拟投入的工程总承包项目经理、施工项目经理本人未持本人身份证原件出席现场开标会的</w:t>
      </w:r>
      <w:r>
        <w:rPr>
          <w:color w:val="000000"/>
          <w:szCs w:val="21"/>
        </w:rPr>
        <w:t>。</w:t>
      </w:r>
    </w:p>
    <w:p>
      <w:pPr>
        <w:pStyle w:val="5"/>
        <w:rPr>
          <w:rFonts w:hint="eastAsia"/>
          <w:color w:val="000000"/>
        </w:rPr>
      </w:pPr>
      <w:bookmarkStart w:id="421" w:name="_Toc419321169"/>
      <w:bookmarkStart w:id="422" w:name="_Toc419363536"/>
      <w:bookmarkStart w:id="423" w:name="_Toc419364260"/>
      <w:bookmarkStart w:id="424" w:name="_Toc433988603"/>
      <w:bookmarkStart w:id="425" w:name="_Toc419320133"/>
      <w:r>
        <w:rPr>
          <w:rFonts w:hint="eastAsia"/>
          <w:color w:val="000000"/>
        </w:rPr>
        <w:t>5.</w:t>
      </w:r>
      <w:r>
        <w:rPr>
          <w:color w:val="000000"/>
        </w:rPr>
        <w:t>5</w:t>
      </w:r>
      <w:r>
        <w:rPr>
          <w:rFonts w:hint="eastAsia"/>
          <w:color w:val="000000"/>
        </w:rPr>
        <w:t xml:space="preserve"> 开标异议</w:t>
      </w:r>
      <w:bookmarkEnd w:id="421"/>
      <w:bookmarkEnd w:id="422"/>
      <w:bookmarkEnd w:id="423"/>
      <w:bookmarkEnd w:id="424"/>
      <w:bookmarkEnd w:id="425"/>
    </w:p>
    <w:p>
      <w:pPr>
        <w:autoSpaceDE w:val="0"/>
        <w:autoSpaceDN w:val="0"/>
        <w:adjustRightInd w:val="0"/>
        <w:spacing w:line="400" w:lineRule="exact"/>
        <w:ind w:firstLine="359" w:firstLineChars="171"/>
        <w:jc w:val="left"/>
        <w:rPr>
          <w:rFonts w:hint="eastAsia" w:ascii="宋体" w:hAnsi="宋体" w:cs="TimesNewRomanPSMT"/>
          <w:color w:val="000000"/>
          <w:kern w:val="0"/>
          <w:szCs w:val="21"/>
        </w:rPr>
      </w:pPr>
      <w:r>
        <w:rPr>
          <w:rFonts w:hint="eastAsia" w:ascii="宋体" w:hAnsi="宋体" w:cs="TimesNewRomanPSMT"/>
          <w:color w:val="000000"/>
          <w:kern w:val="0"/>
          <w:szCs w:val="21"/>
        </w:rPr>
        <w:t>投标人对开标有异议的，应当在开标直播现场提出，招标人当场作出答复，并制作记录。</w:t>
      </w:r>
    </w:p>
    <w:p>
      <w:pPr>
        <w:pStyle w:val="4"/>
        <w:rPr>
          <w:color w:val="000000"/>
        </w:rPr>
      </w:pPr>
      <w:bookmarkStart w:id="426" w:name="_Toc282823831"/>
      <w:bookmarkStart w:id="427" w:name="_Toc396778063"/>
      <w:bookmarkStart w:id="428" w:name="_Toc414553658"/>
      <w:bookmarkStart w:id="429" w:name="_Toc419320134"/>
      <w:bookmarkStart w:id="430" w:name="_Toc419363537"/>
      <w:bookmarkStart w:id="431" w:name="_Toc433988604"/>
      <w:bookmarkStart w:id="432" w:name="_Toc419364261"/>
      <w:bookmarkStart w:id="433" w:name="_Toc419321170"/>
      <w:bookmarkStart w:id="434" w:name="_Toc59203011"/>
      <w:r>
        <w:rPr>
          <w:color w:val="000000"/>
        </w:rPr>
        <w:t>6</w:t>
      </w:r>
      <w:r>
        <w:rPr>
          <w:rFonts w:hint="eastAsia"/>
          <w:color w:val="000000"/>
        </w:rPr>
        <w:t>．评标</w:t>
      </w:r>
      <w:bookmarkEnd w:id="426"/>
      <w:bookmarkEnd w:id="427"/>
      <w:bookmarkEnd w:id="428"/>
      <w:bookmarkEnd w:id="429"/>
      <w:bookmarkEnd w:id="430"/>
      <w:bookmarkEnd w:id="431"/>
      <w:bookmarkEnd w:id="432"/>
      <w:bookmarkEnd w:id="433"/>
      <w:bookmarkEnd w:id="434"/>
    </w:p>
    <w:p>
      <w:pPr>
        <w:pStyle w:val="5"/>
        <w:rPr>
          <w:color w:val="000000"/>
        </w:rPr>
      </w:pPr>
      <w:bookmarkStart w:id="435" w:name="_Toc419320135"/>
      <w:bookmarkStart w:id="436" w:name="_Toc419321171"/>
      <w:bookmarkStart w:id="437" w:name="_Toc433988605"/>
      <w:bookmarkStart w:id="438" w:name="_Toc419363538"/>
      <w:bookmarkStart w:id="439" w:name="_Toc419364262"/>
      <w:r>
        <w:rPr>
          <w:color w:val="000000"/>
        </w:rPr>
        <w:t xml:space="preserve">6.1 </w:t>
      </w:r>
      <w:r>
        <w:rPr>
          <w:rFonts w:hint="eastAsia"/>
          <w:color w:val="000000"/>
        </w:rPr>
        <w:t>评标委员会</w:t>
      </w:r>
      <w:bookmarkEnd w:id="435"/>
      <w:bookmarkEnd w:id="436"/>
      <w:bookmarkEnd w:id="437"/>
      <w:bookmarkEnd w:id="438"/>
      <w:bookmarkEnd w:id="439"/>
    </w:p>
    <w:p>
      <w:pPr>
        <w:autoSpaceDE w:val="0"/>
        <w:autoSpaceDN w:val="0"/>
        <w:adjustRightInd w:val="0"/>
        <w:spacing w:line="400" w:lineRule="exact"/>
        <w:ind w:firstLine="359" w:firstLineChars="171"/>
        <w:jc w:val="left"/>
        <w:rPr>
          <w:rFonts w:ascii="宋体" w:hAnsi="宋体" w:cs="TimesNewRomanPSMT"/>
          <w:color w:val="000000"/>
          <w:kern w:val="0"/>
          <w:szCs w:val="21"/>
        </w:rPr>
      </w:pPr>
      <w:r>
        <w:rPr>
          <w:rFonts w:ascii="宋体" w:hAnsi="宋体" w:cs="TimesNewRomanPSMT"/>
          <w:color w:val="000000"/>
          <w:kern w:val="0"/>
          <w:szCs w:val="21"/>
        </w:rPr>
        <w:t>6.1.1</w:t>
      </w:r>
      <w:r>
        <w:rPr>
          <w:rFonts w:hint="eastAsia" w:ascii="宋体" w:hAnsi="宋体" w:cs="TimesNewRomanPSMT"/>
          <w:color w:val="000000"/>
          <w:kern w:val="0"/>
          <w:szCs w:val="21"/>
        </w:rPr>
        <w:t>评标由招标人依法组建的评标委员会负责。评标委员会由招标人或其委托的招标代理机构熟悉相关业务的代表，以及有关技术、经济等方面的专家组成。技术、经济等方面专家的确定方式见“投标人须知前附表”。 截标前，招标人应就评委会组成情况通过广西壮族自治区公共资源交易平台系统向招标监督部门提交申请。</w:t>
      </w:r>
    </w:p>
    <w:p>
      <w:pPr>
        <w:autoSpaceDE w:val="0"/>
        <w:autoSpaceDN w:val="0"/>
        <w:adjustRightInd w:val="0"/>
        <w:spacing w:line="400" w:lineRule="exact"/>
        <w:ind w:firstLine="359" w:firstLineChars="171"/>
        <w:jc w:val="left"/>
        <w:rPr>
          <w:rFonts w:ascii="宋体" w:hAnsi="宋体" w:cs="TimesNewRomanPSMT"/>
          <w:color w:val="000000"/>
          <w:kern w:val="0"/>
          <w:szCs w:val="21"/>
        </w:rPr>
      </w:pPr>
      <w:r>
        <w:rPr>
          <w:rFonts w:ascii="宋体" w:hAnsi="宋体" w:cs="TimesNewRomanPSMT"/>
          <w:color w:val="000000"/>
          <w:kern w:val="0"/>
          <w:szCs w:val="21"/>
        </w:rPr>
        <w:t xml:space="preserve">6.1.2 </w:t>
      </w:r>
      <w:r>
        <w:rPr>
          <w:rFonts w:hint="eastAsia" w:ascii="宋体" w:hAnsi="宋体" w:cs="TimesNewRomanPSMT"/>
          <w:color w:val="000000"/>
          <w:kern w:val="0"/>
          <w:szCs w:val="21"/>
        </w:rPr>
        <w:t>抽</w:t>
      </w:r>
      <w:r>
        <w:rPr>
          <w:rFonts w:ascii="宋体" w:hAnsi="宋体" w:cs="TimesNewRomanPSMT"/>
          <w:color w:val="000000"/>
          <w:kern w:val="0"/>
          <w:szCs w:val="21"/>
        </w:rPr>
        <w:t>取</w:t>
      </w:r>
      <w:r>
        <w:rPr>
          <w:rFonts w:hint="eastAsia" w:ascii="宋体" w:hAnsi="宋体" w:cs="TimesNewRomanPSMT"/>
          <w:color w:val="000000"/>
          <w:kern w:val="0"/>
          <w:szCs w:val="21"/>
        </w:rPr>
        <w:t>的评标委员会成员有下列情形之一的，应当回避：</w:t>
      </w:r>
    </w:p>
    <w:p>
      <w:pPr>
        <w:spacing w:line="400" w:lineRule="exact"/>
        <w:ind w:firstLine="420" w:firstLineChars="200"/>
        <w:rPr>
          <w:rFonts w:ascii="宋体" w:hAnsi="宋体" w:cs="TimesNewRomanPSMT"/>
          <w:color w:val="000000"/>
          <w:kern w:val="0"/>
          <w:szCs w:val="21"/>
        </w:rPr>
      </w:pPr>
      <w:r>
        <w:rPr>
          <w:rFonts w:hint="eastAsia" w:ascii="宋体" w:hAnsi="宋体" w:cs="TimesNewRomanPSMT"/>
          <w:color w:val="000000"/>
          <w:kern w:val="0"/>
          <w:szCs w:val="21"/>
        </w:rPr>
        <w:t>（1）投标人或者投标人主要负责人的近亲属；</w:t>
      </w:r>
    </w:p>
    <w:p>
      <w:pPr>
        <w:spacing w:line="400" w:lineRule="exact"/>
        <w:ind w:firstLine="420" w:firstLineChars="200"/>
        <w:rPr>
          <w:rFonts w:ascii="宋体" w:hAnsi="宋体" w:cs="TimesNewRomanPSMT"/>
          <w:color w:val="000000"/>
          <w:kern w:val="0"/>
          <w:szCs w:val="21"/>
        </w:rPr>
      </w:pPr>
      <w:r>
        <w:rPr>
          <w:rFonts w:hint="eastAsia" w:ascii="宋体" w:hAnsi="宋体" w:cs="TimesNewRomanPSMT"/>
          <w:color w:val="000000"/>
          <w:kern w:val="0"/>
          <w:szCs w:val="21"/>
        </w:rPr>
        <w:t>（2）本招标项目主管部门或者</w:t>
      </w:r>
      <w:r>
        <w:rPr>
          <w:rFonts w:hint="eastAsia"/>
          <w:color w:val="000000"/>
          <w:szCs w:val="21"/>
        </w:rPr>
        <w:t>本招标项目</w:t>
      </w:r>
      <w:r>
        <w:rPr>
          <w:rFonts w:hint="eastAsia" w:ascii="宋体" w:hAnsi="宋体" w:cs="TimesNewRomanPSMT"/>
          <w:color w:val="000000"/>
          <w:kern w:val="0"/>
          <w:szCs w:val="21"/>
        </w:rPr>
        <w:t>招标投标行政监督部门的工作人员；</w:t>
      </w:r>
    </w:p>
    <w:p>
      <w:pPr>
        <w:autoSpaceDE w:val="0"/>
        <w:autoSpaceDN w:val="0"/>
        <w:adjustRightInd w:val="0"/>
        <w:spacing w:line="400" w:lineRule="exact"/>
        <w:ind w:firstLine="420" w:firstLineChars="200"/>
        <w:jc w:val="left"/>
        <w:rPr>
          <w:rFonts w:ascii="宋体" w:hAnsi="宋体" w:cs="TimesNewRomanPSMT"/>
          <w:color w:val="000000"/>
          <w:kern w:val="0"/>
          <w:szCs w:val="21"/>
        </w:rPr>
      </w:pPr>
      <w:r>
        <w:rPr>
          <w:rFonts w:hint="eastAsia" w:ascii="宋体" w:hAnsi="宋体" w:cs="TimesNewRomanPSMT"/>
          <w:color w:val="000000"/>
          <w:kern w:val="0"/>
          <w:szCs w:val="21"/>
        </w:rPr>
        <w:t>（3）与投标人有经济利益关系，可能影响对投标公正评审的人员；</w:t>
      </w:r>
    </w:p>
    <w:p>
      <w:pPr>
        <w:spacing w:line="400" w:lineRule="exact"/>
        <w:ind w:firstLine="420" w:firstLineChars="200"/>
        <w:jc w:val="left"/>
        <w:rPr>
          <w:rFonts w:ascii="宋体" w:hAnsi="宋体" w:cs="TimesNewRomanPSMT"/>
          <w:color w:val="000000"/>
          <w:kern w:val="0"/>
          <w:szCs w:val="21"/>
        </w:rPr>
      </w:pPr>
      <w:r>
        <w:rPr>
          <w:rFonts w:hint="eastAsia" w:ascii="宋体" w:hAnsi="宋体" w:cs="TimesNewRomanPSMT"/>
          <w:color w:val="000000"/>
          <w:kern w:val="0"/>
          <w:szCs w:val="21"/>
        </w:rPr>
        <w:t>（</w:t>
      </w:r>
      <w:r>
        <w:rPr>
          <w:rFonts w:ascii="宋体" w:hAnsi="宋体" w:cs="TimesNewRomanPSMT"/>
          <w:color w:val="000000"/>
          <w:kern w:val="0"/>
          <w:szCs w:val="21"/>
        </w:rPr>
        <w:t>4</w:t>
      </w:r>
      <w:r>
        <w:rPr>
          <w:rFonts w:hint="eastAsia" w:ascii="宋体" w:hAnsi="宋体" w:cs="TimesNewRomanPSMT"/>
          <w:color w:val="000000"/>
          <w:kern w:val="0"/>
          <w:szCs w:val="21"/>
        </w:rPr>
        <w:t>）为该工程提供勘察、设计、监理咨询的主要人员、</w:t>
      </w:r>
      <w:r>
        <w:rPr>
          <w:rFonts w:ascii="宋体" w:hAnsi="宋体" w:cs="TimesNewRomanPSMT"/>
          <w:color w:val="000000"/>
          <w:kern w:val="0"/>
          <w:szCs w:val="21"/>
        </w:rPr>
        <w:t>参与</w:t>
      </w:r>
      <w:r>
        <w:rPr>
          <w:rFonts w:hint="eastAsia" w:ascii="宋体" w:hAnsi="宋体" w:cs="TimesNewRomanPSMT"/>
          <w:color w:val="000000"/>
          <w:kern w:val="0"/>
          <w:szCs w:val="21"/>
        </w:rPr>
        <w:t>前</w:t>
      </w:r>
      <w:r>
        <w:rPr>
          <w:rFonts w:ascii="宋体" w:hAnsi="宋体" w:cs="TimesNewRomanPSMT"/>
          <w:color w:val="000000"/>
          <w:kern w:val="0"/>
          <w:szCs w:val="21"/>
        </w:rPr>
        <w:t>期项目评审</w:t>
      </w:r>
      <w:r>
        <w:rPr>
          <w:rFonts w:hint="eastAsia" w:ascii="宋体" w:hAnsi="宋体" w:cs="TimesNewRomanPSMT"/>
          <w:color w:val="000000"/>
          <w:kern w:val="0"/>
          <w:szCs w:val="21"/>
        </w:rPr>
        <w:t>的人</w:t>
      </w:r>
      <w:r>
        <w:rPr>
          <w:rFonts w:ascii="宋体" w:hAnsi="宋体" w:cs="TimesNewRomanPSMT"/>
          <w:color w:val="000000"/>
          <w:kern w:val="0"/>
          <w:szCs w:val="21"/>
        </w:rPr>
        <w:t>员</w:t>
      </w:r>
      <w:r>
        <w:rPr>
          <w:rFonts w:hint="eastAsia" w:ascii="宋体" w:hAnsi="宋体" w:cs="TimesNewRomanPSMT"/>
          <w:color w:val="000000"/>
          <w:kern w:val="0"/>
          <w:szCs w:val="21"/>
        </w:rPr>
        <w:t>；</w:t>
      </w:r>
    </w:p>
    <w:p>
      <w:pPr>
        <w:spacing w:line="400" w:lineRule="exact"/>
        <w:ind w:firstLine="420" w:firstLineChars="200"/>
        <w:rPr>
          <w:rFonts w:ascii="宋体" w:hAnsi="宋体" w:cs="TimesNewRomanPSMT"/>
          <w:color w:val="000000"/>
          <w:kern w:val="0"/>
          <w:szCs w:val="21"/>
        </w:rPr>
      </w:pPr>
      <w:r>
        <w:rPr>
          <w:rFonts w:hint="eastAsia" w:ascii="宋体" w:hAnsi="宋体" w:cs="TimesNewRomanPSMT"/>
          <w:color w:val="000000"/>
          <w:kern w:val="0"/>
          <w:szCs w:val="21"/>
        </w:rPr>
        <w:t>（</w:t>
      </w:r>
      <w:r>
        <w:rPr>
          <w:rFonts w:ascii="宋体" w:hAnsi="宋体" w:cs="TimesNewRomanPSMT"/>
          <w:color w:val="000000"/>
          <w:kern w:val="0"/>
          <w:szCs w:val="21"/>
        </w:rPr>
        <w:t>5</w:t>
      </w:r>
      <w:r>
        <w:rPr>
          <w:rFonts w:hint="eastAsia" w:ascii="宋体" w:hAnsi="宋体" w:cs="TimesNewRomanPSMT"/>
          <w:color w:val="000000"/>
          <w:kern w:val="0"/>
          <w:szCs w:val="21"/>
        </w:rPr>
        <w:t>）为该工程招标代理、造价咨询机构、</w:t>
      </w:r>
      <w:r>
        <w:rPr>
          <w:rFonts w:ascii="宋体" w:hAnsi="宋体" w:cs="TimesNewRomanPSMT"/>
          <w:color w:val="000000"/>
          <w:kern w:val="0"/>
          <w:szCs w:val="21"/>
        </w:rPr>
        <w:t>全过程</w:t>
      </w:r>
      <w:r>
        <w:rPr>
          <w:rFonts w:hint="eastAsia" w:ascii="宋体" w:hAnsi="宋体" w:cs="TimesNewRomanPSMT"/>
          <w:color w:val="000000"/>
          <w:kern w:val="0"/>
          <w:szCs w:val="21"/>
        </w:rPr>
        <w:t>工程</w:t>
      </w:r>
      <w:r>
        <w:rPr>
          <w:rFonts w:ascii="宋体" w:hAnsi="宋体" w:cs="TimesNewRomanPSMT"/>
          <w:color w:val="000000"/>
          <w:kern w:val="0"/>
          <w:szCs w:val="21"/>
        </w:rPr>
        <w:t>咨询</w:t>
      </w:r>
      <w:r>
        <w:rPr>
          <w:rFonts w:hint="eastAsia" w:ascii="宋体" w:hAnsi="宋体" w:cs="TimesNewRomanPSMT"/>
          <w:color w:val="000000"/>
          <w:kern w:val="0"/>
          <w:szCs w:val="21"/>
        </w:rPr>
        <w:t>机构的人员；</w:t>
      </w:r>
    </w:p>
    <w:p>
      <w:pPr>
        <w:spacing w:line="360" w:lineRule="exact"/>
        <w:ind w:firstLine="420" w:firstLineChars="200"/>
        <w:jc w:val="left"/>
        <w:rPr>
          <w:rFonts w:ascii="宋体" w:hAnsi="宋体" w:cs="TimesNewRomanPSMT"/>
          <w:color w:val="000000"/>
          <w:kern w:val="0"/>
          <w:szCs w:val="21"/>
        </w:rPr>
      </w:pPr>
      <w:r>
        <w:rPr>
          <w:rFonts w:hint="eastAsia" w:ascii="宋体" w:hAnsi="宋体" w:cs="TimesNewRomanPSMT"/>
          <w:color w:val="000000"/>
          <w:kern w:val="0"/>
          <w:szCs w:val="21"/>
        </w:rPr>
        <w:t>（</w:t>
      </w:r>
      <w:r>
        <w:rPr>
          <w:rFonts w:ascii="宋体" w:hAnsi="宋体" w:cs="TimesNewRomanPSMT"/>
          <w:color w:val="000000"/>
          <w:kern w:val="0"/>
          <w:szCs w:val="21"/>
        </w:rPr>
        <w:t>6）与投标人有其他利害关系</w:t>
      </w:r>
      <w:r>
        <w:rPr>
          <w:rFonts w:hint="eastAsia" w:ascii="宋体" w:hAnsi="宋体" w:cs="TimesNewRomanPSMT"/>
          <w:color w:val="000000"/>
          <w:kern w:val="0"/>
          <w:szCs w:val="21"/>
        </w:rPr>
        <w:t>的人员。</w:t>
      </w:r>
    </w:p>
    <w:p>
      <w:pPr>
        <w:spacing w:line="400" w:lineRule="exact"/>
        <w:ind w:firstLine="420" w:firstLineChars="200"/>
        <w:rPr>
          <w:rFonts w:hint="eastAsia" w:ascii="宋体" w:hAnsi="宋体"/>
          <w:color w:val="000000"/>
          <w:szCs w:val="21"/>
        </w:rPr>
      </w:pPr>
      <w:r>
        <w:rPr>
          <w:rFonts w:hint="eastAsia" w:ascii="宋体" w:hAnsi="宋体"/>
          <w:color w:val="000000"/>
          <w:szCs w:val="21"/>
        </w:rPr>
        <w:t>6.1.3 有下列情形之一的专家不能参与评标活动，应主动退出：</w:t>
      </w:r>
    </w:p>
    <w:p>
      <w:pPr>
        <w:spacing w:line="400" w:lineRule="exact"/>
        <w:ind w:firstLine="420" w:firstLineChars="200"/>
        <w:rPr>
          <w:rFonts w:ascii="宋体" w:hAnsi="宋体"/>
          <w:color w:val="000000"/>
          <w:szCs w:val="21"/>
        </w:rPr>
      </w:pPr>
      <w:r>
        <w:rPr>
          <w:rFonts w:hint="eastAsia" w:ascii="宋体" w:hAnsi="宋体"/>
          <w:color w:val="000000"/>
          <w:szCs w:val="21"/>
        </w:rPr>
        <w:t>（1）曾在招标投标活动中从事违法行为而受过行政处罚或者刑事处罚的人员；</w:t>
      </w:r>
    </w:p>
    <w:p>
      <w:pPr>
        <w:spacing w:line="360" w:lineRule="auto"/>
        <w:ind w:firstLine="420" w:firstLineChars="200"/>
        <w:rPr>
          <w:color w:val="000000"/>
          <w:szCs w:val="21"/>
        </w:rPr>
      </w:pPr>
      <w:r>
        <w:rPr>
          <w:rFonts w:hint="eastAsia"/>
          <w:color w:val="000000"/>
          <w:szCs w:val="21"/>
        </w:rPr>
        <w:t>（</w:t>
      </w:r>
      <w:r>
        <w:rPr>
          <w:color w:val="000000"/>
          <w:szCs w:val="21"/>
        </w:rPr>
        <w:t>2）曾被开除公职或被取消评标专家资格的；</w:t>
      </w:r>
    </w:p>
    <w:p>
      <w:pPr>
        <w:spacing w:line="360" w:lineRule="auto"/>
        <w:ind w:firstLine="420" w:firstLineChars="200"/>
        <w:rPr>
          <w:rFonts w:hint="eastAsia" w:ascii="宋体" w:hAnsi="宋体"/>
          <w:color w:val="000000"/>
          <w:szCs w:val="21"/>
        </w:rPr>
      </w:pPr>
      <w:r>
        <w:rPr>
          <w:rFonts w:hint="eastAsia"/>
          <w:color w:val="000000"/>
          <w:szCs w:val="21"/>
        </w:rPr>
        <w:t>（</w:t>
      </w:r>
      <w:r>
        <w:rPr>
          <w:color w:val="000000"/>
          <w:szCs w:val="21"/>
        </w:rPr>
        <w:t>3）曾因犯罪受过刑事处罚的；</w:t>
      </w:r>
    </w:p>
    <w:p>
      <w:pPr>
        <w:spacing w:line="400" w:lineRule="exact"/>
        <w:ind w:firstLine="420" w:firstLineChars="200"/>
        <w:rPr>
          <w:rFonts w:hint="eastAsia" w:ascii="宋体" w:hAns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）评标时期在全国建筑市场监管公共服务平台（http://jzsc.mohurd.gov.cn/home）被列为个人黑名单的人员；</w:t>
      </w:r>
    </w:p>
    <w:p>
      <w:pPr>
        <w:spacing w:line="400" w:lineRule="exact"/>
        <w:ind w:firstLine="420" w:firstLineChars="200"/>
        <w:rPr>
          <w:rFonts w:hint="eastAsia" w:ascii="宋体" w:hAns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）评标时期在“信用中国”网站（www.creditchina.gov.cn）中被列为失信被执行人的人员。</w:t>
      </w:r>
    </w:p>
    <w:p>
      <w:pPr>
        <w:pStyle w:val="5"/>
        <w:rPr>
          <w:color w:val="000000"/>
        </w:rPr>
      </w:pPr>
      <w:bookmarkStart w:id="440" w:name="_Toc419364263"/>
      <w:bookmarkStart w:id="441" w:name="_Toc419321172"/>
      <w:bookmarkStart w:id="442" w:name="_Toc433988606"/>
      <w:bookmarkStart w:id="443" w:name="_Toc419363539"/>
      <w:bookmarkStart w:id="444" w:name="_Toc419320136"/>
      <w:r>
        <w:rPr>
          <w:color w:val="000000"/>
        </w:rPr>
        <w:t xml:space="preserve">6.2 </w:t>
      </w:r>
      <w:r>
        <w:rPr>
          <w:rFonts w:hint="eastAsia"/>
          <w:color w:val="000000"/>
        </w:rPr>
        <w:t>评标原则</w:t>
      </w:r>
      <w:bookmarkEnd w:id="440"/>
      <w:bookmarkEnd w:id="441"/>
      <w:bookmarkEnd w:id="442"/>
      <w:bookmarkEnd w:id="443"/>
      <w:bookmarkEnd w:id="444"/>
    </w:p>
    <w:p>
      <w:pPr>
        <w:spacing w:line="400" w:lineRule="exact"/>
        <w:ind w:firstLine="420" w:firstLineChars="200"/>
        <w:rPr>
          <w:rFonts w:hint="eastAsia" w:ascii="宋体" w:hAnsi="宋体"/>
          <w:color w:val="000000"/>
          <w:szCs w:val="21"/>
        </w:rPr>
      </w:pPr>
      <w:r>
        <w:rPr>
          <w:rFonts w:hint="eastAsia" w:ascii="宋体" w:hAnsi="宋体" w:cs="TimesNewRomanPSMT"/>
          <w:color w:val="000000"/>
          <w:kern w:val="0"/>
          <w:szCs w:val="21"/>
        </w:rPr>
        <w:t>6</w:t>
      </w:r>
      <w:r>
        <w:rPr>
          <w:rFonts w:hint="eastAsia" w:ascii="宋体" w:hAnsi="宋体"/>
          <w:color w:val="000000"/>
          <w:szCs w:val="21"/>
        </w:rPr>
        <w:t>.2.1 评标活动遵循公平、公正、科学和择优的原则。</w:t>
      </w:r>
    </w:p>
    <w:p>
      <w:pPr>
        <w:spacing w:line="400" w:lineRule="exact"/>
        <w:ind w:firstLine="420" w:firstLineChars="200"/>
        <w:rPr>
          <w:rFonts w:hint="eastAsia" w:ascii="宋体" w:hAnsi="宋体"/>
          <w:color w:val="000000"/>
          <w:szCs w:val="21"/>
        </w:rPr>
      </w:pPr>
      <w:r>
        <w:rPr>
          <w:rFonts w:hint="eastAsia" w:ascii="宋体" w:hAnsi="宋体"/>
          <w:color w:val="000000"/>
          <w:szCs w:val="21"/>
        </w:rPr>
        <w:t>6.2.2 电子评标的应急措施：</w:t>
      </w:r>
    </w:p>
    <w:p>
      <w:pPr>
        <w:spacing w:line="400" w:lineRule="exact"/>
        <w:ind w:firstLine="420" w:firstLineChars="200"/>
        <w:rPr>
          <w:rFonts w:ascii="宋体" w:hAnsi="宋体" w:cs="TimesNewRomanPSMT"/>
          <w:color w:val="000000"/>
          <w:kern w:val="0"/>
          <w:szCs w:val="21"/>
        </w:rPr>
      </w:pPr>
      <w:r>
        <w:rPr>
          <w:rFonts w:hint="eastAsia" w:ascii="宋体" w:hAnsi="宋体"/>
          <w:color w:val="000000"/>
          <w:szCs w:val="21"/>
        </w:rPr>
        <w:t>开标结束后，因电子招标投标系统</w:t>
      </w:r>
      <w:r>
        <w:rPr>
          <w:rFonts w:hint="eastAsia" w:ascii="宋体" w:hAnsi="宋体" w:cs="TimesNewRomanPSMT"/>
          <w:color w:val="000000"/>
          <w:kern w:val="0"/>
          <w:szCs w:val="21"/>
        </w:rPr>
        <w:t>故障无法评标时，经招标监督部门同意后，招标人可以选择暂停评标活动，等待故障排除后继续评标。采取应急措施时，必须对原有资料及信息作出妥善保密处理。</w:t>
      </w:r>
    </w:p>
    <w:p>
      <w:pPr>
        <w:pStyle w:val="5"/>
        <w:rPr>
          <w:color w:val="000000"/>
        </w:rPr>
      </w:pPr>
      <w:bookmarkStart w:id="445" w:name="_Toc419363540"/>
      <w:bookmarkStart w:id="446" w:name="_Toc419364264"/>
      <w:bookmarkStart w:id="447" w:name="_Toc419320137"/>
      <w:bookmarkStart w:id="448" w:name="_Toc433988607"/>
      <w:bookmarkStart w:id="449" w:name="_Toc419321173"/>
      <w:r>
        <w:rPr>
          <w:color w:val="000000"/>
        </w:rPr>
        <w:t xml:space="preserve">6.3 </w:t>
      </w:r>
      <w:r>
        <w:rPr>
          <w:rFonts w:hint="eastAsia"/>
          <w:color w:val="000000"/>
        </w:rPr>
        <w:t>评标</w:t>
      </w:r>
      <w:bookmarkEnd w:id="445"/>
      <w:bookmarkEnd w:id="446"/>
      <w:bookmarkEnd w:id="447"/>
      <w:bookmarkEnd w:id="448"/>
      <w:bookmarkEnd w:id="449"/>
      <w:r>
        <w:rPr>
          <w:rFonts w:hint="eastAsia"/>
          <w:color w:val="000000"/>
        </w:rPr>
        <w:t>方式</w:t>
      </w:r>
    </w:p>
    <w:p>
      <w:pPr>
        <w:autoSpaceDE w:val="0"/>
        <w:autoSpaceDN w:val="0"/>
        <w:adjustRightInd w:val="0"/>
        <w:spacing w:line="400" w:lineRule="exact"/>
        <w:ind w:firstLine="359" w:firstLineChars="171"/>
        <w:jc w:val="left"/>
        <w:rPr>
          <w:rFonts w:hint="eastAsia" w:ascii="宋体" w:hAnsi="宋体" w:cs="TimesNewRomanPSMT"/>
          <w:color w:val="000000"/>
          <w:kern w:val="0"/>
          <w:szCs w:val="21"/>
        </w:rPr>
      </w:pPr>
      <w:r>
        <w:rPr>
          <w:rFonts w:hint="eastAsia" w:ascii="宋体" w:hAnsi="宋体" w:cs="TimesNewRomanPSMT"/>
          <w:color w:val="000000"/>
          <w:kern w:val="0"/>
          <w:szCs w:val="21"/>
        </w:rPr>
        <w:t>评标委员会按照第三章“评标办法”规定的方法、评审因素、标准和程序对投标文件进行评审。第三章“评标办法”没有规定的方法、评审因素和标准，不作为评标依据。</w:t>
      </w:r>
    </w:p>
    <w:p>
      <w:pPr>
        <w:pStyle w:val="5"/>
        <w:rPr>
          <w:color w:val="000000"/>
        </w:rPr>
      </w:pPr>
      <w:r>
        <w:rPr>
          <w:color w:val="000000"/>
        </w:rPr>
        <w:t>6.</w:t>
      </w:r>
      <w:r>
        <w:rPr>
          <w:rFonts w:hint="eastAsia"/>
          <w:color w:val="000000"/>
        </w:rPr>
        <w:t>4</w:t>
      </w:r>
      <w:r>
        <w:rPr>
          <w:color w:val="000000"/>
        </w:rPr>
        <w:t>移交评标资料</w:t>
      </w:r>
    </w:p>
    <w:p>
      <w:pPr>
        <w:spacing w:line="360" w:lineRule="auto"/>
        <w:ind w:firstLine="420" w:firstLineChars="200"/>
        <w:rPr>
          <w:color w:val="000000"/>
          <w:szCs w:val="21"/>
        </w:rPr>
      </w:pPr>
      <w:r>
        <w:rPr>
          <w:rFonts w:hint="eastAsia"/>
          <w:color w:val="000000"/>
          <w:szCs w:val="21"/>
        </w:rPr>
        <w:t>评标委员会完成评标后，立即通过广西壮族自治区公共资源交易平台系统提交评标报告和中标候选人名单，并同时向招标人移交所有评标所涉资料</w:t>
      </w:r>
      <w:r>
        <w:rPr>
          <w:color w:val="000000"/>
          <w:szCs w:val="21"/>
        </w:rPr>
        <w:t>。</w:t>
      </w:r>
    </w:p>
    <w:p>
      <w:pPr>
        <w:pStyle w:val="5"/>
        <w:rPr>
          <w:color w:val="000000"/>
        </w:rPr>
      </w:pPr>
      <w:bookmarkStart w:id="450" w:name="_Toc389065182"/>
      <w:bookmarkStart w:id="451" w:name="_Toc465114775"/>
      <w:r>
        <w:rPr>
          <w:color w:val="000000"/>
        </w:rPr>
        <w:t>6.5 评标资料封存和启封</w:t>
      </w:r>
      <w:bookmarkEnd w:id="450"/>
      <w:bookmarkEnd w:id="451"/>
    </w:p>
    <w:p>
      <w:pPr>
        <w:spacing w:line="360" w:lineRule="auto"/>
        <w:ind w:firstLine="420" w:firstLineChars="200"/>
        <w:rPr>
          <w:rFonts w:hint="eastAsia"/>
          <w:color w:val="000000"/>
          <w:szCs w:val="21"/>
        </w:rPr>
      </w:pPr>
      <w:r>
        <w:rPr>
          <w:color w:val="000000"/>
          <w:szCs w:val="21"/>
        </w:rPr>
        <w:t>6</w:t>
      </w:r>
      <w:r>
        <w:rPr>
          <w:rFonts w:hint="eastAsia"/>
          <w:color w:val="000000"/>
          <w:szCs w:val="21"/>
        </w:rPr>
        <w:t>.5.1 评标结束至中标通知书发放时，招标人按“投标人须知前附表”规定的封存方式封存评标资料。</w:t>
      </w:r>
    </w:p>
    <w:p>
      <w:pPr>
        <w:spacing w:line="360" w:lineRule="auto"/>
        <w:ind w:firstLine="420" w:firstLineChars="200"/>
        <w:rPr>
          <w:rFonts w:hint="eastAsia"/>
          <w:color w:val="000000"/>
          <w:szCs w:val="21"/>
        </w:rPr>
      </w:pPr>
      <w:r>
        <w:rPr>
          <w:rFonts w:hint="eastAsia"/>
          <w:color w:val="000000"/>
          <w:szCs w:val="21"/>
        </w:rPr>
        <w:t>6.5.2 如在封存期间处理招标投标利害当事人提出异议或者投诉时需要启封评标资料的，应按当地招投标监督管理部门规定的程序启封。</w:t>
      </w:r>
    </w:p>
    <w:p>
      <w:pPr>
        <w:spacing w:line="360" w:lineRule="auto"/>
        <w:ind w:firstLine="420" w:firstLineChars="200"/>
        <w:rPr>
          <w:color w:val="000000"/>
          <w:szCs w:val="21"/>
        </w:rPr>
      </w:pPr>
      <w:r>
        <w:rPr>
          <w:rFonts w:hint="eastAsia"/>
          <w:color w:val="000000"/>
          <w:szCs w:val="21"/>
        </w:rPr>
        <w:t>6.5.3 评标资料封存和启封应符合当地招投标监督管理部门的规定</w:t>
      </w:r>
      <w:r>
        <w:rPr>
          <w:color w:val="000000"/>
          <w:szCs w:val="21"/>
        </w:rPr>
        <w:t>。</w:t>
      </w:r>
      <w:bookmarkStart w:id="452" w:name="_Toc389065183"/>
    </w:p>
    <w:p>
      <w:pPr>
        <w:pStyle w:val="5"/>
        <w:rPr>
          <w:color w:val="000000"/>
        </w:rPr>
      </w:pPr>
      <w:bookmarkStart w:id="453" w:name="_Toc465114776"/>
      <w:r>
        <w:rPr>
          <w:color w:val="000000"/>
        </w:rPr>
        <w:t>6.6 中标候选人公示</w:t>
      </w:r>
      <w:bookmarkEnd w:id="452"/>
      <w:bookmarkEnd w:id="453"/>
    </w:p>
    <w:p>
      <w:pPr>
        <w:spacing w:line="360" w:lineRule="auto"/>
        <w:ind w:firstLine="420" w:firstLineChars="200"/>
        <w:rPr>
          <w:color w:val="000000"/>
          <w:szCs w:val="21"/>
        </w:rPr>
      </w:pPr>
      <w:r>
        <w:rPr>
          <w:color w:val="000000"/>
          <w:szCs w:val="21"/>
        </w:rPr>
        <w:t>6.6.1</w:t>
      </w:r>
      <w:r>
        <w:rPr>
          <w:rFonts w:hint="eastAsia"/>
          <w:color w:val="000000"/>
          <w:szCs w:val="21"/>
        </w:rPr>
        <w:t>招标人在收到评标报告之日起3日内在投标人须知前附表规定的发布媒介发布评标结果公示，公示期不少于3个工作日</w:t>
      </w:r>
      <w:r>
        <w:rPr>
          <w:color w:val="000000"/>
          <w:szCs w:val="21"/>
        </w:rPr>
        <w:t>。</w:t>
      </w:r>
    </w:p>
    <w:p>
      <w:pPr>
        <w:spacing w:line="360" w:lineRule="auto"/>
        <w:ind w:firstLine="420" w:firstLineChars="200"/>
        <w:rPr>
          <w:color w:val="000000"/>
          <w:szCs w:val="21"/>
        </w:rPr>
      </w:pPr>
      <w:r>
        <w:rPr>
          <w:color w:val="000000"/>
          <w:szCs w:val="21"/>
        </w:rPr>
        <w:t>6.6.2 投标人或者其他利害关系人对评标结果有异议的，应当在中标候选人公示期间</w:t>
      </w:r>
      <w:r>
        <w:rPr>
          <w:rFonts w:hint="eastAsia"/>
          <w:color w:val="000000"/>
          <w:szCs w:val="21"/>
        </w:rPr>
        <w:t>通过广西壮族自治区公共资源交易平台系统或</w:t>
      </w:r>
      <w:r>
        <w:rPr>
          <w:color w:val="000000"/>
          <w:szCs w:val="21"/>
        </w:rPr>
        <w:t>提交纸质</w:t>
      </w:r>
      <w:r>
        <w:rPr>
          <w:rFonts w:hint="eastAsia"/>
          <w:color w:val="000000"/>
          <w:szCs w:val="21"/>
        </w:rPr>
        <w:t>书</w:t>
      </w:r>
      <w:r>
        <w:rPr>
          <w:color w:val="000000"/>
          <w:szCs w:val="21"/>
        </w:rPr>
        <w:t>面材料提出。招标人自收到异议之日起3日内作出答复</w:t>
      </w:r>
      <w:r>
        <w:rPr>
          <w:rFonts w:hint="eastAsia"/>
          <w:color w:val="000000"/>
          <w:szCs w:val="21"/>
        </w:rPr>
        <w:t>。</w:t>
      </w:r>
      <w:r>
        <w:rPr>
          <w:color w:val="000000"/>
          <w:szCs w:val="21"/>
        </w:rPr>
        <w:t>对招标人答复不满意或招标人拒不答复的，投标人</w:t>
      </w:r>
      <w:r>
        <w:rPr>
          <w:rFonts w:hint="eastAsia"/>
          <w:color w:val="000000"/>
          <w:szCs w:val="21"/>
        </w:rPr>
        <w:t>可按照本章第8.5条的规定程序</w:t>
      </w:r>
      <w:r>
        <w:rPr>
          <w:color w:val="000000"/>
          <w:szCs w:val="21"/>
        </w:rPr>
        <w:t>向有关行政监督部门投诉。</w:t>
      </w:r>
    </w:p>
    <w:p>
      <w:pPr>
        <w:spacing w:line="360" w:lineRule="auto"/>
        <w:ind w:firstLine="420" w:firstLineChars="200"/>
        <w:rPr>
          <w:color w:val="000000"/>
          <w:szCs w:val="21"/>
        </w:rPr>
      </w:pPr>
      <w:r>
        <w:rPr>
          <w:color w:val="000000"/>
          <w:szCs w:val="21"/>
        </w:rPr>
        <w:t>6.6.3 招标人对中标候选人有投诉的，按</w:t>
      </w:r>
      <w:r>
        <w:rPr>
          <w:rFonts w:hint="eastAsia"/>
          <w:color w:val="000000"/>
          <w:szCs w:val="21"/>
        </w:rPr>
        <w:t>照</w:t>
      </w:r>
      <w:r>
        <w:rPr>
          <w:color w:val="000000"/>
          <w:szCs w:val="21"/>
        </w:rPr>
        <w:t>本章</w:t>
      </w:r>
      <w:r>
        <w:rPr>
          <w:rFonts w:hint="eastAsia"/>
          <w:color w:val="000000"/>
          <w:szCs w:val="21"/>
        </w:rPr>
        <w:t>第8</w:t>
      </w:r>
      <w:r>
        <w:rPr>
          <w:color w:val="000000"/>
          <w:szCs w:val="21"/>
        </w:rPr>
        <w:t>.5条的规定程序执行。</w:t>
      </w:r>
    </w:p>
    <w:p>
      <w:pPr>
        <w:pStyle w:val="5"/>
        <w:rPr>
          <w:color w:val="000000"/>
        </w:rPr>
      </w:pPr>
      <w:bookmarkStart w:id="454" w:name="_Toc465114777"/>
      <w:r>
        <w:rPr>
          <w:color w:val="000000"/>
        </w:rPr>
        <w:t>6.7</w:t>
      </w:r>
      <w:r>
        <w:rPr>
          <w:rFonts w:hint="eastAsia"/>
          <w:color w:val="000000"/>
        </w:rPr>
        <w:t>履约能力审查</w:t>
      </w:r>
      <w:bookmarkEnd w:id="454"/>
    </w:p>
    <w:p>
      <w:pPr>
        <w:spacing w:line="360" w:lineRule="auto"/>
        <w:ind w:firstLine="420" w:firstLineChars="200"/>
        <w:rPr>
          <w:rFonts w:hint="eastAsia"/>
          <w:color w:val="000000"/>
          <w:szCs w:val="21"/>
        </w:rPr>
      </w:pPr>
      <w:r>
        <w:rPr>
          <w:rFonts w:hint="eastAsia"/>
          <w:color w:val="000000"/>
          <w:szCs w:val="21"/>
        </w:rPr>
        <w:t>在中标通知书发出前，如果中标候选人的经营、财务状况发生较大变化或存在“投标人须知前附表”规定的情形，可能造成不能履行合同、无法按照招标文件要求提交履约保证金等情形，不符合中标条件的，应在中标公示期及时书面告知招标人。</w:t>
      </w:r>
    </w:p>
    <w:p>
      <w:pPr>
        <w:spacing w:line="360" w:lineRule="auto"/>
        <w:ind w:firstLine="420" w:firstLineChars="200"/>
        <w:rPr>
          <w:rFonts w:hint="eastAsia"/>
          <w:color w:val="000000"/>
          <w:szCs w:val="21"/>
        </w:rPr>
      </w:pPr>
      <w:r>
        <w:rPr>
          <w:rFonts w:hint="eastAsia"/>
          <w:color w:val="000000"/>
          <w:szCs w:val="21"/>
        </w:rPr>
        <w:t>如招标人认为中标候选人的经营、财务状况发生较大变化、存在违法行为或者“投标人须知前附表”规定的情形，可能影响其履约能力的，应当在中标通知书发出前由原评标委员会按照招标文件规定的标准和方法审查确认</w:t>
      </w:r>
      <w:r>
        <w:rPr>
          <w:rFonts w:hint="eastAsia"/>
          <w:color w:val="000000"/>
        </w:rPr>
        <w:t>。</w:t>
      </w:r>
    </w:p>
    <w:p>
      <w:pPr>
        <w:pStyle w:val="4"/>
        <w:rPr>
          <w:color w:val="000000"/>
        </w:rPr>
      </w:pPr>
      <w:bookmarkStart w:id="455" w:name="_Toc396778064"/>
      <w:bookmarkStart w:id="456" w:name="_Toc414553659"/>
      <w:bookmarkStart w:id="457" w:name="_Toc282823832"/>
      <w:bookmarkStart w:id="458" w:name="_Toc419363541"/>
      <w:bookmarkStart w:id="459" w:name="_Toc419320138"/>
      <w:bookmarkStart w:id="460" w:name="_Toc419321174"/>
      <w:bookmarkStart w:id="461" w:name="_Toc419364265"/>
      <w:bookmarkStart w:id="462" w:name="_Toc433988608"/>
      <w:bookmarkStart w:id="463" w:name="_Toc59203012"/>
      <w:r>
        <w:rPr>
          <w:color w:val="000000"/>
        </w:rPr>
        <w:t>7</w:t>
      </w:r>
      <w:r>
        <w:rPr>
          <w:rFonts w:hint="eastAsia"/>
          <w:color w:val="000000"/>
        </w:rPr>
        <w:t>．合同授予</w:t>
      </w:r>
      <w:bookmarkEnd w:id="455"/>
      <w:bookmarkEnd w:id="456"/>
      <w:bookmarkEnd w:id="457"/>
      <w:bookmarkEnd w:id="458"/>
      <w:bookmarkEnd w:id="459"/>
      <w:bookmarkEnd w:id="460"/>
      <w:bookmarkEnd w:id="461"/>
      <w:bookmarkEnd w:id="462"/>
      <w:bookmarkEnd w:id="463"/>
    </w:p>
    <w:p>
      <w:pPr>
        <w:pStyle w:val="5"/>
        <w:rPr>
          <w:color w:val="000000"/>
        </w:rPr>
      </w:pPr>
      <w:bookmarkStart w:id="464" w:name="_Toc419320139"/>
      <w:bookmarkStart w:id="465" w:name="_Toc419363542"/>
      <w:bookmarkStart w:id="466" w:name="_Toc419364266"/>
      <w:bookmarkStart w:id="467" w:name="_Toc419321175"/>
      <w:bookmarkStart w:id="468" w:name="_Toc433988609"/>
      <w:r>
        <w:rPr>
          <w:color w:val="000000"/>
        </w:rPr>
        <w:t xml:space="preserve">7.1 </w:t>
      </w:r>
      <w:r>
        <w:rPr>
          <w:rFonts w:hint="eastAsia"/>
          <w:color w:val="000000"/>
        </w:rPr>
        <w:t>定标方式</w:t>
      </w:r>
      <w:bookmarkEnd w:id="464"/>
      <w:bookmarkEnd w:id="465"/>
      <w:bookmarkEnd w:id="466"/>
      <w:bookmarkEnd w:id="467"/>
      <w:bookmarkEnd w:id="468"/>
    </w:p>
    <w:p>
      <w:pPr>
        <w:autoSpaceDE w:val="0"/>
        <w:autoSpaceDN w:val="0"/>
        <w:adjustRightInd w:val="0"/>
        <w:spacing w:line="400" w:lineRule="exact"/>
        <w:ind w:firstLine="359" w:firstLineChars="171"/>
        <w:jc w:val="left"/>
        <w:rPr>
          <w:rFonts w:ascii="宋体" w:hAnsi="宋体" w:cs="TimesNewRomanPSMT"/>
          <w:color w:val="000000"/>
          <w:kern w:val="0"/>
          <w:szCs w:val="21"/>
        </w:rPr>
      </w:pPr>
      <w:r>
        <w:rPr>
          <w:rFonts w:hint="eastAsia" w:ascii="宋体" w:hAnsi="宋体" w:cs="TimesNewRomanPSMT"/>
          <w:color w:val="000000"/>
          <w:kern w:val="0"/>
          <w:szCs w:val="21"/>
        </w:rPr>
        <w:t>除投标人须知前附表规定评标委员会直接确定中标人外，招标人依据评标委员会推荐的中标候选人确定中标人，评标委员会推荐中标候选人的人数见投标人须知前附表。</w:t>
      </w:r>
    </w:p>
    <w:p>
      <w:pPr>
        <w:pStyle w:val="5"/>
        <w:rPr>
          <w:rFonts w:hint="eastAsia"/>
          <w:color w:val="000000"/>
        </w:rPr>
      </w:pPr>
      <w:bookmarkStart w:id="469" w:name="_Toc419320140"/>
      <w:bookmarkStart w:id="470" w:name="_Toc419364267"/>
      <w:bookmarkStart w:id="471" w:name="_Toc419321176"/>
      <w:bookmarkStart w:id="472" w:name="_Toc433988610"/>
      <w:bookmarkStart w:id="473" w:name="_Toc419363543"/>
      <w:r>
        <w:rPr>
          <w:color w:val="000000"/>
        </w:rPr>
        <w:t>7.2</w:t>
      </w:r>
      <w:r>
        <w:rPr>
          <w:rFonts w:hint="eastAsia"/>
          <w:color w:val="000000"/>
        </w:rPr>
        <w:t>中标通知</w:t>
      </w:r>
      <w:bookmarkEnd w:id="469"/>
      <w:bookmarkEnd w:id="470"/>
      <w:bookmarkEnd w:id="471"/>
      <w:bookmarkEnd w:id="472"/>
      <w:bookmarkEnd w:id="473"/>
      <w:r>
        <w:rPr>
          <w:rFonts w:hint="eastAsia"/>
          <w:color w:val="000000"/>
        </w:rPr>
        <w:t>及中标公告</w:t>
      </w:r>
    </w:p>
    <w:p>
      <w:pPr>
        <w:spacing w:line="360" w:lineRule="auto"/>
        <w:ind w:firstLine="420" w:firstLineChars="200"/>
        <w:rPr>
          <w:rFonts w:hint="eastAsia"/>
          <w:color w:val="000000"/>
          <w:szCs w:val="21"/>
        </w:rPr>
      </w:pPr>
      <w:r>
        <w:rPr>
          <w:rFonts w:hint="eastAsia" w:ascii="宋体" w:hAnsi="宋体" w:cs="宋体"/>
          <w:color w:val="000000"/>
          <w:szCs w:val="21"/>
          <w:shd w:val="clear" w:color="auto" w:fill="FFFFFF"/>
        </w:rPr>
        <w:t>中标候选人公示期满无异议或异议不成立的，招标人应在公示期结束后,5日内按照招标文件规定的定标办法确定中标人，招标人应当自确定中标人之日起15日内，向工程所在地的县级以上地方人民政府建设行政主管部门提交施工招标投标情况的书面报告，建设行政主管部门自收到书面报告之日起5日内未通知招标人在招标投标活动中有违法行为的，招标人可以向中标人发出中标通知书，同时按规定的格式在发布媒介发出中标公告，将中标结果在广西壮族自治区公共资源交易平台系统中通知未中标的投标人。依法必须招标项目的中标结果公示应在广西壮族自治区招标投标公共服务平台上优先发布</w:t>
      </w:r>
      <w:r>
        <w:rPr>
          <w:rFonts w:hint="eastAsia" w:ascii="宋体" w:hAnsi="宋体" w:cs="TimesNewRomanPSMT"/>
          <w:color w:val="000000"/>
          <w:kern w:val="0"/>
          <w:szCs w:val="21"/>
        </w:rPr>
        <w:t>。</w:t>
      </w:r>
    </w:p>
    <w:p>
      <w:pPr>
        <w:pStyle w:val="5"/>
        <w:rPr>
          <w:color w:val="000000"/>
        </w:rPr>
      </w:pPr>
      <w:bookmarkStart w:id="474" w:name="_Toc419321178"/>
      <w:bookmarkStart w:id="475" w:name="_Toc419320142"/>
      <w:bookmarkStart w:id="476" w:name="_Toc419363545"/>
      <w:bookmarkStart w:id="477" w:name="_Toc419364269"/>
      <w:bookmarkStart w:id="478" w:name="_Toc433988612"/>
      <w:r>
        <w:rPr>
          <w:color w:val="000000"/>
        </w:rPr>
        <w:t>7.</w:t>
      </w:r>
      <w:r>
        <w:rPr>
          <w:rFonts w:hint="eastAsia"/>
          <w:color w:val="000000"/>
        </w:rPr>
        <w:t>3</w:t>
      </w:r>
      <w:r>
        <w:rPr>
          <w:color w:val="000000"/>
        </w:rPr>
        <w:t xml:space="preserve"> </w:t>
      </w:r>
      <w:r>
        <w:rPr>
          <w:rFonts w:hint="eastAsia"/>
          <w:color w:val="000000"/>
        </w:rPr>
        <w:t>履约</w:t>
      </w:r>
      <w:bookmarkEnd w:id="474"/>
      <w:bookmarkEnd w:id="475"/>
      <w:bookmarkEnd w:id="476"/>
      <w:bookmarkEnd w:id="477"/>
      <w:r>
        <w:rPr>
          <w:rFonts w:hint="eastAsia"/>
          <w:color w:val="000000"/>
        </w:rPr>
        <w:t>保证金</w:t>
      </w:r>
      <w:bookmarkEnd w:id="478"/>
    </w:p>
    <w:p>
      <w:pPr>
        <w:autoSpaceDE w:val="0"/>
        <w:autoSpaceDN w:val="0"/>
        <w:adjustRightInd w:val="0"/>
        <w:spacing w:line="400" w:lineRule="exact"/>
        <w:ind w:firstLine="359" w:firstLineChars="171"/>
        <w:jc w:val="left"/>
        <w:rPr>
          <w:rFonts w:ascii="宋体" w:hAnsi="宋体" w:cs="TimesNewRomanPSMT"/>
          <w:color w:val="000000"/>
          <w:kern w:val="0"/>
          <w:szCs w:val="21"/>
        </w:rPr>
      </w:pPr>
      <w:r>
        <w:rPr>
          <w:rFonts w:ascii="宋体" w:hAnsi="宋体" w:cs="TimesNewRomanPSMT"/>
          <w:color w:val="000000"/>
          <w:kern w:val="0"/>
          <w:szCs w:val="21"/>
        </w:rPr>
        <w:t>7.</w:t>
      </w:r>
      <w:r>
        <w:rPr>
          <w:rFonts w:hint="eastAsia" w:ascii="宋体" w:hAnsi="宋体" w:cs="TimesNewRomanPSMT"/>
          <w:color w:val="000000"/>
          <w:kern w:val="0"/>
          <w:szCs w:val="21"/>
        </w:rPr>
        <w:t>3</w:t>
      </w:r>
      <w:r>
        <w:rPr>
          <w:rFonts w:ascii="宋体" w:hAnsi="宋体" w:cs="TimesNewRomanPSMT"/>
          <w:color w:val="000000"/>
          <w:kern w:val="0"/>
          <w:szCs w:val="21"/>
        </w:rPr>
        <w:t>.1</w:t>
      </w:r>
      <w:r>
        <w:rPr>
          <w:rFonts w:hint="eastAsia" w:ascii="宋体" w:hAnsi="宋体" w:cs="TimesNewRomanPSMT"/>
          <w:color w:val="000000"/>
          <w:kern w:val="0"/>
          <w:szCs w:val="21"/>
        </w:rPr>
        <w:t>在签订合同前，中标人应按“投标人须知前附表”规定的金额、担保形式和招标文件第四章“合同条款及格式”规定的履约担保格式向招标人提交履约保证金。联合体中标的，其履约保证金由联合体任</w:t>
      </w:r>
      <w:r>
        <w:rPr>
          <w:rFonts w:ascii="宋体" w:hAnsi="宋体" w:cs="TimesNewRomanPSMT"/>
          <w:color w:val="000000"/>
          <w:kern w:val="0"/>
          <w:szCs w:val="21"/>
        </w:rPr>
        <w:t>一方</w:t>
      </w:r>
      <w:r>
        <w:rPr>
          <w:rFonts w:hint="eastAsia" w:ascii="宋体" w:hAnsi="宋体" w:cs="TimesNewRomanPSMT"/>
          <w:color w:val="000000"/>
          <w:kern w:val="0"/>
          <w:szCs w:val="21"/>
        </w:rPr>
        <w:t>递交，并应符合“投标人须知前附表”规定的金额、担保形式和招标文件第四章“合同条款”规定的履约担保要求</w:t>
      </w:r>
      <w:r>
        <w:rPr>
          <w:rFonts w:hint="eastAsia"/>
          <w:color w:val="000000"/>
          <w:szCs w:val="21"/>
        </w:rPr>
        <w:t>。</w:t>
      </w:r>
    </w:p>
    <w:p>
      <w:pPr>
        <w:autoSpaceDE w:val="0"/>
        <w:autoSpaceDN w:val="0"/>
        <w:adjustRightInd w:val="0"/>
        <w:spacing w:line="400" w:lineRule="exact"/>
        <w:ind w:firstLine="359" w:firstLineChars="171"/>
        <w:jc w:val="left"/>
        <w:rPr>
          <w:rFonts w:hint="eastAsia" w:ascii="宋体" w:hAnsi="宋体" w:cs="TimesNewRomanPSMT"/>
          <w:color w:val="000000"/>
          <w:kern w:val="0"/>
          <w:szCs w:val="21"/>
        </w:rPr>
      </w:pPr>
      <w:r>
        <w:rPr>
          <w:rFonts w:ascii="宋体" w:hAnsi="宋体" w:cs="TimesNewRomanPSMT"/>
          <w:color w:val="000000"/>
          <w:kern w:val="0"/>
          <w:szCs w:val="21"/>
        </w:rPr>
        <w:t>7.</w:t>
      </w:r>
      <w:r>
        <w:rPr>
          <w:rFonts w:hint="eastAsia" w:ascii="宋体" w:hAnsi="宋体" w:cs="TimesNewRomanPSMT"/>
          <w:color w:val="000000"/>
          <w:kern w:val="0"/>
          <w:szCs w:val="21"/>
        </w:rPr>
        <w:t>3</w:t>
      </w:r>
      <w:r>
        <w:rPr>
          <w:rFonts w:ascii="宋体" w:hAnsi="宋体" w:cs="TimesNewRomanPSMT"/>
          <w:color w:val="000000"/>
          <w:kern w:val="0"/>
          <w:szCs w:val="21"/>
        </w:rPr>
        <w:t xml:space="preserve">.2 </w:t>
      </w:r>
      <w:r>
        <w:rPr>
          <w:rFonts w:hint="eastAsia" w:ascii="宋体" w:hAnsi="宋体" w:cs="TimesNewRomanPSMT"/>
          <w:color w:val="000000"/>
          <w:kern w:val="0"/>
          <w:szCs w:val="21"/>
        </w:rPr>
        <w:t>中标人不能按本章第</w:t>
      </w:r>
      <w:r>
        <w:rPr>
          <w:rFonts w:ascii="宋体" w:hAnsi="宋体" w:cs="TimesNewRomanPSMT"/>
          <w:color w:val="000000"/>
          <w:kern w:val="0"/>
          <w:szCs w:val="21"/>
        </w:rPr>
        <w:t>7.</w:t>
      </w:r>
      <w:r>
        <w:rPr>
          <w:rFonts w:hint="eastAsia" w:ascii="宋体" w:hAnsi="宋体" w:cs="TimesNewRomanPSMT"/>
          <w:color w:val="000000"/>
          <w:kern w:val="0"/>
          <w:szCs w:val="21"/>
        </w:rPr>
        <w:t>3</w:t>
      </w:r>
      <w:r>
        <w:rPr>
          <w:rFonts w:ascii="宋体" w:hAnsi="宋体" w:cs="TimesNewRomanPSMT"/>
          <w:color w:val="000000"/>
          <w:kern w:val="0"/>
          <w:szCs w:val="21"/>
        </w:rPr>
        <w:t xml:space="preserve">.1 </w:t>
      </w:r>
      <w:r>
        <w:rPr>
          <w:rFonts w:hint="eastAsia" w:ascii="宋体" w:hAnsi="宋体" w:cs="TimesNewRomanPSMT"/>
          <w:color w:val="000000"/>
          <w:kern w:val="0"/>
          <w:szCs w:val="21"/>
        </w:rPr>
        <w:t>项要求提交履约保证金的，视为放弃中标，其投标保证金不予退还，给招标人造成的损失超过投标保证金数额的，中标人还应当对超过部分予以赔偿。</w:t>
      </w:r>
      <w:r>
        <w:rPr>
          <w:rFonts w:hint="eastAsia" w:ascii="宋体" w:hAnsi="宋体"/>
          <w:color w:val="000000"/>
          <w:szCs w:val="21"/>
        </w:rPr>
        <w:t>属于必须审批或核准的工程建设项目，上述情形须经原审批或核准部门批准。</w:t>
      </w:r>
    </w:p>
    <w:p>
      <w:pPr>
        <w:pStyle w:val="5"/>
        <w:rPr>
          <w:rFonts w:hint="eastAsia"/>
          <w:color w:val="000000"/>
        </w:rPr>
      </w:pPr>
      <w:bookmarkStart w:id="479" w:name="_Toc419321179"/>
      <w:bookmarkStart w:id="480" w:name="_Toc419363546"/>
      <w:bookmarkStart w:id="481" w:name="_Toc419364270"/>
      <w:bookmarkStart w:id="482" w:name="_Toc433988613"/>
      <w:bookmarkStart w:id="483" w:name="_Toc419320143"/>
      <w:r>
        <w:rPr>
          <w:color w:val="000000"/>
        </w:rPr>
        <w:t>7.</w:t>
      </w:r>
      <w:r>
        <w:rPr>
          <w:rFonts w:hint="eastAsia"/>
          <w:color w:val="000000"/>
        </w:rPr>
        <w:t>4</w:t>
      </w:r>
      <w:r>
        <w:rPr>
          <w:color w:val="000000"/>
        </w:rPr>
        <w:t xml:space="preserve"> </w:t>
      </w:r>
      <w:r>
        <w:rPr>
          <w:rFonts w:hint="eastAsia"/>
          <w:color w:val="000000"/>
        </w:rPr>
        <w:t>签订合同</w:t>
      </w:r>
      <w:bookmarkEnd w:id="479"/>
      <w:bookmarkEnd w:id="480"/>
      <w:bookmarkEnd w:id="481"/>
      <w:bookmarkEnd w:id="482"/>
      <w:bookmarkEnd w:id="483"/>
    </w:p>
    <w:p>
      <w:pPr>
        <w:spacing w:line="360" w:lineRule="auto"/>
        <w:ind w:firstLine="420" w:firstLineChars="200"/>
        <w:rPr>
          <w:color w:val="000000"/>
          <w:szCs w:val="21"/>
        </w:rPr>
      </w:pPr>
      <w:r>
        <w:rPr>
          <w:rFonts w:ascii="宋体" w:hAnsi="宋体" w:cs="TimesNewRomanPSMT"/>
          <w:color w:val="000000"/>
          <w:kern w:val="0"/>
          <w:szCs w:val="21"/>
        </w:rPr>
        <w:t>7.</w:t>
      </w:r>
      <w:r>
        <w:rPr>
          <w:rFonts w:hint="eastAsia" w:ascii="宋体" w:hAnsi="宋体" w:cs="TimesNewRomanPSMT"/>
          <w:color w:val="000000"/>
          <w:kern w:val="0"/>
          <w:szCs w:val="21"/>
        </w:rPr>
        <w:t>4</w:t>
      </w:r>
      <w:r>
        <w:rPr>
          <w:rFonts w:ascii="宋体" w:hAnsi="宋体" w:cs="TimesNewRomanPSMT"/>
          <w:color w:val="000000"/>
          <w:kern w:val="0"/>
          <w:szCs w:val="21"/>
        </w:rPr>
        <w:t>.1</w:t>
      </w:r>
      <w:r>
        <w:rPr>
          <w:color w:val="000000"/>
          <w:szCs w:val="21"/>
        </w:rPr>
        <w:t>招标人和中标人应当在投标有效期内以及中标通知书发出之日起30天内，根据招标文件和中标人的投标文件订立书面合同。中标人无正当理由拒签合同的，招标人取消其中标资格，</w:t>
      </w:r>
      <w:r>
        <w:rPr>
          <w:rFonts w:hint="eastAsia"/>
          <w:color w:val="000000"/>
        </w:rPr>
        <w:t>招标人有权没收</w:t>
      </w:r>
      <w:r>
        <w:rPr>
          <w:color w:val="000000"/>
          <w:szCs w:val="21"/>
        </w:rPr>
        <w:t>其投标保证金；给招标人造成的损失超过投标保证金数额的，中标人还应当对超过部分予以赔偿。对依法必须招标项目的中标人，由有关行政监督部门责令改正</w:t>
      </w:r>
      <w:r>
        <w:rPr>
          <w:rFonts w:hint="eastAsia" w:ascii="宋体" w:hAnsi="宋体" w:cs="TimesNewRomanPSMT"/>
          <w:color w:val="000000"/>
          <w:kern w:val="0"/>
          <w:szCs w:val="21"/>
        </w:rPr>
        <w:t>。</w:t>
      </w:r>
    </w:p>
    <w:p>
      <w:pPr>
        <w:autoSpaceDE w:val="0"/>
        <w:autoSpaceDN w:val="0"/>
        <w:adjustRightInd w:val="0"/>
        <w:spacing w:line="400" w:lineRule="exact"/>
        <w:ind w:firstLine="359" w:firstLineChars="171"/>
        <w:jc w:val="left"/>
        <w:rPr>
          <w:rFonts w:hint="eastAsia" w:ascii="宋体" w:hAnsi="宋体" w:cs="TimesNewRomanPSMT"/>
          <w:color w:val="000000"/>
          <w:kern w:val="0"/>
          <w:szCs w:val="21"/>
        </w:rPr>
      </w:pPr>
      <w:bookmarkStart w:id="484" w:name="_Toc419363547"/>
      <w:r>
        <w:rPr>
          <w:rFonts w:ascii="宋体" w:hAnsi="宋体" w:cs="TimesNewRomanPSMT"/>
          <w:color w:val="000000"/>
          <w:kern w:val="0"/>
          <w:szCs w:val="21"/>
        </w:rPr>
        <w:t>7.</w:t>
      </w:r>
      <w:r>
        <w:rPr>
          <w:rFonts w:hint="eastAsia" w:ascii="宋体" w:hAnsi="宋体" w:cs="TimesNewRomanPSMT"/>
          <w:color w:val="000000"/>
          <w:kern w:val="0"/>
          <w:szCs w:val="21"/>
        </w:rPr>
        <w:t>4</w:t>
      </w:r>
      <w:r>
        <w:rPr>
          <w:rFonts w:ascii="宋体" w:hAnsi="宋体" w:cs="TimesNewRomanPSMT"/>
          <w:color w:val="000000"/>
          <w:kern w:val="0"/>
          <w:szCs w:val="21"/>
        </w:rPr>
        <w:t xml:space="preserve">.2 </w:t>
      </w:r>
      <w:r>
        <w:rPr>
          <w:rFonts w:hint="eastAsia"/>
          <w:color w:val="000000"/>
          <w:szCs w:val="21"/>
        </w:rPr>
        <w:t>国有资金占控股或者主导地位的依法必须进行招标的项目，招标人应当确定排名第一的中标候选人为中标人。排名第一的中标候选人（或者评标委员会依据招标人的授权直接确定的中标人）放弃中标，或因不可抗力提出不能履行合同，或者被查实存在影响中标结果的违法行为等情形，不符合中标条件的，招标人可以按照评标委员会提出的中标候选人名单排序（或者评标结果排序）依次确定其他中标候选人为中标人。依次确定的其他中标候选人与招标人预期差距较大，或者对招标人明显不利的，招标人可以重新招标</w:t>
      </w:r>
      <w:r>
        <w:rPr>
          <w:rFonts w:hint="eastAsia" w:ascii="宋体" w:hAnsi="宋体" w:cs="TimesNewRomanPSMT"/>
          <w:color w:val="000000"/>
          <w:kern w:val="0"/>
          <w:szCs w:val="21"/>
        </w:rPr>
        <w:t>。</w:t>
      </w:r>
      <w:bookmarkEnd w:id="484"/>
      <w:bookmarkStart w:id="485" w:name="_Toc282823833"/>
    </w:p>
    <w:p>
      <w:pPr>
        <w:autoSpaceDE w:val="0"/>
        <w:autoSpaceDN w:val="0"/>
        <w:adjustRightInd w:val="0"/>
        <w:spacing w:line="400" w:lineRule="exact"/>
        <w:ind w:firstLine="359" w:firstLineChars="171"/>
        <w:jc w:val="left"/>
        <w:rPr>
          <w:rFonts w:hint="eastAsia" w:ascii="宋体" w:hAnsi="宋体" w:cs="TimesNewRomanPSMT"/>
          <w:color w:val="000000"/>
          <w:kern w:val="0"/>
          <w:szCs w:val="21"/>
        </w:rPr>
      </w:pPr>
      <w:r>
        <w:rPr>
          <w:rFonts w:ascii="宋体" w:hAnsi="宋体" w:cs="TimesNewRomanPSMT"/>
          <w:color w:val="000000"/>
          <w:kern w:val="0"/>
          <w:szCs w:val="21"/>
        </w:rPr>
        <w:t>7.</w:t>
      </w:r>
      <w:r>
        <w:rPr>
          <w:rFonts w:hint="eastAsia" w:ascii="宋体" w:hAnsi="宋体" w:cs="TimesNewRomanPSMT"/>
          <w:color w:val="000000"/>
          <w:kern w:val="0"/>
          <w:szCs w:val="21"/>
        </w:rPr>
        <w:t>4</w:t>
      </w:r>
      <w:r>
        <w:rPr>
          <w:rFonts w:ascii="宋体" w:hAnsi="宋体" w:cs="TimesNewRomanPSMT"/>
          <w:color w:val="000000"/>
          <w:kern w:val="0"/>
          <w:szCs w:val="21"/>
        </w:rPr>
        <w:t>.3</w:t>
      </w:r>
      <w:r>
        <w:rPr>
          <w:color w:val="000000"/>
          <w:szCs w:val="21"/>
        </w:rPr>
        <w:t>发出中标通知书后，招标人无正当理由拒签合同的，</w:t>
      </w:r>
      <w:r>
        <w:rPr>
          <w:rFonts w:hint="eastAsia"/>
          <w:color w:val="000000"/>
          <w:szCs w:val="21"/>
        </w:rPr>
        <w:t>由有关行政监督部门给予警告，责令改正。</w:t>
      </w:r>
      <w:r>
        <w:rPr>
          <w:color w:val="000000"/>
          <w:szCs w:val="21"/>
        </w:rPr>
        <w:t>同时招标人向中标人退还投标保证金；给中标人造成损失的，还应当赔偿损失</w:t>
      </w:r>
      <w:r>
        <w:rPr>
          <w:rFonts w:hint="eastAsia" w:ascii="宋体" w:hAnsi="宋体" w:cs="TimesNewRomanPSMT"/>
          <w:color w:val="000000"/>
          <w:kern w:val="0"/>
          <w:szCs w:val="21"/>
        </w:rPr>
        <w:t>。</w:t>
      </w:r>
    </w:p>
    <w:bookmarkEnd w:id="485"/>
    <w:p>
      <w:pPr>
        <w:pStyle w:val="4"/>
        <w:rPr>
          <w:color w:val="000000"/>
        </w:rPr>
      </w:pPr>
      <w:bookmarkStart w:id="486" w:name="_Toc282823834"/>
      <w:bookmarkStart w:id="487" w:name="_Toc396778065"/>
      <w:bookmarkStart w:id="488" w:name="_Toc414553660"/>
      <w:bookmarkStart w:id="489" w:name="_Toc419321180"/>
      <w:bookmarkStart w:id="490" w:name="_Toc419320144"/>
      <w:bookmarkStart w:id="491" w:name="_Toc419363548"/>
      <w:bookmarkStart w:id="492" w:name="_Toc419364271"/>
      <w:bookmarkStart w:id="493" w:name="_Toc433988614"/>
      <w:bookmarkStart w:id="494" w:name="_Toc59203013"/>
      <w:r>
        <w:rPr>
          <w:rFonts w:hint="eastAsia"/>
          <w:color w:val="000000"/>
        </w:rPr>
        <w:t>8．纪律和监督</w:t>
      </w:r>
      <w:bookmarkEnd w:id="486"/>
      <w:bookmarkEnd w:id="487"/>
      <w:bookmarkEnd w:id="488"/>
      <w:bookmarkEnd w:id="489"/>
      <w:bookmarkEnd w:id="490"/>
      <w:bookmarkEnd w:id="491"/>
      <w:bookmarkEnd w:id="492"/>
      <w:bookmarkEnd w:id="493"/>
      <w:bookmarkEnd w:id="494"/>
    </w:p>
    <w:p>
      <w:pPr>
        <w:pStyle w:val="5"/>
        <w:rPr>
          <w:color w:val="000000"/>
        </w:rPr>
      </w:pPr>
      <w:bookmarkStart w:id="495" w:name="_Toc419320145"/>
      <w:bookmarkStart w:id="496" w:name="_Toc419321181"/>
      <w:bookmarkStart w:id="497" w:name="_Toc419363549"/>
      <w:bookmarkStart w:id="498" w:name="_Toc419364272"/>
      <w:bookmarkStart w:id="499" w:name="_Toc433988615"/>
      <w:r>
        <w:rPr>
          <w:rFonts w:hint="eastAsia"/>
          <w:color w:val="000000"/>
        </w:rPr>
        <w:t>8</w:t>
      </w:r>
      <w:r>
        <w:rPr>
          <w:color w:val="000000"/>
        </w:rPr>
        <w:t xml:space="preserve">.1 </w:t>
      </w:r>
      <w:r>
        <w:rPr>
          <w:rFonts w:hint="eastAsia"/>
          <w:color w:val="000000"/>
        </w:rPr>
        <w:t>对招标人或招标代理机构的纪律要求</w:t>
      </w:r>
      <w:bookmarkEnd w:id="495"/>
      <w:bookmarkEnd w:id="496"/>
      <w:bookmarkEnd w:id="497"/>
      <w:bookmarkEnd w:id="498"/>
      <w:bookmarkEnd w:id="499"/>
    </w:p>
    <w:p>
      <w:pPr>
        <w:spacing w:line="360" w:lineRule="auto"/>
        <w:ind w:firstLine="420" w:firstLineChars="200"/>
        <w:rPr>
          <w:color w:val="000000"/>
          <w:szCs w:val="21"/>
        </w:rPr>
      </w:pPr>
      <w:bookmarkStart w:id="500" w:name="_Toc433988616"/>
      <w:bookmarkStart w:id="501" w:name="_Toc419320146"/>
      <w:bookmarkStart w:id="502" w:name="_Toc419363550"/>
      <w:bookmarkStart w:id="503" w:name="_Toc419321182"/>
      <w:bookmarkStart w:id="504" w:name="_Toc419364273"/>
      <w:r>
        <w:rPr>
          <w:color w:val="000000"/>
          <w:szCs w:val="21"/>
        </w:rPr>
        <w:t>招标人</w:t>
      </w:r>
      <w:r>
        <w:rPr>
          <w:rFonts w:hint="eastAsia"/>
          <w:color w:val="000000"/>
          <w:szCs w:val="21"/>
        </w:rPr>
        <w:t>或招标代理机构</w:t>
      </w:r>
      <w:r>
        <w:rPr>
          <w:color w:val="000000"/>
          <w:szCs w:val="21"/>
        </w:rPr>
        <w:t>不得泄漏招标投标活动中应当保密的情况和资料，不得与投标人串通损害国家利益、社会公共利益或者他人合法权益。</w:t>
      </w:r>
      <w:r>
        <w:rPr>
          <w:rFonts w:hint="eastAsia"/>
          <w:color w:val="000000"/>
          <w:szCs w:val="21"/>
        </w:rPr>
        <w:t>根据《中华人民共和国招标投标法》《中华人民共和国招标投标法实施条例》等规定，</w:t>
      </w:r>
      <w:r>
        <w:rPr>
          <w:color w:val="000000"/>
          <w:szCs w:val="21"/>
        </w:rPr>
        <w:t>有下列情形之一的，属于招标人</w:t>
      </w:r>
      <w:r>
        <w:rPr>
          <w:rFonts w:hint="eastAsia"/>
          <w:color w:val="000000"/>
          <w:szCs w:val="21"/>
        </w:rPr>
        <w:t>或招标代理机构</w:t>
      </w:r>
      <w:r>
        <w:rPr>
          <w:color w:val="000000"/>
          <w:szCs w:val="21"/>
        </w:rPr>
        <w:t>与投标人串通投标：</w:t>
      </w:r>
    </w:p>
    <w:p>
      <w:pPr>
        <w:spacing w:line="360" w:lineRule="auto"/>
        <w:ind w:firstLine="420" w:firstLineChars="200"/>
        <w:rPr>
          <w:rFonts w:hint="eastAsia"/>
          <w:color w:val="000000"/>
          <w:szCs w:val="21"/>
        </w:rPr>
      </w:pPr>
      <w:r>
        <w:rPr>
          <w:color w:val="000000"/>
          <w:szCs w:val="21"/>
        </w:rPr>
        <w:t>（</w:t>
      </w:r>
      <w:r>
        <w:rPr>
          <w:rFonts w:hint="eastAsia"/>
          <w:color w:val="000000"/>
          <w:szCs w:val="21"/>
        </w:rPr>
        <w:t>1）招标人或招标代理机构在开标前开启投标文件并将有关信息泄露给其他投标人；</w:t>
      </w:r>
    </w:p>
    <w:p>
      <w:pPr>
        <w:spacing w:line="360" w:lineRule="auto"/>
        <w:ind w:firstLine="420" w:firstLineChars="200"/>
        <w:rPr>
          <w:rFonts w:hint="eastAsia"/>
          <w:color w:val="000000"/>
          <w:szCs w:val="21"/>
        </w:rPr>
      </w:pPr>
      <w:r>
        <w:rPr>
          <w:rFonts w:hint="eastAsia"/>
          <w:color w:val="000000"/>
          <w:szCs w:val="21"/>
        </w:rPr>
        <w:t>（2）招标人或招标代理机构直接或者间接向投标人泄露标底、评标委员会成员等信息；</w:t>
      </w:r>
    </w:p>
    <w:p>
      <w:pPr>
        <w:spacing w:line="360" w:lineRule="auto"/>
        <w:ind w:firstLine="420" w:firstLineChars="200"/>
        <w:rPr>
          <w:rFonts w:hint="eastAsia"/>
          <w:color w:val="000000"/>
          <w:szCs w:val="21"/>
        </w:rPr>
      </w:pPr>
      <w:r>
        <w:rPr>
          <w:rFonts w:hint="eastAsia"/>
          <w:color w:val="000000"/>
          <w:szCs w:val="21"/>
        </w:rPr>
        <w:t>（3）招标人或招标代理机构明示或者暗示投标人压低或者抬高投标报价；</w:t>
      </w:r>
    </w:p>
    <w:p>
      <w:pPr>
        <w:spacing w:line="360" w:lineRule="auto"/>
        <w:ind w:firstLine="420" w:firstLineChars="200"/>
        <w:rPr>
          <w:rFonts w:hint="eastAsia"/>
          <w:color w:val="000000"/>
          <w:szCs w:val="21"/>
        </w:rPr>
      </w:pPr>
      <w:r>
        <w:rPr>
          <w:rFonts w:hint="eastAsia"/>
          <w:color w:val="000000"/>
          <w:szCs w:val="21"/>
        </w:rPr>
        <w:t>（4）招标人或招标代理机构授意投标人撤换、修改投标文件；</w:t>
      </w:r>
    </w:p>
    <w:p>
      <w:pPr>
        <w:spacing w:line="360" w:lineRule="auto"/>
        <w:ind w:firstLine="420" w:firstLineChars="200"/>
        <w:rPr>
          <w:rFonts w:hint="eastAsia"/>
          <w:color w:val="000000"/>
          <w:szCs w:val="21"/>
        </w:rPr>
      </w:pPr>
      <w:r>
        <w:rPr>
          <w:rFonts w:hint="eastAsia"/>
          <w:color w:val="000000"/>
          <w:szCs w:val="21"/>
        </w:rPr>
        <w:t>（5）招标人或招标代理机构明示或者暗示投标人为特定投标人中标提供方便；</w:t>
      </w:r>
    </w:p>
    <w:p>
      <w:pPr>
        <w:spacing w:line="360" w:lineRule="auto"/>
        <w:ind w:firstLine="420" w:firstLineChars="200"/>
        <w:rPr>
          <w:rFonts w:hint="eastAsia"/>
          <w:color w:val="000000"/>
          <w:szCs w:val="21"/>
        </w:rPr>
      </w:pPr>
      <w:r>
        <w:rPr>
          <w:rFonts w:hint="eastAsia"/>
          <w:color w:val="000000"/>
          <w:szCs w:val="21"/>
        </w:rPr>
        <w:t>（6）招标人或招标代理机构与投标人为谋求特定投标人中标而采取的其他串通行为。</w:t>
      </w:r>
    </w:p>
    <w:p>
      <w:pPr>
        <w:spacing w:line="360" w:lineRule="auto"/>
        <w:ind w:firstLine="420" w:firstLineChars="200"/>
        <w:rPr>
          <w:rFonts w:hint="eastAsia"/>
          <w:color w:val="000000"/>
          <w:szCs w:val="21"/>
        </w:rPr>
      </w:pPr>
      <w:r>
        <w:rPr>
          <w:rFonts w:hint="eastAsia"/>
          <w:color w:val="000000"/>
          <w:szCs w:val="21"/>
        </w:rPr>
        <w:t>（7）发现不同投标人的法定代表人、委托代理人、项目负责人属于同一单位，仍同意其继续参加投标；</w:t>
      </w:r>
    </w:p>
    <w:p>
      <w:pPr>
        <w:spacing w:line="360" w:lineRule="auto"/>
        <w:ind w:firstLine="420" w:firstLineChars="200"/>
        <w:rPr>
          <w:rFonts w:hint="eastAsia"/>
          <w:color w:val="000000"/>
          <w:szCs w:val="21"/>
        </w:rPr>
      </w:pPr>
      <w:r>
        <w:rPr>
          <w:rFonts w:hint="eastAsia"/>
          <w:color w:val="000000"/>
          <w:szCs w:val="21"/>
        </w:rPr>
        <w:t>（8）招标人或招标代理机构编制的招标公告、招标文件专门为某个特定投标人设置明显倾向性条款；</w:t>
      </w:r>
    </w:p>
    <w:p>
      <w:pPr>
        <w:spacing w:line="360" w:lineRule="auto"/>
        <w:ind w:firstLine="420" w:firstLineChars="200"/>
        <w:rPr>
          <w:rFonts w:hint="eastAsia"/>
          <w:color w:val="000000"/>
          <w:szCs w:val="21"/>
        </w:rPr>
      </w:pPr>
      <w:r>
        <w:rPr>
          <w:rFonts w:hint="eastAsia"/>
          <w:color w:val="000000"/>
          <w:szCs w:val="21"/>
        </w:rPr>
        <w:t>（9）在规定提交投标文件截止时间后，协助投标人撤换或修改投标文件（包括修改电子投标文件相关数据）；</w:t>
      </w:r>
    </w:p>
    <w:p>
      <w:pPr>
        <w:spacing w:line="360" w:lineRule="auto"/>
        <w:ind w:firstLine="420" w:firstLineChars="200"/>
        <w:rPr>
          <w:rFonts w:hint="eastAsia"/>
          <w:color w:val="000000"/>
          <w:szCs w:val="21"/>
        </w:rPr>
      </w:pPr>
      <w:r>
        <w:rPr>
          <w:rFonts w:hint="eastAsia"/>
          <w:color w:val="000000"/>
          <w:szCs w:val="21"/>
        </w:rPr>
        <w:t>（10）发现有由同一人或存在利益关系的几个利害关系人携带两个以上（含两个）投标人的企业资料参与领取招标资料，或代表两个以上（含两个）投标人缴纳或退还投标保证金、开标等情形而不制止，反而同意其继续参加投标的；</w:t>
      </w:r>
    </w:p>
    <w:p>
      <w:pPr>
        <w:spacing w:line="360" w:lineRule="auto"/>
        <w:ind w:firstLine="420" w:firstLineChars="200"/>
        <w:rPr>
          <w:rFonts w:hint="eastAsia"/>
          <w:color w:val="000000"/>
          <w:szCs w:val="21"/>
        </w:rPr>
      </w:pPr>
      <w:r>
        <w:rPr>
          <w:rFonts w:hint="eastAsia"/>
          <w:color w:val="000000"/>
          <w:szCs w:val="21"/>
        </w:rPr>
        <w:t>（11）在开标时发现不同投标人的投标资料（包括电子资料）相互混装等情形而不制止，反而同意其继续参加评标的；</w:t>
      </w:r>
    </w:p>
    <w:p>
      <w:pPr>
        <w:spacing w:line="360" w:lineRule="auto"/>
        <w:ind w:firstLine="420" w:firstLineChars="200"/>
        <w:rPr>
          <w:rFonts w:hint="eastAsia"/>
          <w:color w:val="000000"/>
          <w:szCs w:val="21"/>
        </w:rPr>
      </w:pPr>
      <w:r>
        <w:rPr>
          <w:rFonts w:hint="eastAsia"/>
          <w:color w:val="000000"/>
          <w:szCs w:val="21"/>
        </w:rPr>
        <w:t>（12）招标代理机构在同一房屋建筑和市政工程招标投标活动中，既为招标人提供招标代理服务又为参加该项目投标人提供投标咨询的；</w:t>
      </w:r>
    </w:p>
    <w:p>
      <w:pPr>
        <w:spacing w:line="360" w:lineRule="auto"/>
        <w:ind w:firstLine="420" w:firstLineChars="200"/>
        <w:rPr>
          <w:rFonts w:hint="eastAsia"/>
          <w:color w:val="000000"/>
          <w:szCs w:val="21"/>
        </w:rPr>
      </w:pPr>
      <w:r>
        <w:rPr>
          <w:rFonts w:hint="eastAsia"/>
          <w:color w:val="000000"/>
          <w:szCs w:val="21"/>
        </w:rPr>
        <w:t>（13）在招标文件以外招标人（招标代理机构）与投标人之间另行约定给予未中标的其他投标人费用补偿的；</w:t>
      </w:r>
    </w:p>
    <w:p>
      <w:pPr>
        <w:spacing w:line="360" w:lineRule="auto"/>
        <w:ind w:firstLine="420" w:firstLineChars="200"/>
        <w:rPr>
          <w:rFonts w:hint="eastAsia"/>
          <w:color w:val="000000"/>
          <w:szCs w:val="21"/>
        </w:rPr>
      </w:pPr>
      <w:r>
        <w:rPr>
          <w:rFonts w:hint="eastAsia"/>
          <w:color w:val="000000"/>
          <w:szCs w:val="21"/>
        </w:rPr>
        <w:t>（14）在评标时，对评标委员会进行倾向性引导或干扰正常评标秩序的；</w:t>
      </w:r>
    </w:p>
    <w:p>
      <w:pPr>
        <w:spacing w:line="360" w:lineRule="auto"/>
        <w:ind w:firstLine="420" w:firstLineChars="200"/>
        <w:rPr>
          <w:color w:val="000000"/>
          <w:kern w:val="0"/>
          <w:szCs w:val="21"/>
        </w:rPr>
      </w:pPr>
      <w:r>
        <w:rPr>
          <w:rFonts w:hint="eastAsia"/>
          <w:color w:val="000000"/>
          <w:szCs w:val="21"/>
        </w:rPr>
        <w:t>（15）依法应当公开招标的建设工程，未确定中标人前，投标人已开展该工程招标范围内工作</w:t>
      </w:r>
      <w:r>
        <w:rPr>
          <w:color w:val="000000"/>
          <w:szCs w:val="21"/>
        </w:rPr>
        <w:t>。</w:t>
      </w:r>
    </w:p>
    <w:p>
      <w:pPr>
        <w:pStyle w:val="5"/>
        <w:rPr>
          <w:color w:val="000000"/>
        </w:rPr>
      </w:pPr>
      <w:r>
        <w:rPr>
          <w:rFonts w:hint="eastAsia"/>
          <w:color w:val="000000"/>
        </w:rPr>
        <w:t>8</w:t>
      </w:r>
      <w:r>
        <w:rPr>
          <w:color w:val="000000"/>
        </w:rPr>
        <w:t xml:space="preserve">.2 </w:t>
      </w:r>
      <w:r>
        <w:rPr>
          <w:rFonts w:hint="eastAsia"/>
          <w:color w:val="000000"/>
        </w:rPr>
        <w:t>对投标人的纪律要求</w:t>
      </w:r>
      <w:bookmarkEnd w:id="500"/>
      <w:bookmarkEnd w:id="501"/>
      <w:bookmarkEnd w:id="502"/>
      <w:bookmarkEnd w:id="503"/>
      <w:bookmarkEnd w:id="504"/>
    </w:p>
    <w:p>
      <w:pPr>
        <w:spacing w:line="360" w:lineRule="auto"/>
        <w:ind w:firstLine="420" w:firstLineChars="200"/>
        <w:rPr>
          <w:rFonts w:hint="eastAsia"/>
          <w:color w:val="000000"/>
          <w:szCs w:val="21"/>
        </w:rPr>
      </w:pPr>
      <w:r>
        <w:rPr>
          <w:rFonts w:hint="eastAsia"/>
          <w:color w:val="000000"/>
          <w:szCs w:val="21"/>
        </w:rPr>
        <w:t>8.2.1投标人不得相互串通投标或者与招标人串通投标，不得向招标人或者评标委员会成员行贿谋取中标，不得以他人名义投标或者以其他方式弄虚作假骗取中标；投标人不得以任何方式干扰、影响评标工作。根据《中华人民共和国招标投标法》《中华人民共和国招标投标法实施条例》等规定，有下列情形之一的，属于投标人相互串通投标：</w:t>
      </w:r>
    </w:p>
    <w:p>
      <w:pPr>
        <w:spacing w:line="360" w:lineRule="auto"/>
        <w:ind w:firstLine="420" w:firstLineChars="200"/>
        <w:rPr>
          <w:rFonts w:hint="eastAsia"/>
          <w:color w:val="000000"/>
          <w:szCs w:val="21"/>
        </w:rPr>
      </w:pPr>
      <w:r>
        <w:rPr>
          <w:rFonts w:hint="eastAsia"/>
          <w:color w:val="000000"/>
          <w:szCs w:val="21"/>
        </w:rPr>
        <w:t>（1）投标人之间协商投标报价等投标文件的实质性内容；</w:t>
      </w:r>
    </w:p>
    <w:p>
      <w:pPr>
        <w:spacing w:line="360" w:lineRule="auto"/>
        <w:ind w:firstLine="420" w:firstLineChars="200"/>
        <w:rPr>
          <w:rFonts w:hint="eastAsia"/>
          <w:color w:val="000000"/>
          <w:szCs w:val="21"/>
        </w:rPr>
      </w:pPr>
      <w:r>
        <w:rPr>
          <w:rFonts w:hint="eastAsia"/>
          <w:color w:val="000000"/>
          <w:szCs w:val="21"/>
        </w:rPr>
        <w:t>（2）投标人之间约定中标人；</w:t>
      </w:r>
    </w:p>
    <w:p>
      <w:pPr>
        <w:spacing w:line="360" w:lineRule="auto"/>
        <w:ind w:firstLine="420" w:firstLineChars="200"/>
        <w:rPr>
          <w:rFonts w:hint="eastAsia"/>
          <w:color w:val="000000"/>
          <w:szCs w:val="21"/>
        </w:rPr>
      </w:pPr>
      <w:r>
        <w:rPr>
          <w:rFonts w:hint="eastAsia"/>
          <w:color w:val="000000"/>
          <w:szCs w:val="21"/>
        </w:rPr>
        <w:t>（3）投标人之间约定部分投标人放弃投标或者中标；</w:t>
      </w:r>
    </w:p>
    <w:p>
      <w:pPr>
        <w:spacing w:line="360" w:lineRule="auto"/>
        <w:ind w:firstLine="420" w:firstLineChars="200"/>
        <w:rPr>
          <w:rFonts w:hint="eastAsia"/>
          <w:color w:val="000000"/>
          <w:szCs w:val="21"/>
        </w:rPr>
      </w:pPr>
      <w:r>
        <w:rPr>
          <w:rFonts w:hint="eastAsia"/>
          <w:color w:val="000000"/>
          <w:szCs w:val="21"/>
        </w:rPr>
        <w:t>（4）属于同一集团、协会、商会等组织成员的投标人按照该组织要求协同投标；</w:t>
      </w:r>
    </w:p>
    <w:p>
      <w:pPr>
        <w:spacing w:line="360" w:lineRule="auto"/>
        <w:ind w:firstLine="420" w:firstLineChars="200"/>
        <w:rPr>
          <w:rFonts w:hint="eastAsia"/>
          <w:color w:val="000000"/>
          <w:szCs w:val="21"/>
        </w:rPr>
      </w:pPr>
      <w:r>
        <w:rPr>
          <w:rFonts w:hint="eastAsia"/>
          <w:color w:val="000000"/>
          <w:szCs w:val="21"/>
        </w:rPr>
        <w:t>（5）投标人之间为谋取中标或者排斥特定投标人而采取的其他联合行动；</w:t>
      </w:r>
    </w:p>
    <w:p>
      <w:pPr>
        <w:spacing w:line="360" w:lineRule="auto"/>
        <w:ind w:firstLine="420" w:firstLineChars="200"/>
        <w:rPr>
          <w:rFonts w:hint="eastAsia"/>
          <w:color w:val="000000"/>
          <w:szCs w:val="21"/>
        </w:rPr>
      </w:pPr>
      <w:r>
        <w:rPr>
          <w:rFonts w:hint="eastAsia"/>
          <w:color w:val="000000"/>
          <w:szCs w:val="21"/>
        </w:rPr>
        <w:t>（6）不同投标人的投标文件由同一单位或者个人编制；</w:t>
      </w:r>
    </w:p>
    <w:p>
      <w:pPr>
        <w:spacing w:line="360" w:lineRule="auto"/>
        <w:ind w:firstLine="420" w:firstLineChars="200"/>
        <w:rPr>
          <w:rFonts w:hint="eastAsia"/>
          <w:color w:val="000000"/>
          <w:szCs w:val="21"/>
        </w:rPr>
      </w:pPr>
      <w:r>
        <w:rPr>
          <w:rFonts w:hint="eastAsia"/>
          <w:color w:val="000000"/>
          <w:szCs w:val="21"/>
        </w:rPr>
        <w:t>（7）不同投标人委托同一个人或注册在同一家企业的注册人员或同一家企业为其投标提供投标咨询、商务报价、技术咨询（招标工程本身要求采用专有技术的除外）等服务；</w:t>
      </w:r>
    </w:p>
    <w:p>
      <w:pPr>
        <w:spacing w:line="360" w:lineRule="auto"/>
        <w:ind w:firstLine="420" w:firstLineChars="200"/>
        <w:rPr>
          <w:rFonts w:hint="eastAsia"/>
          <w:color w:val="000000"/>
          <w:szCs w:val="21"/>
        </w:rPr>
      </w:pPr>
      <w:r>
        <w:rPr>
          <w:rFonts w:hint="eastAsia"/>
          <w:color w:val="000000"/>
          <w:szCs w:val="21"/>
        </w:rPr>
        <w:t>（8）不同投标人的投标文件载明的项目管理成员为同一人；</w:t>
      </w:r>
    </w:p>
    <w:p>
      <w:pPr>
        <w:spacing w:line="360" w:lineRule="auto"/>
        <w:ind w:firstLine="420" w:firstLineChars="200"/>
        <w:rPr>
          <w:rFonts w:hint="eastAsia"/>
          <w:color w:val="000000"/>
          <w:szCs w:val="21"/>
        </w:rPr>
      </w:pPr>
      <w:r>
        <w:rPr>
          <w:rFonts w:hint="eastAsia"/>
          <w:color w:val="000000"/>
          <w:szCs w:val="21"/>
        </w:rPr>
        <w:t>（9）不同投标人的技术文件经电子招标投标交易平台查重分析，内容异常一致（相似度达70%以上的）或者实质性相同的，或者投标报价呈规律性差异（不同投标人报价呈等差数列、不同投标人的投标报价的差额本身呈等差数列或者规律性的百分比等）；</w:t>
      </w:r>
    </w:p>
    <w:p>
      <w:pPr>
        <w:spacing w:line="360" w:lineRule="auto"/>
        <w:ind w:firstLine="420" w:firstLineChars="200"/>
        <w:rPr>
          <w:rFonts w:hint="eastAsia"/>
          <w:color w:val="000000"/>
          <w:szCs w:val="21"/>
        </w:rPr>
      </w:pPr>
      <w:r>
        <w:rPr>
          <w:rFonts w:hint="eastAsia"/>
          <w:color w:val="000000"/>
          <w:szCs w:val="21"/>
        </w:rPr>
        <w:t>（10）不同投标人的投标资料（包括电子资料）相互混装；</w:t>
      </w:r>
    </w:p>
    <w:p>
      <w:pPr>
        <w:spacing w:line="360" w:lineRule="auto"/>
        <w:ind w:firstLine="420" w:firstLineChars="200"/>
        <w:rPr>
          <w:rFonts w:hint="eastAsia"/>
          <w:color w:val="000000"/>
          <w:szCs w:val="21"/>
        </w:rPr>
      </w:pPr>
      <w:r>
        <w:rPr>
          <w:rFonts w:hint="eastAsia"/>
          <w:color w:val="000000"/>
          <w:szCs w:val="21"/>
        </w:rPr>
        <w:t>（11）不同投标人的投标保证金从同一单位或者个人的账户转出；</w:t>
      </w:r>
    </w:p>
    <w:p>
      <w:pPr>
        <w:spacing w:line="360" w:lineRule="auto"/>
        <w:ind w:firstLine="420" w:firstLineChars="200"/>
        <w:rPr>
          <w:rFonts w:hint="eastAsia"/>
          <w:color w:val="000000"/>
          <w:szCs w:val="21"/>
        </w:rPr>
      </w:pPr>
      <w:r>
        <w:rPr>
          <w:rFonts w:hint="eastAsia"/>
          <w:color w:val="000000"/>
          <w:szCs w:val="21"/>
        </w:rPr>
        <w:t>（12）不同投标人的投标文件由同一电脑编制、上传，或投标报价用同一个预算编制软件密码锁制作或出自同一电子文档；</w:t>
      </w:r>
    </w:p>
    <w:p>
      <w:pPr>
        <w:spacing w:line="360" w:lineRule="auto"/>
        <w:ind w:firstLine="420" w:firstLineChars="200"/>
        <w:rPr>
          <w:rFonts w:hint="eastAsia"/>
          <w:color w:val="000000"/>
          <w:szCs w:val="21"/>
        </w:rPr>
      </w:pPr>
      <w:r>
        <w:rPr>
          <w:rFonts w:hint="eastAsia"/>
          <w:color w:val="000000"/>
          <w:szCs w:val="21"/>
        </w:rPr>
        <w:t>（13）不同投标人的投标文件上传的文件制作机器码一致的；</w:t>
      </w:r>
    </w:p>
    <w:p>
      <w:pPr>
        <w:spacing w:line="360" w:lineRule="auto"/>
        <w:ind w:firstLine="420" w:firstLineChars="200"/>
        <w:rPr>
          <w:rFonts w:hint="eastAsia"/>
          <w:color w:val="000000"/>
          <w:szCs w:val="21"/>
        </w:rPr>
      </w:pPr>
      <w:r>
        <w:rPr>
          <w:rFonts w:hint="eastAsia"/>
          <w:color w:val="000000"/>
          <w:szCs w:val="21"/>
        </w:rPr>
        <w:t>（14）由同一人或分别由几个有利害关系人携带两个以上（含两个）投标人的企业资料参与资格审查、领取招标资料，或代表两个以上（含两个）投标人参加招标答疑会、缴纳或退还投标保证金、开标；</w:t>
      </w:r>
    </w:p>
    <w:p>
      <w:pPr>
        <w:spacing w:line="360" w:lineRule="auto"/>
        <w:ind w:firstLine="420" w:firstLineChars="200"/>
        <w:rPr>
          <w:rFonts w:hint="eastAsia"/>
          <w:color w:val="000000"/>
          <w:szCs w:val="21"/>
        </w:rPr>
      </w:pPr>
      <w:r>
        <w:rPr>
          <w:rFonts w:hint="eastAsia"/>
          <w:color w:val="000000"/>
          <w:szCs w:val="21"/>
        </w:rPr>
        <w:t>（15）不同投标人的法定代表人、委托代理人、项目负责人、项目总监等人员有在同一个单位缴纳社会保险；</w:t>
      </w:r>
    </w:p>
    <w:p>
      <w:pPr>
        <w:spacing w:line="360" w:lineRule="auto"/>
        <w:ind w:firstLine="420" w:firstLineChars="200"/>
        <w:rPr>
          <w:rFonts w:hint="eastAsia"/>
          <w:color w:val="000000"/>
          <w:szCs w:val="21"/>
        </w:rPr>
      </w:pPr>
      <w:r>
        <w:rPr>
          <w:rFonts w:hint="eastAsia"/>
          <w:color w:val="000000"/>
          <w:szCs w:val="21"/>
        </w:rPr>
        <w:t>（16）投标人之间相互约定给予未中标的投标人费用补偿；</w:t>
      </w:r>
    </w:p>
    <w:p>
      <w:pPr>
        <w:spacing w:line="360" w:lineRule="auto"/>
        <w:ind w:firstLine="420" w:firstLineChars="200"/>
        <w:rPr>
          <w:rFonts w:hint="eastAsia"/>
          <w:color w:val="000000"/>
          <w:szCs w:val="21"/>
        </w:rPr>
      </w:pPr>
      <w:r>
        <w:rPr>
          <w:rFonts w:hint="eastAsia"/>
          <w:color w:val="000000"/>
          <w:szCs w:val="21"/>
        </w:rPr>
        <w:t>（17）不同投标人编制的投标文件存在两处以上错误一致。</w:t>
      </w:r>
    </w:p>
    <w:p>
      <w:pPr>
        <w:spacing w:line="360" w:lineRule="auto"/>
        <w:ind w:firstLine="420" w:firstLineChars="200"/>
        <w:rPr>
          <w:rFonts w:hint="eastAsia"/>
          <w:color w:val="000000"/>
          <w:szCs w:val="21"/>
        </w:rPr>
      </w:pPr>
      <w:r>
        <w:rPr>
          <w:rFonts w:hint="eastAsia"/>
          <w:color w:val="000000"/>
          <w:szCs w:val="21"/>
        </w:rPr>
        <w:t xml:space="preserve">8.2.2投标人有下列情形之一的，属于投标人弄虚作假：    </w:t>
      </w:r>
    </w:p>
    <w:p>
      <w:pPr>
        <w:spacing w:line="360" w:lineRule="auto"/>
        <w:ind w:firstLine="420" w:firstLineChars="200"/>
        <w:rPr>
          <w:rFonts w:hint="eastAsia"/>
          <w:color w:val="000000"/>
          <w:szCs w:val="21"/>
        </w:rPr>
      </w:pPr>
      <w:r>
        <w:rPr>
          <w:rFonts w:hint="eastAsia"/>
          <w:color w:val="000000"/>
          <w:szCs w:val="21"/>
        </w:rPr>
        <w:t>（1）使用虚假的业绩、荣誉、建设工程合同、财务状况、信用状况等；</w:t>
      </w:r>
    </w:p>
    <w:p>
      <w:pPr>
        <w:spacing w:line="360" w:lineRule="auto"/>
        <w:ind w:firstLine="420" w:firstLineChars="200"/>
        <w:rPr>
          <w:rFonts w:hint="eastAsia"/>
          <w:color w:val="000000"/>
          <w:szCs w:val="21"/>
        </w:rPr>
      </w:pPr>
      <w:r>
        <w:rPr>
          <w:rFonts w:hint="eastAsia"/>
          <w:color w:val="000000"/>
          <w:szCs w:val="21"/>
        </w:rPr>
        <w:t>（2）提供虚假的项目负责人或者主要技术人员简历、劳动关系证明、社保证明等；</w:t>
      </w:r>
    </w:p>
    <w:p>
      <w:pPr>
        <w:spacing w:line="360" w:lineRule="auto"/>
        <w:ind w:firstLine="420" w:firstLineChars="200"/>
        <w:rPr>
          <w:rFonts w:hint="eastAsia"/>
          <w:color w:val="000000"/>
          <w:szCs w:val="21"/>
        </w:rPr>
      </w:pPr>
      <w:r>
        <w:rPr>
          <w:rFonts w:hint="eastAsia"/>
          <w:color w:val="000000"/>
          <w:szCs w:val="21"/>
        </w:rPr>
        <w:t>（3）其他弄虚作假的行为。</w:t>
      </w:r>
    </w:p>
    <w:p>
      <w:pPr>
        <w:spacing w:line="360" w:lineRule="auto"/>
        <w:ind w:firstLine="420" w:firstLineChars="200"/>
        <w:rPr>
          <w:rFonts w:ascii="宋体" w:hAnsi="宋体" w:cs="TimesNewRomanPSMT"/>
          <w:color w:val="000000"/>
          <w:kern w:val="0"/>
          <w:szCs w:val="21"/>
        </w:rPr>
      </w:pPr>
      <w:r>
        <w:rPr>
          <w:rFonts w:hint="eastAsia"/>
          <w:color w:val="000000"/>
          <w:szCs w:val="21"/>
        </w:rPr>
        <w:t>8.2.3投标人不得向招标人或评标委员会成员或其他有关人员索问评标过程的情况和材料。</w:t>
      </w:r>
    </w:p>
    <w:p>
      <w:pPr>
        <w:pStyle w:val="5"/>
        <w:rPr>
          <w:color w:val="000000"/>
        </w:rPr>
      </w:pPr>
      <w:bookmarkStart w:id="505" w:name="_Toc419320147"/>
      <w:bookmarkStart w:id="506" w:name="_Toc433988617"/>
      <w:bookmarkStart w:id="507" w:name="_Toc419363551"/>
      <w:bookmarkStart w:id="508" w:name="_Toc419321183"/>
      <w:bookmarkStart w:id="509" w:name="_Toc419364274"/>
      <w:r>
        <w:rPr>
          <w:rFonts w:hint="eastAsia"/>
          <w:color w:val="000000"/>
        </w:rPr>
        <w:t>8</w:t>
      </w:r>
      <w:r>
        <w:rPr>
          <w:color w:val="000000"/>
        </w:rPr>
        <w:t xml:space="preserve">.3 </w:t>
      </w:r>
      <w:r>
        <w:rPr>
          <w:rFonts w:hint="eastAsia"/>
          <w:color w:val="000000"/>
        </w:rPr>
        <w:t>对评标委员会成员的纪律要求</w:t>
      </w:r>
      <w:bookmarkEnd w:id="505"/>
      <w:bookmarkEnd w:id="506"/>
      <w:bookmarkEnd w:id="507"/>
      <w:bookmarkEnd w:id="508"/>
      <w:bookmarkEnd w:id="509"/>
    </w:p>
    <w:p>
      <w:pPr>
        <w:autoSpaceDE w:val="0"/>
        <w:autoSpaceDN w:val="0"/>
        <w:adjustRightInd w:val="0"/>
        <w:spacing w:line="400" w:lineRule="exact"/>
        <w:ind w:firstLine="359" w:firstLineChars="171"/>
        <w:jc w:val="left"/>
        <w:rPr>
          <w:rFonts w:ascii="宋体" w:hAnsi="宋体" w:cs="TimesNewRomanPSMT"/>
          <w:color w:val="000000"/>
          <w:kern w:val="0"/>
          <w:szCs w:val="21"/>
        </w:rPr>
      </w:pPr>
      <w:r>
        <w:rPr>
          <w:rFonts w:hint="eastAsia" w:ascii="宋体" w:hAnsi="宋体" w:cs="TimesNewRomanPSMT"/>
          <w:color w:val="000000"/>
          <w:kern w:val="0"/>
          <w:szCs w:val="21"/>
        </w:rPr>
        <w:t>评标委员会成员不得收受他人的财物或者其他好处，不得向他人透漏对投标文件的评审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pStyle w:val="5"/>
        <w:rPr>
          <w:color w:val="000000"/>
        </w:rPr>
      </w:pPr>
      <w:bookmarkStart w:id="510" w:name="_Toc419321184"/>
      <w:bookmarkStart w:id="511" w:name="_Toc419320148"/>
      <w:bookmarkStart w:id="512" w:name="_Toc419363552"/>
      <w:bookmarkStart w:id="513" w:name="_Toc419364275"/>
      <w:bookmarkStart w:id="514" w:name="_Toc433988618"/>
      <w:r>
        <w:rPr>
          <w:rFonts w:hint="eastAsia"/>
          <w:color w:val="000000"/>
        </w:rPr>
        <w:t>8</w:t>
      </w:r>
      <w:r>
        <w:rPr>
          <w:color w:val="000000"/>
        </w:rPr>
        <w:t xml:space="preserve">.4 </w:t>
      </w:r>
      <w:r>
        <w:rPr>
          <w:rFonts w:hint="eastAsia"/>
          <w:color w:val="000000"/>
        </w:rPr>
        <w:t>对与评标活动有关的工作人员的纪律要求</w:t>
      </w:r>
      <w:bookmarkEnd w:id="510"/>
      <w:bookmarkEnd w:id="511"/>
      <w:bookmarkEnd w:id="512"/>
      <w:bookmarkEnd w:id="513"/>
      <w:bookmarkEnd w:id="514"/>
    </w:p>
    <w:p>
      <w:pPr>
        <w:autoSpaceDE w:val="0"/>
        <w:autoSpaceDN w:val="0"/>
        <w:adjustRightInd w:val="0"/>
        <w:spacing w:line="400" w:lineRule="exact"/>
        <w:ind w:firstLine="359" w:firstLineChars="171"/>
        <w:jc w:val="left"/>
        <w:rPr>
          <w:rFonts w:hint="eastAsia" w:ascii="宋体" w:hAnsi="宋体" w:cs="TimesNewRomanPSMT"/>
          <w:color w:val="000000"/>
          <w:kern w:val="0"/>
          <w:szCs w:val="21"/>
        </w:rPr>
      </w:pPr>
      <w:r>
        <w:rPr>
          <w:rFonts w:hint="eastAsia" w:ascii="宋体" w:hAnsi="宋体" w:cs="TimesNewRomanPSMT"/>
          <w:color w:val="000000"/>
          <w:kern w:val="0"/>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pStyle w:val="5"/>
        <w:rPr>
          <w:color w:val="000000"/>
        </w:rPr>
      </w:pPr>
      <w:bookmarkStart w:id="515" w:name="_Toc419321185"/>
      <w:bookmarkStart w:id="516" w:name="_Toc419320149"/>
      <w:bookmarkStart w:id="517" w:name="_Toc419363553"/>
      <w:bookmarkStart w:id="518" w:name="_Toc419364276"/>
      <w:bookmarkStart w:id="519" w:name="_Toc433988619"/>
      <w:r>
        <w:rPr>
          <w:rFonts w:hint="eastAsia"/>
          <w:color w:val="000000"/>
        </w:rPr>
        <w:t>8</w:t>
      </w:r>
      <w:r>
        <w:rPr>
          <w:color w:val="000000"/>
        </w:rPr>
        <w:t>.</w:t>
      </w:r>
      <w:r>
        <w:rPr>
          <w:rFonts w:hint="eastAsia"/>
          <w:color w:val="000000"/>
        </w:rPr>
        <w:t>5投诉</w:t>
      </w:r>
      <w:bookmarkEnd w:id="515"/>
      <w:bookmarkEnd w:id="516"/>
      <w:bookmarkEnd w:id="517"/>
      <w:bookmarkEnd w:id="518"/>
      <w:bookmarkEnd w:id="519"/>
    </w:p>
    <w:p>
      <w:pPr>
        <w:autoSpaceDE w:val="0"/>
        <w:autoSpaceDN w:val="0"/>
        <w:adjustRightInd w:val="0"/>
        <w:spacing w:line="400" w:lineRule="exact"/>
        <w:ind w:firstLine="359" w:firstLineChars="171"/>
        <w:jc w:val="left"/>
        <w:rPr>
          <w:rFonts w:hint="eastAsia" w:ascii="宋体" w:hAnsi="宋体" w:cs="TimesNewRomanPSMT"/>
          <w:color w:val="000000"/>
          <w:kern w:val="0"/>
          <w:szCs w:val="21"/>
        </w:rPr>
      </w:pPr>
      <w:r>
        <w:rPr>
          <w:color w:val="000000"/>
        </w:rPr>
        <w:t>投标人和其他利害关系人认为本次招标活动违反法律、法规和规章规定的，可以在</w:t>
      </w:r>
      <w:r>
        <w:rPr>
          <w:rFonts w:hint="eastAsia"/>
          <w:color w:val="000000"/>
          <w:szCs w:val="21"/>
        </w:rPr>
        <w:t>自</w:t>
      </w:r>
      <w:r>
        <w:rPr>
          <w:color w:val="000000"/>
        </w:rPr>
        <w:t>知道或者应当知道之日起十日内向当地招投标监督管</w:t>
      </w:r>
      <w:bookmarkStart w:id="520" w:name="_Toc515292285"/>
      <w:bookmarkStart w:id="521" w:name="_Toc491277209"/>
      <w:r>
        <w:rPr>
          <w:color w:val="000000"/>
        </w:rPr>
        <w:t>理部门提出</w:t>
      </w:r>
      <w:bookmarkEnd w:id="520"/>
      <w:bookmarkEnd w:id="521"/>
      <w:r>
        <w:rPr>
          <w:color w:val="000000"/>
        </w:rPr>
        <w:t>书面投诉。</w:t>
      </w:r>
      <w:r>
        <w:rPr>
          <w:rFonts w:hint="eastAsia"/>
          <w:color w:val="000000"/>
          <w:szCs w:val="21"/>
        </w:rPr>
        <w:t>投诉应当有明确的请求和必要的证明材料；逾期不予受理。</w:t>
      </w:r>
      <w:r>
        <w:rPr>
          <w:color w:val="000000"/>
        </w:rPr>
        <w:t>投诉事项应先提出异议</w:t>
      </w:r>
      <w:r>
        <w:rPr>
          <w:rFonts w:hint="eastAsia"/>
          <w:color w:val="000000"/>
        </w:rPr>
        <w:t>而</w:t>
      </w:r>
      <w:r>
        <w:rPr>
          <w:color w:val="000000"/>
        </w:rPr>
        <w:t>没有提出异议的，不予受理。</w:t>
      </w:r>
    </w:p>
    <w:p>
      <w:pPr>
        <w:pStyle w:val="5"/>
        <w:rPr>
          <w:rFonts w:hint="eastAsia"/>
          <w:color w:val="000000"/>
        </w:rPr>
      </w:pPr>
      <w:bookmarkStart w:id="522" w:name="_Toc433988620"/>
      <w:bookmarkStart w:id="523" w:name="_Toc419320150"/>
      <w:bookmarkStart w:id="524" w:name="_Toc419321186"/>
      <w:bookmarkStart w:id="525" w:name="_Toc419363554"/>
      <w:bookmarkStart w:id="526" w:name="_Toc419364277"/>
      <w:r>
        <w:rPr>
          <w:rFonts w:hint="eastAsia"/>
          <w:color w:val="000000"/>
        </w:rPr>
        <w:t>8.6 监督</w:t>
      </w:r>
      <w:bookmarkEnd w:id="522"/>
      <w:bookmarkEnd w:id="523"/>
      <w:bookmarkEnd w:id="524"/>
      <w:bookmarkEnd w:id="525"/>
      <w:bookmarkEnd w:id="526"/>
    </w:p>
    <w:p>
      <w:pPr>
        <w:autoSpaceDE w:val="0"/>
        <w:autoSpaceDN w:val="0"/>
        <w:adjustRightInd w:val="0"/>
        <w:spacing w:line="400" w:lineRule="exact"/>
        <w:ind w:firstLine="359" w:firstLineChars="171"/>
        <w:jc w:val="left"/>
        <w:rPr>
          <w:rFonts w:hint="eastAsia"/>
          <w:color w:val="000000"/>
        </w:rPr>
      </w:pPr>
      <w:r>
        <w:rPr>
          <w:rFonts w:hint="eastAsia" w:ascii="宋体" w:hAnsi="宋体" w:cs="TimesNewRomanPSMT"/>
          <w:color w:val="000000"/>
          <w:kern w:val="0"/>
          <w:szCs w:val="21"/>
        </w:rPr>
        <w:t>本项目的招标投标活动及其相关当事人应当接受相关监督部门依法实施的监督，</w:t>
      </w:r>
      <w:r>
        <w:rPr>
          <w:color w:val="000000"/>
        </w:rPr>
        <w:t>如项目属于公共资源范围，应同时接受本级</w:t>
      </w:r>
      <w:r>
        <w:rPr>
          <w:rFonts w:hint="eastAsia"/>
          <w:color w:val="000000"/>
        </w:rPr>
        <w:t>公共资源交易</w:t>
      </w:r>
      <w:r>
        <w:rPr>
          <w:color w:val="000000"/>
        </w:rPr>
        <w:t>监督机构</w:t>
      </w:r>
      <w:r>
        <w:rPr>
          <w:rFonts w:hint="eastAsia"/>
          <w:color w:val="000000"/>
        </w:rPr>
        <w:t>的</w:t>
      </w:r>
      <w:r>
        <w:rPr>
          <w:color w:val="000000"/>
        </w:rPr>
        <w:t>监管。</w:t>
      </w:r>
    </w:p>
    <w:p>
      <w:pPr>
        <w:pStyle w:val="4"/>
        <w:rPr>
          <w:color w:val="000000"/>
        </w:rPr>
      </w:pPr>
      <w:bookmarkStart w:id="527" w:name="_Toc396778066"/>
      <w:bookmarkStart w:id="528" w:name="_Toc414553661"/>
      <w:bookmarkStart w:id="529" w:name="_Toc419321187"/>
      <w:bookmarkStart w:id="530" w:name="_Toc419363555"/>
      <w:bookmarkStart w:id="531" w:name="_Toc419364278"/>
      <w:bookmarkStart w:id="532" w:name="_Toc433988621"/>
      <w:bookmarkStart w:id="533" w:name="_Toc59203014"/>
      <w:bookmarkStart w:id="534" w:name="_Toc419320151"/>
      <w:bookmarkStart w:id="535" w:name="_Toc282823835"/>
      <w:r>
        <w:rPr>
          <w:rFonts w:hint="eastAsia"/>
          <w:color w:val="000000"/>
        </w:rPr>
        <w:t>9．重新招标和不再招标</w:t>
      </w:r>
      <w:bookmarkEnd w:id="527"/>
      <w:bookmarkEnd w:id="528"/>
      <w:bookmarkEnd w:id="529"/>
      <w:bookmarkEnd w:id="530"/>
      <w:bookmarkEnd w:id="531"/>
      <w:bookmarkEnd w:id="532"/>
      <w:bookmarkEnd w:id="533"/>
      <w:bookmarkEnd w:id="534"/>
    </w:p>
    <w:p>
      <w:pPr>
        <w:pStyle w:val="5"/>
        <w:rPr>
          <w:color w:val="000000"/>
        </w:rPr>
      </w:pPr>
      <w:bookmarkStart w:id="536" w:name="_Toc419363556"/>
      <w:bookmarkStart w:id="537" w:name="_Toc419364279"/>
      <w:bookmarkStart w:id="538" w:name="_Toc419321188"/>
      <w:bookmarkStart w:id="539" w:name="_Toc433988622"/>
      <w:bookmarkStart w:id="540" w:name="_Toc419320152"/>
      <w:r>
        <w:rPr>
          <w:rFonts w:hint="eastAsia"/>
          <w:color w:val="000000"/>
        </w:rPr>
        <w:t>9</w:t>
      </w:r>
      <w:r>
        <w:rPr>
          <w:color w:val="000000"/>
        </w:rPr>
        <w:t xml:space="preserve">.1 </w:t>
      </w:r>
      <w:r>
        <w:rPr>
          <w:rFonts w:hint="eastAsia"/>
          <w:color w:val="000000"/>
        </w:rPr>
        <w:t>重新招标</w:t>
      </w:r>
      <w:bookmarkEnd w:id="536"/>
      <w:bookmarkEnd w:id="537"/>
      <w:bookmarkEnd w:id="538"/>
      <w:bookmarkEnd w:id="539"/>
      <w:bookmarkEnd w:id="540"/>
    </w:p>
    <w:p>
      <w:pPr>
        <w:autoSpaceDE w:val="0"/>
        <w:autoSpaceDN w:val="0"/>
        <w:adjustRightInd w:val="0"/>
        <w:spacing w:line="400" w:lineRule="exact"/>
        <w:ind w:firstLine="359" w:firstLineChars="171"/>
        <w:jc w:val="left"/>
        <w:rPr>
          <w:rFonts w:ascii="宋体" w:hAnsi="宋体" w:cs="TimesNewRomanPSMT"/>
          <w:color w:val="000000"/>
          <w:kern w:val="0"/>
          <w:szCs w:val="21"/>
        </w:rPr>
      </w:pPr>
      <w:r>
        <w:rPr>
          <w:rFonts w:hint="eastAsia" w:ascii="宋体" w:hAnsi="宋体" w:cs="TimesNewRomanPSMT"/>
          <w:color w:val="000000"/>
          <w:kern w:val="0"/>
          <w:szCs w:val="21"/>
        </w:rPr>
        <w:t>根据《中华人民共和国招标投标法》《中华人民共和国招标投标法实施条例》等规定，有下列情形之一的，招标人将重新招标：</w:t>
      </w:r>
    </w:p>
    <w:p>
      <w:pPr>
        <w:autoSpaceDE w:val="0"/>
        <w:autoSpaceDN w:val="0"/>
        <w:adjustRightInd w:val="0"/>
        <w:spacing w:line="400" w:lineRule="exact"/>
        <w:ind w:firstLine="359" w:firstLineChars="171"/>
        <w:jc w:val="left"/>
        <w:rPr>
          <w:rFonts w:ascii="宋体" w:hAnsi="宋体" w:cs="TimesNewRomanPSMT"/>
          <w:color w:val="000000"/>
          <w:kern w:val="0"/>
          <w:szCs w:val="21"/>
        </w:rPr>
      </w:pPr>
      <w:r>
        <w:rPr>
          <w:rFonts w:hint="eastAsia" w:ascii="宋体" w:hAnsi="宋体" w:cs="TimesNewRomanPSMT"/>
          <w:color w:val="000000"/>
          <w:kern w:val="0"/>
          <w:szCs w:val="21"/>
        </w:rPr>
        <w:t>（</w:t>
      </w:r>
      <w:r>
        <w:rPr>
          <w:rFonts w:ascii="宋体" w:hAnsi="宋体" w:cs="TimesNewRomanPSMT"/>
          <w:color w:val="000000"/>
          <w:kern w:val="0"/>
          <w:szCs w:val="21"/>
        </w:rPr>
        <w:t>1</w:t>
      </w:r>
      <w:r>
        <w:rPr>
          <w:rFonts w:hint="eastAsia" w:ascii="宋体" w:hAnsi="宋体" w:cs="TimesNewRomanPSMT"/>
          <w:color w:val="000000"/>
          <w:kern w:val="0"/>
          <w:szCs w:val="21"/>
        </w:rPr>
        <w:t>）投标截止时间止，投标人少于</w:t>
      </w:r>
      <w:r>
        <w:rPr>
          <w:rFonts w:ascii="宋体" w:hAnsi="宋体" w:cs="TimesNewRomanPSMT"/>
          <w:color w:val="000000"/>
          <w:kern w:val="0"/>
          <w:szCs w:val="21"/>
        </w:rPr>
        <w:t xml:space="preserve">3 </w:t>
      </w:r>
      <w:r>
        <w:rPr>
          <w:rFonts w:hint="eastAsia" w:ascii="宋体" w:hAnsi="宋体" w:cs="TimesNewRomanPSMT"/>
          <w:color w:val="000000"/>
          <w:kern w:val="0"/>
          <w:szCs w:val="21"/>
        </w:rPr>
        <w:t>个的；</w:t>
      </w:r>
    </w:p>
    <w:p>
      <w:pPr>
        <w:autoSpaceDE w:val="0"/>
        <w:autoSpaceDN w:val="0"/>
        <w:adjustRightInd w:val="0"/>
        <w:spacing w:line="400" w:lineRule="exact"/>
        <w:ind w:firstLine="359" w:firstLineChars="171"/>
        <w:jc w:val="left"/>
        <w:rPr>
          <w:rFonts w:hint="eastAsia" w:ascii="宋体" w:hAnsi="宋体" w:cs="TimesNewRomanPSMT"/>
          <w:color w:val="000000"/>
          <w:kern w:val="0"/>
          <w:szCs w:val="21"/>
        </w:rPr>
      </w:pPr>
      <w:r>
        <w:rPr>
          <w:rFonts w:hint="eastAsia" w:ascii="宋体" w:hAnsi="宋体" w:cs="TimesNewRomanPSMT"/>
          <w:color w:val="000000"/>
          <w:kern w:val="0"/>
          <w:szCs w:val="21"/>
        </w:rPr>
        <w:t>（</w:t>
      </w:r>
      <w:r>
        <w:rPr>
          <w:rFonts w:ascii="宋体" w:hAnsi="宋体" w:cs="TimesNewRomanPSMT"/>
          <w:color w:val="000000"/>
          <w:kern w:val="0"/>
          <w:szCs w:val="21"/>
        </w:rPr>
        <w:t>2</w:t>
      </w:r>
      <w:r>
        <w:rPr>
          <w:rFonts w:hint="eastAsia" w:ascii="宋体" w:hAnsi="宋体" w:cs="TimesNewRomanPSMT"/>
          <w:color w:val="000000"/>
          <w:kern w:val="0"/>
          <w:szCs w:val="21"/>
        </w:rPr>
        <w:t>）</w:t>
      </w:r>
      <w:r>
        <w:rPr>
          <w:rFonts w:hint="eastAsia" w:ascii="宋体" w:hAnsi="宋体" w:cs="宋体"/>
          <w:color w:val="000000"/>
          <w:szCs w:val="21"/>
          <w:shd w:val="clear" w:color="auto" w:fill="FFFFFF"/>
        </w:rPr>
        <w:t>经评标委员会评审，所有投标被否决或者部分投标被否决后，有效投标不足3个，导致投标明显缺乏竞争的，招标人在分析招标失败的原因采取相应措施后，应当依法重新招标</w:t>
      </w:r>
      <w:r>
        <w:rPr>
          <w:color w:val="000000"/>
          <w:szCs w:val="21"/>
        </w:rPr>
        <w:t>；</w:t>
      </w:r>
    </w:p>
    <w:p>
      <w:pPr>
        <w:autoSpaceDE w:val="0"/>
        <w:autoSpaceDN w:val="0"/>
        <w:adjustRightInd w:val="0"/>
        <w:spacing w:line="400" w:lineRule="exact"/>
        <w:ind w:firstLine="359" w:firstLineChars="171"/>
        <w:jc w:val="left"/>
        <w:rPr>
          <w:rFonts w:ascii="宋体" w:hAnsi="宋体" w:cs="TimesNewRomanPSMT"/>
          <w:color w:val="000000"/>
          <w:kern w:val="0"/>
          <w:szCs w:val="21"/>
        </w:rPr>
      </w:pPr>
      <w:r>
        <w:rPr>
          <w:rFonts w:ascii="宋体" w:hAnsi="宋体" w:cs="TimesNewRomanPSMT"/>
          <w:color w:val="000000"/>
          <w:kern w:val="0"/>
          <w:szCs w:val="21"/>
        </w:rPr>
        <w:t>（3）其他有关法规和文件规定的应当重新招标的情形。</w:t>
      </w:r>
    </w:p>
    <w:p>
      <w:pPr>
        <w:pStyle w:val="5"/>
        <w:rPr>
          <w:rFonts w:hint="eastAsia"/>
          <w:color w:val="000000"/>
        </w:rPr>
      </w:pPr>
      <w:bookmarkStart w:id="541" w:name="_Toc433988623"/>
      <w:bookmarkStart w:id="542" w:name="_Toc419321189"/>
      <w:bookmarkStart w:id="543" w:name="_Toc419363557"/>
      <w:bookmarkStart w:id="544" w:name="_Toc419364280"/>
      <w:bookmarkStart w:id="545" w:name="_Toc419320153"/>
      <w:r>
        <w:rPr>
          <w:rFonts w:hint="eastAsia"/>
          <w:color w:val="000000"/>
        </w:rPr>
        <w:t>9.2 重新招标的其他情形</w:t>
      </w:r>
      <w:bookmarkEnd w:id="541"/>
      <w:bookmarkEnd w:id="542"/>
      <w:bookmarkEnd w:id="543"/>
      <w:bookmarkEnd w:id="544"/>
      <w:bookmarkEnd w:id="545"/>
    </w:p>
    <w:p>
      <w:pPr>
        <w:autoSpaceDE w:val="0"/>
        <w:autoSpaceDN w:val="0"/>
        <w:adjustRightInd w:val="0"/>
        <w:spacing w:line="400" w:lineRule="exact"/>
        <w:ind w:firstLine="359" w:firstLineChars="171"/>
        <w:jc w:val="left"/>
        <w:rPr>
          <w:rFonts w:hint="eastAsia" w:ascii="宋体" w:hAnsi="宋体" w:cs="TimesNewRomanPSMT"/>
          <w:color w:val="000000"/>
          <w:kern w:val="0"/>
          <w:szCs w:val="21"/>
        </w:rPr>
      </w:pPr>
      <w:r>
        <w:rPr>
          <w:rFonts w:hint="eastAsia" w:ascii="宋体" w:hAnsi="宋体" w:cs="TimesNewRomanPSMT"/>
          <w:color w:val="000000"/>
          <w:kern w:val="0"/>
          <w:szCs w:val="21"/>
        </w:rPr>
        <w:t>除投标人须知正文第9条规定的情形外，除非已经产生中标候选人，在投标有效期内同意延长投标有效期的投标人少于三个的，招标人</w:t>
      </w:r>
      <w:r>
        <w:rPr>
          <w:rFonts w:ascii="宋体" w:hAnsi="宋体" w:cs="TimesNewRomanPSMT"/>
          <w:color w:val="000000"/>
          <w:kern w:val="0"/>
          <w:szCs w:val="21"/>
        </w:rPr>
        <w:t>在分析招标失败的原因并采取相应措施后，</w:t>
      </w:r>
      <w:r>
        <w:rPr>
          <w:rFonts w:hint="eastAsia" w:ascii="宋体" w:hAnsi="宋体" w:cs="TimesNewRomanPSMT"/>
          <w:color w:val="000000"/>
          <w:kern w:val="0"/>
          <w:szCs w:val="21"/>
        </w:rPr>
        <w:t>应当依法重新招标。</w:t>
      </w:r>
    </w:p>
    <w:p>
      <w:pPr>
        <w:pStyle w:val="5"/>
        <w:rPr>
          <w:color w:val="000000"/>
        </w:rPr>
      </w:pPr>
      <w:bookmarkStart w:id="546" w:name="_Toc419320154"/>
      <w:bookmarkStart w:id="547" w:name="_Toc419321190"/>
      <w:bookmarkStart w:id="548" w:name="_Toc433988624"/>
      <w:bookmarkStart w:id="549" w:name="_Toc419363558"/>
      <w:bookmarkStart w:id="550" w:name="_Toc419364281"/>
      <w:r>
        <w:rPr>
          <w:rFonts w:hint="eastAsia"/>
          <w:color w:val="000000"/>
        </w:rPr>
        <w:t>9</w:t>
      </w:r>
      <w:r>
        <w:rPr>
          <w:color w:val="000000"/>
        </w:rPr>
        <w:t>.</w:t>
      </w:r>
      <w:r>
        <w:rPr>
          <w:rFonts w:hint="eastAsia"/>
          <w:color w:val="000000"/>
        </w:rPr>
        <w:t>3</w:t>
      </w:r>
      <w:r>
        <w:rPr>
          <w:color w:val="000000"/>
        </w:rPr>
        <w:t xml:space="preserve"> </w:t>
      </w:r>
      <w:r>
        <w:rPr>
          <w:rFonts w:hint="eastAsia"/>
          <w:color w:val="000000"/>
        </w:rPr>
        <w:t>不再招标</w:t>
      </w:r>
      <w:bookmarkEnd w:id="546"/>
      <w:bookmarkEnd w:id="547"/>
      <w:bookmarkEnd w:id="548"/>
      <w:bookmarkEnd w:id="549"/>
      <w:bookmarkEnd w:id="550"/>
    </w:p>
    <w:p>
      <w:pPr>
        <w:autoSpaceDE w:val="0"/>
        <w:autoSpaceDN w:val="0"/>
        <w:adjustRightInd w:val="0"/>
        <w:spacing w:line="400" w:lineRule="exact"/>
        <w:ind w:firstLine="359" w:firstLineChars="171"/>
        <w:jc w:val="left"/>
        <w:rPr>
          <w:rFonts w:hint="eastAsia" w:ascii="宋体" w:hAnsi="宋体" w:cs="TimesNewRomanPSMT"/>
          <w:color w:val="000000"/>
          <w:kern w:val="0"/>
          <w:szCs w:val="21"/>
        </w:rPr>
      </w:pPr>
      <w:r>
        <w:rPr>
          <w:rFonts w:hint="eastAsia" w:ascii="宋体" w:hAnsi="宋体" w:cs="TimesNewRomanPSMT"/>
          <w:color w:val="000000"/>
          <w:kern w:val="0"/>
          <w:szCs w:val="21"/>
        </w:rPr>
        <w:t>根据《中华人民共和国招标投标法》《中华人民共和国招标投标法实施条例》等规定，重新招标后投标人仍少于</w:t>
      </w:r>
      <w:r>
        <w:rPr>
          <w:rFonts w:ascii="宋体" w:hAnsi="宋体" w:cs="TimesNewRomanPSMT"/>
          <w:color w:val="000000"/>
          <w:kern w:val="0"/>
          <w:szCs w:val="21"/>
        </w:rPr>
        <w:t xml:space="preserve">3 </w:t>
      </w:r>
      <w:r>
        <w:rPr>
          <w:rFonts w:hint="eastAsia" w:ascii="宋体" w:hAnsi="宋体" w:cs="TimesNewRomanPSMT"/>
          <w:color w:val="000000"/>
          <w:kern w:val="0"/>
          <w:szCs w:val="21"/>
        </w:rPr>
        <w:t>个或者所有投标被否决的，属于必须审批或核准的工程建设项目，经原审批或核准部门批准后不再进行招标。</w:t>
      </w:r>
    </w:p>
    <w:bookmarkEnd w:id="535"/>
    <w:p>
      <w:pPr>
        <w:pStyle w:val="4"/>
        <w:rPr>
          <w:color w:val="000000"/>
        </w:rPr>
      </w:pPr>
      <w:bookmarkStart w:id="551" w:name="_Toc419320155"/>
      <w:bookmarkStart w:id="552" w:name="_Toc419321191"/>
      <w:bookmarkStart w:id="553" w:name="_Toc419364282"/>
      <w:bookmarkStart w:id="554" w:name="_Toc419363559"/>
      <w:bookmarkStart w:id="555" w:name="_Toc414553662"/>
      <w:bookmarkStart w:id="556" w:name="_Toc59203015"/>
      <w:bookmarkStart w:id="557" w:name="_Toc433988625"/>
      <w:r>
        <w:rPr>
          <w:rFonts w:hint="eastAsia"/>
          <w:color w:val="000000"/>
        </w:rPr>
        <w:t>10．</w:t>
      </w:r>
      <w:r>
        <w:rPr>
          <w:color w:val="000000"/>
        </w:rPr>
        <w:t>需要补充的其他内容</w:t>
      </w:r>
      <w:bookmarkEnd w:id="551"/>
      <w:bookmarkEnd w:id="552"/>
      <w:bookmarkEnd w:id="553"/>
      <w:bookmarkEnd w:id="554"/>
      <w:bookmarkEnd w:id="555"/>
      <w:bookmarkEnd w:id="556"/>
      <w:bookmarkEnd w:id="557"/>
    </w:p>
    <w:p>
      <w:pPr>
        <w:pStyle w:val="5"/>
        <w:rPr>
          <w:color w:val="000000"/>
        </w:rPr>
      </w:pPr>
      <w:r>
        <w:rPr>
          <w:rFonts w:hint="eastAsia"/>
          <w:color w:val="000000"/>
        </w:rPr>
        <w:t>10.1 农民工工资保证金</w:t>
      </w:r>
    </w:p>
    <w:p>
      <w:pPr>
        <w:autoSpaceDE w:val="0"/>
        <w:autoSpaceDN w:val="0"/>
        <w:adjustRightInd w:val="0"/>
        <w:spacing w:line="400" w:lineRule="exact"/>
        <w:ind w:firstLine="420" w:firstLineChars="200"/>
        <w:jc w:val="left"/>
        <w:rPr>
          <w:rFonts w:ascii="宋体" w:hAnsi="宋体" w:cs="TimesNewRomanPSMT"/>
          <w:color w:val="000000"/>
          <w:kern w:val="0"/>
          <w:szCs w:val="21"/>
        </w:rPr>
      </w:pPr>
      <w:r>
        <w:rPr>
          <w:rFonts w:hint="eastAsia" w:ascii="宋体" w:hAnsi="宋体" w:cs="TimesNewRomanPSMT"/>
          <w:color w:val="000000"/>
          <w:kern w:val="0"/>
          <w:szCs w:val="21"/>
        </w:rPr>
        <w:t>根据</w:t>
      </w:r>
      <w:r>
        <w:rPr>
          <w:rFonts w:hint="eastAsia" w:ascii="宋体" w:hAnsi="宋体"/>
          <w:color w:val="000000"/>
        </w:rPr>
        <w:t>按</w:t>
      </w:r>
      <w:r>
        <w:rPr>
          <w:rFonts w:hint="eastAsia" w:ascii="宋体" w:hAnsi="宋体" w:cs="TimesNewRomanPSMT"/>
          <w:color w:val="000000"/>
          <w:kern w:val="0"/>
          <w:szCs w:val="21"/>
        </w:rPr>
        <w:t>《</w:t>
      </w:r>
      <w:r>
        <w:rPr>
          <w:rFonts w:hint="eastAsia" w:ascii="宋体" w:hAnsi="宋体" w:cs="TimesNewRomanPSMT"/>
          <w:b/>
          <w:bCs/>
          <w:color w:val="000000"/>
          <w:kern w:val="0"/>
        </w:rPr>
        <w:t>保障农民工工资支付条例》</w:t>
      </w:r>
      <w:r>
        <w:rPr>
          <w:rFonts w:hint="eastAsia" w:ascii="宋体" w:hAnsi="宋体" w:cs="TimesNewRomanPSMT"/>
          <w:color w:val="000000"/>
          <w:kern w:val="0"/>
          <w:szCs w:val="21"/>
        </w:rPr>
        <w:t>，投标人在投标时必须在投标文件《建设工程项目管理承诺书》中承诺，在项目开</w:t>
      </w:r>
      <w:r>
        <w:rPr>
          <w:rFonts w:ascii="宋体" w:hAnsi="宋体" w:cs="TimesNewRomanPSMT"/>
          <w:color w:val="000000"/>
          <w:kern w:val="0"/>
          <w:szCs w:val="21"/>
        </w:rPr>
        <w:t>工前</w:t>
      </w:r>
      <w:r>
        <w:rPr>
          <w:rFonts w:hint="eastAsia" w:ascii="宋体" w:hAnsi="宋体" w:cs="TimesNewRomanPSMT"/>
          <w:color w:val="000000"/>
          <w:kern w:val="0"/>
          <w:szCs w:val="21"/>
        </w:rPr>
        <w:t>开设农民工工资专用帐户。如投标人的投标文件没有提交上述承诺的，视为无效投标文件，取消其投标资格。</w:t>
      </w:r>
    </w:p>
    <w:p>
      <w:pPr>
        <w:pStyle w:val="5"/>
        <w:rPr>
          <w:rFonts w:hint="eastAsia"/>
          <w:color w:val="000000"/>
        </w:rPr>
      </w:pPr>
      <w:bookmarkStart w:id="558" w:name="_Toc12609290"/>
      <w:r>
        <w:rPr>
          <w:color w:val="000000"/>
        </w:rPr>
        <w:t xml:space="preserve">10.2 </w:t>
      </w:r>
      <w:r>
        <w:rPr>
          <w:rFonts w:hint="eastAsia"/>
          <w:color w:val="000000"/>
        </w:rPr>
        <w:t>技术标、设计标</w:t>
      </w:r>
      <w:r>
        <w:rPr>
          <w:color w:val="000000"/>
        </w:rPr>
        <w:t>评审方式</w:t>
      </w:r>
      <w:bookmarkEnd w:id="558"/>
    </w:p>
    <w:p>
      <w:pPr>
        <w:spacing w:line="360" w:lineRule="auto"/>
        <w:ind w:firstLine="420" w:firstLineChars="200"/>
        <w:rPr>
          <w:rFonts w:hint="eastAsia" w:ascii="宋体" w:hAnsi="宋体" w:cs="TimesNewRomanPSMT"/>
          <w:color w:val="000000"/>
          <w:kern w:val="0"/>
          <w:szCs w:val="21"/>
        </w:rPr>
      </w:pPr>
      <w:r>
        <w:rPr>
          <w:rFonts w:hint="eastAsia" w:cs="宋体"/>
          <w:color w:val="000000"/>
        </w:rPr>
        <w:t>见“投标人须知前附表”。</w:t>
      </w:r>
    </w:p>
    <w:p>
      <w:pPr>
        <w:pStyle w:val="5"/>
        <w:rPr>
          <w:color w:val="000000"/>
        </w:rPr>
      </w:pPr>
      <w:r>
        <w:rPr>
          <w:rFonts w:hint="eastAsia"/>
          <w:color w:val="000000"/>
        </w:rPr>
        <w:t>10.</w:t>
      </w:r>
      <w:r>
        <w:rPr>
          <w:color w:val="000000"/>
        </w:rPr>
        <w:t>3</w:t>
      </w:r>
      <w:r>
        <w:rPr>
          <w:rFonts w:hint="eastAsia"/>
          <w:color w:val="000000"/>
        </w:rPr>
        <w:t xml:space="preserve"> 投标文件电子版</w:t>
      </w:r>
    </w:p>
    <w:p>
      <w:pPr>
        <w:autoSpaceDE w:val="0"/>
        <w:autoSpaceDN w:val="0"/>
        <w:adjustRightInd w:val="0"/>
        <w:spacing w:line="400" w:lineRule="exact"/>
        <w:ind w:firstLine="420" w:firstLineChars="200"/>
        <w:jc w:val="left"/>
        <w:rPr>
          <w:rFonts w:ascii="宋体" w:hAnsi="宋体" w:cs="TimesNewRomanPSMT"/>
          <w:color w:val="000000"/>
          <w:kern w:val="0"/>
          <w:szCs w:val="21"/>
        </w:rPr>
      </w:pPr>
      <w:r>
        <w:rPr>
          <w:color w:val="000000"/>
        </w:rPr>
        <w:t>见</w:t>
      </w:r>
      <w:r>
        <w:rPr>
          <w:rFonts w:hint="eastAsia"/>
          <w:color w:val="000000"/>
        </w:rPr>
        <w:t>“</w:t>
      </w:r>
      <w:r>
        <w:rPr>
          <w:color w:val="000000"/>
        </w:rPr>
        <w:t>投标人须知前附表</w:t>
      </w:r>
      <w:r>
        <w:rPr>
          <w:rFonts w:hint="eastAsia"/>
          <w:color w:val="000000"/>
        </w:rPr>
        <w:t>”</w:t>
      </w:r>
      <w:r>
        <w:rPr>
          <w:rFonts w:hint="eastAsia" w:ascii="宋体" w:hAnsi="宋体" w:cs="TimesNewRomanPSMT"/>
          <w:color w:val="000000"/>
          <w:kern w:val="0"/>
          <w:szCs w:val="21"/>
        </w:rPr>
        <w:t>。</w:t>
      </w:r>
    </w:p>
    <w:p>
      <w:pPr>
        <w:autoSpaceDE w:val="0"/>
        <w:autoSpaceDN w:val="0"/>
        <w:adjustRightInd w:val="0"/>
        <w:spacing w:line="400" w:lineRule="exact"/>
        <w:ind w:firstLine="420" w:firstLineChars="200"/>
        <w:jc w:val="left"/>
        <w:rPr>
          <w:rFonts w:hint="eastAsia" w:ascii="宋体" w:hAnsi="宋体" w:cs="TimesNewRomanPSMT"/>
          <w:color w:val="000000"/>
          <w:kern w:val="0"/>
          <w:szCs w:val="21"/>
        </w:rPr>
      </w:pPr>
    </w:p>
    <w:p>
      <w:pPr>
        <w:pStyle w:val="5"/>
        <w:rPr>
          <w:color w:val="000000"/>
        </w:rPr>
      </w:pPr>
      <w:r>
        <w:rPr>
          <w:rFonts w:hint="eastAsia"/>
          <w:color w:val="000000"/>
        </w:rPr>
        <w:t>10.</w:t>
      </w:r>
      <w:r>
        <w:rPr>
          <w:color w:val="000000"/>
        </w:rPr>
        <w:t>4</w:t>
      </w:r>
      <w:r>
        <w:rPr>
          <w:rFonts w:hint="eastAsia"/>
          <w:color w:val="000000"/>
        </w:rPr>
        <w:t xml:space="preserve"> 知识产权</w:t>
      </w:r>
    </w:p>
    <w:p>
      <w:pPr>
        <w:autoSpaceDE w:val="0"/>
        <w:autoSpaceDN w:val="0"/>
        <w:adjustRightInd w:val="0"/>
        <w:spacing w:line="400" w:lineRule="exact"/>
        <w:ind w:firstLine="420" w:firstLineChars="200"/>
        <w:jc w:val="left"/>
        <w:rPr>
          <w:rFonts w:hint="eastAsia" w:ascii="宋体" w:hAnsi="宋体" w:cs="TimesNewRomanPSMT"/>
          <w:color w:val="000000"/>
          <w:kern w:val="0"/>
          <w:szCs w:val="21"/>
        </w:rPr>
      </w:pPr>
      <w:r>
        <w:rPr>
          <w:color w:val="000000"/>
        </w:rPr>
        <w:t>招标人对其知识产权的具体要求见</w:t>
      </w:r>
      <w:r>
        <w:rPr>
          <w:rFonts w:hint="eastAsia"/>
          <w:color w:val="000000"/>
        </w:rPr>
        <w:t>“</w:t>
      </w:r>
      <w:r>
        <w:rPr>
          <w:color w:val="000000"/>
        </w:rPr>
        <w:t>投标人须知前附表</w:t>
      </w:r>
      <w:r>
        <w:rPr>
          <w:rFonts w:hint="eastAsia"/>
          <w:color w:val="000000"/>
        </w:rPr>
        <w:t>”</w:t>
      </w:r>
      <w:r>
        <w:rPr>
          <w:rFonts w:hint="eastAsia" w:ascii="宋体" w:hAnsi="宋体" w:cs="TimesNewRomanPSMT"/>
          <w:color w:val="000000"/>
          <w:kern w:val="0"/>
          <w:szCs w:val="21"/>
        </w:rPr>
        <w:t>。</w:t>
      </w:r>
    </w:p>
    <w:p>
      <w:pPr>
        <w:autoSpaceDE w:val="0"/>
        <w:autoSpaceDN w:val="0"/>
        <w:adjustRightInd w:val="0"/>
        <w:spacing w:line="400" w:lineRule="exact"/>
        <w:ind w:firstLine="420" w:firstLineChars="200"/>
        <w:jc w:val="left"/>
        <w:rPr>
          <w:rFonts w:hint="eastAsia" w:ascii="宋体" w:hAnsi="宋体" w:cs="TimesNewRomanPSMT"/>
          <w:color w:val="000000"/>
          <w:kern w:val="0"/>
          <w:szCs w:val="21"/>
        </w:rPr>
      </w:pPr>
    </w:p>
    <w:p>
      <w:pPr>
        <w:pStyle w:val="5"/>
        <w:rPr>
          <w:color w:val="000000"/>
        </w:rPr>
      </w:pPr>
      <w:r>
        <w:rPr>
          <w:rFonts w:hint="eastAsia"/>
          <w:color w:val="000000"/>
        </w:rPr>
        <w:t>10.</w:t>
      </w:r>
      <w:r>
        <w:rPr>
          <w:color w:val="000000"/>
        </w:rPr>
        <w:t>5</w:t>
      </w:r>
      <w:r>
        <w:rPr>
          <w:rFonts w:hint="eastAsia"/>
          <w:color w:val="000000"/>
        </w:rPr>
        <w:t xml:space="preserve"> 同义词语</w:t>
      </w:r>
    </w:p>
    <w:p>
      <w:pPr>
        <w:autoSpaceDE w:val="0"/>
        <w:autoSpaceDN w:val="0"/>
        <w:adjustRightInd w:val="0"/>
        <w:spacing w:line="400" w:lineRule="exact"/>
        <w:ind w:firstLine="420" w:firstLineChars="200"/>
        <w:jc w:val="left"/>
        <w:rPr>
          <w:rFonts w:hint="eastAsia" w:ascii="宋体" w:hAnsi="宋体" w:cs="TimesNewRomanPSMT"/>
          <w:color w:val="000000"/>
          <w:kern w:val="0"/>
          <w:szCs w:val="21"/>
        </w:rPr>
      </w:pPr>
      <w:r>
        <w:rPr>
          <w:color w:val="000000"/>
        </w:rPr>
        <w:t>见</w:t>
      </w:r>
      <w:r>
        <w:rPr>
          <w:rFonts w:hint="eastAsia"/>
          <w:color w:val="000000"/>
        </w:rPr>
        <w:t>“</w:t>
      </w:r>
      <w:r>
        <w:rPr>
          <w:color w:val="000000"/>
        </w:rPr>
        <w:t>投标人须知前附表</w:t>
      </w:r>
      <w:r>
        <w:rPr>
          <w:rFonts w:hint="eastAsia"/>
          <w:color w:val="000000"/>
        </w:rPr>
        <w:t>”。</w:t>
      </w:r>
    </w:p>
    <w:p>
      <w:pPr>
        <w:pStyle w:val="5"/>
        <w:rPr>
          <w:color w:val="000000"/>
        </w:rPr>
      </w:pPr>
      <w:r>
        <w:rPr>
          <w:rFonts w:hint="eastAsia"/>
          <w:color w:val="000000"/>
        </w:rPr>
        <w:t>10.</w:t>
      </w:r>
      <w:r>
        <w:rPr>
          <w:color w:val="000000"/>
        </w:rPr>
        <w:t>6</w:t>
      </w:r>
      <w:r>
        <w:rPr>
          <w:rFonts w:hint="eastAsia"/>
          <w:color w:val="000000"/>
        </w:rPr>
        <w:t xml:space="preserve"> 招标人补充的其他内容</w:t>
      </w:r>
    </w:p>
    <w:p>
      <w:pPr>
        <w:autoSpaceDE w:val="0"/>
        <w:autoSpaceDN w:val="0"/>
        <w:adjustRightInd w:val="0"/>
        <w:spacing w:line="400" w:lineRule="exact"/>
        <w:ind w:firstLine="420" w:firstLineChars="200"/>
        <w:jc w:val="left"/>
        <w:rPr>
          <w:rFonts w:hint="eastAsia" w:ascii="宋体" w:hAnsi="宋体" w:cs="TimesNewRomanPSMT"/>
          <w:color w:val="000000"/>
          <w:kern w:val="0"/>
          <w:szCs w:val="21"/>
        </w:rPr>
      </w:pPr>
      <w:r>
        <w:rPr>
          <w:color w:val="000000"/>
        </w:rPr>
        <w:t>见</w:t>
      </w:r>
      <w:r>
        <w:rPr>
          <w:rFonts w:hint="eastAsia"/>
          <w:color w:val="000000"/>
        </w:rPr>
        <w:t>“</w:t>
      </w:r>
      <w:r>
        <w:rPr>
          <w:color w:val="000000"/>
        </w:rPr>
        <w:t>投标人须知前附表</w:t>
      </w:r>
      <w:r>
        <w:rPr>
          <w:rFonts w:hint="eastAsia"/>
          <w:color w:val="000000"/>
        </w:rPr>
        <w:t>”。</w:t>
      </w:r>
    </w:p>
    <w:p>
      <w:pPr>
        <w:autoSpaceDE w:val="0"/>
        <w:autoSpaceDN w:val="0"/>
        <w:adjustRightInd w:val="0"/>
        <w:spacing w:line="400" w:lineRule="exact"/>
        <w:jc w:val="left"/>
        <w:rPr>
          <w:rFonts w:hint="eastAsia" w:ascii="宋体" w:hAnsi="宋体" w:cs="TimesNewRomanPSMT"/>
          <w:color w:val="000000"/>
          <w:kern w:val="0"/>
          <w:szCs w:val="21"/>
        </w:rPr>
      </w:pPr>
    </w:p>
    <w:p>
      <w:pPr>
        <w:pStyle w:val="4"/>
        <w:rPr>
          <w:rFonts w:hint="eastAsia"/>
          <w:color w:val="000000"/>
        </w:rPr>
        <w:sectPr>
          <w:footerReference r:id="rId5" w:type="default"/>
          <w:pgSz w:w="11907" w:h="16840"/>
          <w:pgMar w:top="1418" w:right="1134" w:bottom="1418" w:left="1134" w:header="851" w:footer="851" w:gutter="0"/>
          <w:cols w:space="720" w:num="1"/>
          <w:docGrid w:linePitch="312" w:charSpace="0"/>
        </w:sectPr>
      </w:pPr>
      <w:bookmarkStart w:id="559" w:name="_Toc59203016"/>
      <w:r>
        <w:rPr>
          <w:rFonts w:hint="eastAsia"/>
          <w:color w:val="000000"/>
        </w:rPr>
        <w:t>11.备注</w:t>
      </w:r>
      <w:bookmarkEnd w:id="559"/>
    </w:p>
    <w:p>
      <w:pPr>
        <w:rPr>
          <w:rFonts w:hint="eastAsia" w:ascii="宋体" w:hAnsi="宋体"/>
          <w:color w:val="000000"/>
          <w:sz w:val="28"/>
          <w:szCs w:val="28"/>
        </w:rPr>
      </w:pPr>
      <w:bookmarkStart w:id="560" w:name="_Toc414553665"/>
      <w:r>
        <w:rPr>
          <w:rFonts w:ascii="宋体" w:hAnsi="宋体"/>
          <w:color w:val="000000"/>
          <w:sz w:val="28"/>
          <w:szCs w:val="28"/>
        </w:rPr>
        <w:t>附表</w:t>
      </w:r>
      <w:r>
        <w:rPr>
          <w:rFonts w:hint="eastAsia" w:ascii="宋体" w:hAnsi="宋体"/>
          <w:color w:val="000000"/>
          <w:sz w:val="28"/>
          <w:szCs w:val="28"/>
        </w:rPr>
        <w:t>一</w:t>
      </w:r>
      <w:r>
        <w:rPr>
          <w:rFonts w:ascii="宋体" w:hAnsi="宋体"/>
          <w:color w:val="000000"/>
          <w:sz w:val="28"/>
          <w:szCs w:val="28"/>
        </w:rPr>
        <w:t>：</w:t>
      </w:r>
      <w:r>
        <w:rPr>
          <w:rFonts w:hint="eastAsia" w:ascii="宋体" w:hAnsi="宋体"/>
          <w:color w:val="000000"/>
          <w:sz w:val="28"/>
          <w:szCs w:val="28"/>
        </w:rPr>
        <w:t>问题澄清通知</w:t>
      </w:r>
      <w:bookmarkEnd w:id="560"/>
    </w:p>
    <w:p>
      <w:pPr>
        <w:spacing w:line="360" w:lineRule="exact"/>
        <w:rPr>
          <w:rFonts w:hint="eastAsia"/>
          <w:color w:val="000000"/>
        </w:rPr>
      </w:pPr>
    </w:p>
    <w:p>
      <w:pPr>
        <w:spacing w:line="360" w:lineRule="exact"/>
        <w:rPr>
          <w:rFonts w:hint="eastAsia"/>
          <w:color w:val="000000"/>
        </w:rPr>
      </w:pPr>
    </w:p>
    <w:p>
      <w:pPr>
        <w:spacing w:after="156" w:afterLines="50" w:line="360" w:lineRule="exact"/>
        <w:jc w:val="center"/>
        <w:rPr>
          <w:b/>
          <w:color w:val="000000"/>
          <w:sz w:val="28"/>
          <w:szCs w:val="28"/>
        </w:rPr>
      </w:pPr>
      <w:r>
        <w:rPr>
          <w:rFonts w:hint="eastAsia"/>
          <w:b/>
          <w:color w:val="000000"/>
          <w:sz w:val="28"/>
          <w:szCs w:val="28"/>
        </w:rPr>
        <w:t>问题澄清通知</w:t>
      </w:r>
    </w:p>
    <w:p>
      <w:pPr>
        <w:spacing w:line="360" w:lineRule="exact"/>
        <w:jc w:val="center"/>
        <w:rPr>
          <w:color w:val="000000"/>
          <w:szCs w:val="21"/>
        </w:rPr>
      </w:pPr>
      <w:r>
        <w:rPr>
          <w:rFonts w:hint="eastAsia"/>
          <w:color w:val="000000"/>
          <w:szCs w:val="21"/>
        </w:rPr>
        <w:t>编号：</w:t>
      </w:r>
      <w:r>
        <w:rPr>
          <w:color w:val="000000"/>
          <w:szCs w:val="21"/>
        </w:rPr>
        <w:t>_______________</w:t>
      </w:r>
    </w:p>
    <w:p>
      <w:pPr>
        <w:spacing w:line="360" w:lineRule="exact"/>
        <w:jc w:val="center"/>
        <w:rPr>
          <w:color w:val="000000"/>
          <w:szCs w:val="21"/>
        </w:rPr>
      </w:pPr>
    </w:p>
    <w:p>
      <w:pPr>
        <w:spacing w:line="360" w:lineRule="exact"/>
        <w:rPr>
          <w:color w:val="000000"/>
          <w:szCs w:val="21"/>
          <w:u w:val="single"/>
        </w:rPr>
      </w:pPr>
    </w:p>
    <w:p>
      <w:pPr>
        <w:spacing w:line="440" w:lineRule="exact"/>
        <w:ind w:firstLine="210" w:firstLineChars="100"/>
        <w:rPr>
          <w:color w:val="000000"/>
          <w:szCs w:val="21"/>
        </w:rPr>
      </w:pP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rFonts w:hint="eastAsia"/>
          <w:color w:val="000000"/>
          <w:szCs w:val="21"/>
        </w:rPr>
        <w:t>（投标人名称）：</w:t>
      </w:r>
    </w:p>
    <w:p>
      <w:pPr>
        <w:spacing w:line="440" w:lineRule="exact"/>
        <w:ind w:firstLine="630" w:firstLineChars="300"/>
        <w:rPr>
          <w:color w:val="000000"/>
          <w:szCs w:val="21"/>
        </w:rPr>
      </w:pPr>
      <w:r>
        <w:rPr>
          <w:color w:val="000000"/>
          <w:szCs w:val="21"/>
        </w:rPr>
        <w:t xml:space="preserve">  </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rFonts w:hint="eastAsia"/>
          <w:color w:val="000000"/>
          <w:szCs w:val="21"/>
        </w:rPr>
        <w:t>项目</w:t>
      </w:r>
      <w:r>
        <w:rPr>
          <w:rFonts w:hint="eastAsia"/>
          <w:color w:val="000000"/>
          <w:szCs w:val="21"/>
          <w:u w:val="single"/>
        </w:rPr>
        <w:t xml:space="preserve">           </w:t>
      </w:r>
      <w:r>
        <w:rPr>
          <w:rFonts w:hint="eastAsia"/>
          <w:color w:val="000000"/>
          <w:szCs w:val="21"/>
        </w:rPr>
        <w:t>总承包（</w:t>
      </w:r>
      <w:r>
        <w:rPr>
          <w:rFonts w:hint="eastAsia"/>
          <w:color w:val="000000"/>
          <w:szCs w:val="21"/>
          <w:u w:val="single"/>
        </w:rPr>
        <w:t xml:space="preserve">    </w:t>
      </w:r>
      <w:r>
        <w:rPr>
          <w:rFonts w:hint="eastAsia"/>
          <w:color w:val="000000"/>
          <w:szCs w:val="21"/>
        </w:rPr>
        <w:t>）招标的评标委员会，本委员会对你方的投标文件进行了仔细审查，现需你方对下列问题以书面形式予以澄清：</w:t>
      </w:r>
    </w:p>
    <w:p>
      <w:pPr>
        <w:spacing w:line="440" w:lineRule="exact"/>
        <w:ind w:firstLine="720"/>
        <w:rPr>
          <w:color w:val="000000"/>
          <w:szCs w:val="21"/>
        </w:rPr>
      </w:pPr>
      <w:r>
        <w:rPr>
          <w:color w:val="000000"/>
          <w:szCs w:val="21"/>
        </w:rPr>
        <w:t>1.</w:t>
      </w:r>
    </w:p>
    <w:p>
      <w:pPr>
        <w:spacing w:line="440" w:lineRule="exact"/>
        <w:ind w:firstLine="720"/>
        <w:rPr>
          <w:color w:val="000000"/>
          <w:szCs w:val="21"/>
        </w:rPr>
      </w:pPr>
      <w:r>
        <w:rPr>
          <w:color w:val="000000"/>
          <w:szCs w:val="21"/>
        </w:rPr>
        <w:t>2.</w:t>
      </w:r>
    </w:p>
    <w:p>
      <w:pPr>
        <w:spacing w:line="440" w:lineRule="exact"/>
        <w:ind w:firstLine="720"/>
        <w:rPr>
          <w:color w:val="000000"/>
          <w:szCs w:val="21"/>
        </w:rPr>
      </w:pPr>
    </w:p>
    <w:p>
      <w:pPr>
        <w:spacing w:line="440" w:lineRule="exact"/>
        <w:ind w:firstLine="720"/>
        <w:rPr>
          <w:color w:val="000000"/>
          <w:szCs w:val="21"/>
        </w:rPr>
      </w:pPr>
      <w:r>
        <w:rPr>
          <w:rFonts w:hint="eastAsia"/>
          <w:color w:val="000000"/>
          <w:szCs w:val="21"/>
        </w:rPr>
        <w:t>……</w:t>
      </w:r>
    </w:p>
    <w:p>
      <w:pPr>
        <w:spacing w:line="440" w:lineRule="exact"/>
        <w:ind w:firstLine="435"/>
        <w:rPr>
          <w:color w:val="000000"/>
          <w:szCs w:val="21"/>
        </w:rPr>
      </w:pPr>
      <w:r>
        <w:rPr>
          <w:rFonts w:hint="eastAsia"/>
          <w:color w:val="000000"/>
          <w:szCs w:val="21"/>
        </w:rPr>
        <w:t>请将上述问题的澄清于</w:t>
      </w:r>
      <w:r>
        <w:rPr>
          <w:color w:val="000000"/>
          <w:szCs w:val="21"/>
        </w:rPr>
        <w:t>__________</w:t>
      </w:r>
      <w:r>
        <w:rPr>
          <w:rFonts w:hint="eastAsia"/>
          <w:color w:val="000000"/>
          <w:szCs w:val="21"/>
        </w:rPr>
        <w:t>年</w:t>
      </w:r>
      <w:r>
        <w:rPr>
          <w:color w:val="000000"/>
          <w:szCs w:val="21"/>
        </w:rPr>
        <w:t>________</w:t>
      </w:r>
      <w:r>
        <w:rPr>
          <w:rFonts w:hint="eastAsia"/>
          <w:color w:val="000000"/>
          <w:szCs w:val="21"/>
        </w:rPr>
        <w:t>月</w:t>
      </w:r>
      <w:r>
        <w:rPr>
          <w:color w:val="000000"/>
          <w:szCs w:val="21"/>
        </w:rPr>
        <w:t>_______</w:t>
      </w:r>
      <w:r>
        <w:rPr>
          <w:rFonts w:hint="eastAsia"/>
          <w:color w:val="000000"/>
          <w:szCs w:val="21"/>
        </w:rPr>
        <w:t>日</w:t>
      </w:r>
      <w:r>
        <w:rPr>
          <w:color w:val="000000"/>
          <w:szCs w:val="21"/>
        </w:rPr>
        <w:t>_______</w:t>
      </w:r>
      <w:r>
        <w:rPr>
          <w:rFonts w:hint="eastAsia"/>
          <w:color w:val="000000"/>
          <w:szCs w:val="21"/>
        </w:rPr>
        <w:t>时前递交至</w:t>
      </w:r>
      <w:r>
        <w:rPr>
          <w:color w:val="000000"/>
          <w:szCs w:val="21"/>
        </w:rPr>
        <w:t>___________</w:t>
      </w:r>
      <w:r>
        <w:rPr>
          <w:rFonts w:hint="eastAsia"/>
          <w:color w:val="000000"/>
          <w:szCs w:val="21"/>
        </w:rPr>
        <w:t>（详细地址）或传真至</w:t>
      </w:r>
      <w:r>
        <w:rPr>
          <w:color w:val="000000"/>
          <w:szCs w:val="21"/>
        </w:rPr>
        <w:t>___________</w:t>
      </w:r>
      <w:r>
        <w:rPr>
          <w:rFonts w:hint="eastAsia"/>
          <w:color w:val="000000"/>
          <w:szCs w:val="21"/>
        </w:rPr>
        <w:t>（传真号码）。采用传真方式的，应在</w:t>
      </w:r>
      <w:r>
        <w:rPr>
          <w:color w:val="000000"/>
          <w:szCs w:val="21"/>
        </w:rPr>
        <w:t>___________</w:t>
      </w:r>
      <w:r>
        <w:rPr>
          <w:rFonts w:hint="eastAsia"/>
          <w:color w:val="000000"/>
          <w:szCs w:val="21"/>
        </w:rPr>
        <w:t>年</w:t>
      </w:r>
      <w:r>
        <w:rPr>
          <w:color w:val="000000"/>
          <w:szCs w:val="21"/>
        </w:rPr>
        <w:t>__________</w:t>
      </w:r>
      <w:r>
        <w:rPr>
          <w:rFonts w:hint="eastAsia"/>
          <w:color w:val="000000"/>
          <w:szCs w:val="21"/>
        </w:rPr>
        <w:t>月</w:t>
      </w:r>
      <w:r>
        <w:rPr>
          <w:color w:val="000000"/>
          <w:szCs w:val="21"/>
        </w:rPr>
        <w:t>_________</w:t>
      </w:r>
      <w:r>
        <w:rPr>
          <w:rFonts w:hint="eastAsia"/>
          <w:color w:val="000000"/>
          <w:szCs w:val="21"/>
        </w:rPr>
        <w:t>日</w:t>
      </w:r>
      <w:r>
        <w:rPr>
          <w:color w:val="000000"/>
          <w:szCs w:val="21"/>
        </w:rPr>
        <w:t>_________</w:t>
      </w:r>
      <w:r>
        <w:rPr>
          <w:rFonts w:hint="eastAsia"/>
          <w:color w:val="000000"/>
          <w:szCs w:val="21"/>
        </w:rPr>
        <w:t>时前将原件递交至</w:t>
      </w:r>
      <w:r>
        <w:rPr>
          <w:color w:val="000000"/>
          <w:szCs w:val="21"/>
        </w:rPr>
        <w:t>_____________</w:t>
      </w:r>
      <w:r>
        <w:rPr>
          <w:rFonts w:hint="eastAsia"/>
          <w:color w:val="000000"/>
          <w:szCs w:val="21"/>
        </w:rPr>
        <w:t>（详细地址）。</w:t>
      </w:r>
    </w:p>
    <w:p>
      <w:pPr>
        <w:spacing w:line="360" w:lineRule="exact"/>
        <w:ind w:firstLine="435"/>
        <w:rPr>
          <w:color w:val="000000"/>
          <w:szCs w:val="21"/>
        </w:rPr>
      </w:pPr>
    </w:p>
    <w:p>
      <w:pPr>
        <w:spacing w:line="360" w:lineRule="exact"/>
        <w:ind w:firstLine="435"/>
        <w:rPr>
          <w:color w:val="000000"/>
          <w:szCs w:val="21"/>
        </w:rPr>
      </w:pPr>
    </w:p>
    <w:p>
      <w:pPr>
        <w:spacing w:line="360" w:lineRule="exact"/>
        <w:ind w:firstLine="4214" w:firstLineChars="2007"/>
        <w:rPr>
          <w:color w:val="000000"/>
          <w:szCs w:val="21"/>
        </w:rPr>
      </w:pPr>
    </w:p>
    <w:p>
      <w:pPr>
        <w:spacing w:line="360" w:lineRule="exact"/>
        <w:ind w:firstLine="4214" w:firstLineChars="2007"/>
        <w:rPr>
          <w:color w:val="000000"/>
          <w:szCs w:val="21"/>
        </w:rPr>
      </w:pPr>
    </w:p>
    <w:p>
      <w:pPr>
        <w:spacing w:line="360" w:lineRule="exact"/>
        <w:ind w:firstLine="4214" w:firstLineChars="2007"/>
        <w:rPr>
          <w:color w:val="000000"/>
          <w:szCs w:val="21"/>
        </w:rPr>
      </w:pPr>
    </w:p>
    <w:p>
      <w:pPr>
        <w:spacing w:line="360" w:lineRule="exact"/>
        <w:ind w:firstLine="4214" w:firstLineChars="2007"/>
        <w:rPr>
          <w:color w:val="000000"/>
          <w:szCs w:val="21"/>
        </w:rPr>
      </w:pPr>
    </w:p>
    <w:p>
      <w:pPr>
        <w:spacing w:line="360" w:lineRule="exact"/>
        <w:ind w:firstLine="4214" w:firstLineChars="2007"/>
        <w:rPr>
          <w:color w:val="000000"/>
          <w:szCs w:val="21"/>
        </w:rPr>
      </w:pPr>
    </w:p>
    <w:p>
      <w:pPr>
        <w:spacing w:line="360" w:lineRule="exact"/>
        <w:ind w:firstLine="4214" w:firstLineChars="2007"/>
        <w:rPr>
          <w:color w:val="000000"/>
          <w:szCs w:val="21"/>
        </w:rPr>
      </w:pPr>
    </w:p>
    <w:p>
      <w:pPr>
        <w:spacing w:line="360" w:lineRule="exact"/>
        <w:ind w:firstLine="5145" w:firstLineChars="2450"/>
        <w:rPr>
          <w:color w:val="000000"/>
          <w:szCs w:val="21"/>
        </w:rPr>
      </w:pPr>
      <w:r>
        <w:rPr>
          <w:rFonts w:hint="eastAsia"/>
          <w:color w:val="000000"/>
          <w:szCs w:val="21"/>
        </w:rPr>
        <w:t>评标委员会：</w:t>
      </w:r>
      <w:r>
        <w:rPr>
          <w:color w:val="000000"/>
          <w:szCs w:val="21"/>
        </w:rPr>
        <w:t>________</w:t>
      </w:r>
      <w:r>
        <w:rPr>
          <w:rFonts w:hint="eastAsia"/>
          <w:color w:val="000000"/>
          <w:szCs w:val="21"/>
        </w:rPr>
        <w:t>（签字或盖章）</w:t>
      </w:r>
    </w:p>
    <w:p>
      <w:pPr>
        <w:spacing w:line="360" w:lineRule="exact"/>
        <w:ind w:firstLine="4214" w:firstLineChars="2007"/>
        <w:rPr>
          <w:color w:val="000000"/>
          <w:szCs w:val="21"/>
        </w:rPr>
      </w:pPr>
    </w:p>
    <w:p>
      <w:pPr>
        <w:spacing w:line="360" w:lineRule="exact"/>
        <w:ind w:firstLine="5985" w:firstLineChars="2850"/>
        <w:rPr>
          <w:color w:val="000000"/>
          <w:szCs w:val="21"/>
          <w:lang w:val="en-GB"/>
        </w:rPr>
      </w:pPr>
      <w:r>
        <w:rPr>
          <w:color w:val="000000"/>
          <w:szCs w:val="21"/>
        </w:rPr>
        <w:t>________</w:t>
      </w:r>
      <w:r>
        <w:rPr>
          <w:rFonts w:hint="eastAsia"/>
          <w:color w:val="000000"/>
          <w:szCs w:val="21"/>
        </w:rPr>
        <w:t>年</w:t>
      </w:r>
      <w:r>
        <w:rPr>
          <w:color w:val="000000"/>
          <w:szCs w:val="21"/>
        </w:rPr>
        <w:t>______</w:t>
      </w:r>
      <w:r>
        <w:rPr>
          <w:rFonts w:hint="eastAsia"/>
          <w:color w:val="000000"/>
          <w:szCs w:val="21"/>
        </w:rPr>
        <w:t>月</w:t>
      </w:r>
      <w:r>
        <w:rPr>
          <w:color w:val="000000"/>
          <w:szCs w:val="21"/>
        </w:rPr>
        <w:t>______</w:t>
      </w:r>
      <w:r>
        <w:rPr>
          <w:rFonts w:hint="eastAsia"/>
          <w:color w:val="000000"/>
          <w:szCs w:val="21"/>
        </w:rPr>
        <w:t>日</w:t>
      </w:r>
    </w:p>
    <w:p>
      <w:pPr>
        <w:spacing w:line="360" w:lineRule="exact"/>
        <w:ind w:firstLine="4214" w:firstLineChars="2007"/>
        <w:rPr>
          <w:color w:val="000000"/>
          <w:lang w:val="en-GB"/>
        </w:rPr>
      </w:pPr>
    </w:p>
    <w:p>
      <w:pPr>
        <w:spacing w:line="360" w:lineRule="exact"/>
        <w:ind w:firstLine="4214" w:firstLineChars="2007"/>
        <w:rPr>
          <w:color w:val="000000"/>
          <w:lang w:val="en-GB"/>
        </w:rPr>
      </w:pPr>
    </w:p>
    <w:p>
      <w:pPr>
        <w:spacing w:line="360" w:lineRule="exact"/>
        <w:ind w:firstLine="4214" w:firstLineChars="2007"/>
        <w:rPr>
          <w:color w:val="000000"/>
          <w:lang w:val="en-GB"/>
        </w:rPr>
      </w:pPr>
    </w:p>
    <w:p>
      <w:pPr>
        <w:rPr>
          <w:color w:val="000000"/>
        </w:rPr>
      </w:pPr>
      <w:r>
        <w:rPr>
          <w:color w:val="000000"/>
          <w:lang w:val="en-GB"/>
        </w:rPr>
        <w:br w:type="page"/>
      </w:r>
    </w:p>
    <w:p>
      <w:pPr>
        <w:rPr>
          <w:rFonts w:ascii="宋体" w:hAnsi="宋体"/>
          <w:color w:val="000000"/>
          <w:sz w:val="28"/>
          <w:szCs w:val="28"/>
        </w:rPr>
      </w:pPr>
      <w:bookmarkStart w:id="561" w:name="_Toc414553666"/>
      <w:r>
        <w:rPr>
          <w:rFonts w:ascii="宋体" w:hAnsi="宋体"/>
          <w:color w:val="000000"/>
          <w:sz w:val="28"/>
          <w:szCs w:val="28"/>
        </w:rPr>
        <w:t>附表</w:t>
      </w:r>
      <w:r>
        <w:rPr>
          <w:rFonts w:hint="eastAsia" w:ascii="宋体" w:hAnsi="宋体"/>
          <w:color w:val="000000"/>
          <w:sz w:val="28"/>
          <w:szCs w:val="28"/>
        </w:rPr>
        <w:t>二</w:t>
      </w:r>
      <w:r>
        <w:rPr>
          <w:rFonts w:ascii="宋体" w:hAnsi="宋体"/>
          <w:color w:val="000000"/>
          <w:sz w:val="28"/>
          <w:szCs w:val="28"/>
        </w:rPr>
        <w:t>：</w:t>
      </w:r>
      <w:r>
        <w:rPr>
          <w:rFonts w:hint="eastAsia" w:ascii="宋体" w:hAnsi="宋体"/>
          <w:color w:val="000000"/>
          <w:sz w:val="28"/>
          <w:szCs w:val="28"/>
        </w:rPr>
        <w:t>问题的澄清</w:t>
      </w:r>
      <w:bookmarkEnd w:id="561"/>
    </w:p>
    <w:p>
      <w:pPr>
        <w:tabs>
          <w:tab w:val="left" w:pos="3340"/>
        </w:tabs>
        <w:spacing w:after="156" w:afterLines="50" w:line="360" w:lineRule="exact"/>
        <w:jc w:val="center"/>
        <w:rPr>
          <w:rFonts w:hint="eastAsia"/>
          <w:b/>
          <w:color w:val="000000"/>
          <w:sz w:val="28"/>
          <w:szCs w:val="28"/>
        </w:rPr>
      </w:pPr>
    </w:p>
    <w:p>
      <w:pPr>
        <w:tabs>
          <w:tab w:val="left" w:pos="3340"/>
        </w:tabs>
        <w:spacing w:after="156" w:afterLines="50" w:line="360" w:lineRule="exact"/>
        <w:jc w:val="center"/>
        <w:rPr>
          <w:b/>
          <w:color w:val="000000"/>
          <w:sz w:val="28"/>
          <w:szCs w:val="28"/>
        </w:rPr>
      </w:pPr>
      <w:r>
        <w:rPr>
          <w:rFonts w:hint="eastAsia"/>
          <w:b/>
          <w:color w:val="000000"/>
          <w:sz w:val="28"/>
          <w:szCs w:val="28"/>
        </w:rPr>
        <w:t>问题的澄清</w:t>
      </w:r>
    </w:p>
    <w:p>
      <w:pPr>
        <w:tabs>
          <w:tab w:val="left" w:pos="3010"/>
        </w:tabs>
        <w:spacing w:line="360" w:lineRule="exact"/>
        <w:ind w:firstLine="3255" w:firstLineChars="1550"/>
        <w:rPr>
          <w:rFonts w:hint="eastAsia"/>
          <w:color w:val="000000"/>
          <w:szCs w:val="21"/>
        </w:rPr>
      </w:pPr>
    </w:p>
    <w:p>
      <w:pPr>
        <w:tabs>
          <w:tab w:val="left" w:pos="3010"/>
        </w:tabs>
        <w:spacing w:line="360" w:lineRule="exact"/>
        <w:ind w:firstLine="3255" w:firstLineChars="1550"/>
        <w:rPr>
          <w:color w:val="000000"/>
          <w:szCs w:val="21"/>
        </w:rPr>
      </w:pPr>
      <w:r>
        <w:rPr>
          <w:rFonts w:hint="eastAsia"/>
          <w:color w:val="000000"/>
          <w:szCs w:val="21"/>
        </w:rPr>
        <w:t>编号：</w:t>
      </w:r>
      <w:r>
        <w:rPr>
          <w:color w:val="000000"/>
          <w:szCs w:val="21"/>
        </w:rPr>
        <w:t>_________________</w:t>
      </w:r>
    </w:p>
    <w:p>
      <w:pPr>
        <w:tabs>
          <w:tab w:val="left" w:pos="3010"/>
        </w:tabs>
        <w:spacing w:line="360" w:lineRule="exact"/>
        <w:jc w:val="center"/>
        <w:rPr>
          <w:color w:val="000000"/>
          <w:szCs w:val="21"/>
        </w:rPr>
      </w:pPr>
    </w:p>
    <w:p>
      <w:pPr>
        <w:tabs>
          <w:tab w:val="left" w:pos="3010"/>
        </w:tabs>
        <w:spacing w:line="360" w:lineRule="exact"/>
        <w:jc w:val="center"/>
        <w:rPr>
          <w:color w:val="000000"/>
          <w:szCs w:val="21"/>
        </w:rPr>
      </w:pPr>
    </w:p>
    <w:p>
      <w:pPr>
        <w:tabs>
          <w:tab w:val="left" w:pos="3010"/>
        </w:tabs>
        <w:spacing w:line="360" w:lineRule="exact"/>
        <w:jc w:val="center"/>
        <w:rPr>
          <w:color w:val="000000"/>
          <w:szCs w:val="21"/>
        </w:rPr>
      </w:pPr>
    </w:p>
    <w:p>
      <w:pPr>
        <w:spacing w:line="440" w:lineRule="exact"/>
        <w:ind w:firstLine="420" w:firstLineChars="200"/>
        <w:rPr>
          <w:color w:val="000000"/>
          <w:szCs w:val="21"/>
        </w:rPr>
      </w:pP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rFonts w:hint="eastAsia"/>
          <w:color w:val="000000"/>
          <w:szCs w:val="21"/>
        </w:rPr>
        <w:t xml:space="preserve">项目 </w:t>
      </w:r>
      <w:r>
        <w:rPr>
          <w:rFonts w:hint="eastAsia"/>
          <w:color w:val="000000"/>
          <w:szCs w:val="21"/>
          <w:u w:val="single"/>
        </w:rPr>
        <w:t xml:space="preserve">         </w:t>
      </w:r>
      <w:r>
        <w:rPr>
          <w:rFonts w:hint="eastAsia"/>
          <w:color w:val="000000"/>
          <w:szCs w:val="21"/>
        </w:rPr>
        <w:t>总承包（</w:t>
      </w:r>
      <w:r>
        <w:rPr>
          <w:rFonts w:hint="eastAsia"/>
          <w:color w:val="000000"/>
          <w:szCs w:val="21"/>
          <w:u w:val="single"/>
        </w:rPr>
        <w:t xml:space="preserve">     </w:t>
      </w:r>
      <w:r>
        <w:rPr>
          <w:rFonts w:hint="eastAsia"/>
          <w:color w:val="000000"/>
          <w:szCs w:val="21"/>
        </w:rPr>
        <w:t>）招标评标委员会：</w:t>
      </w:r>
    </w:p>
    <w:p>
      <w:pPr>
        <w:spacing w:line="440" w:lineRule="exact"/>
        <w:ind w:firstLine="435"/>
        <w:rPr>
          <w:color w:val="000000"/>
          <w:szCs w:val="21"/>
        </w:rPr>
      </w:pPr>
      <w:r>
        <w:rPr>
          <w:rFonts w:hint="eastAsia"/>
          <w:color w:val="000000"/>
          <w:szCs w:val="21"/>
        </w:rPr>
        <w:t>问题澄清通知（编号：</w:t>
      </w:r>
      <w:r>
        <w:rPr>
          <w:color w:val="000000"/>
          <w:szCs w:val="21"/>
        </w:rPr>
        <w:t>______________</w:t>
      </w:r>
      <w:r>
        <w:rPr>
          <w:rFonts w:hint="eastAsia"/>
          <w:color w:val="000000"/>
          <w:szCs w:val="21"/>
        </w:rPr>
        <w:t>）已收悉，现澄清如下：</w:t>
      </w:r>
    </w:p>
    <w:p>
      <w:pPr>
        <w:spacing w:line="440" w:lineRule="exact"/>
        <w:ind w:firstLine="720"/>
        <w:rPr>
          <w:color w:val="000000"/>
          <w:szCs w:val="21"/>
        </w:rPr>
      </w:pPr>
      <w:r>
        <w:rPr>
          <w:color w:val="000000"/>
          <w:szCs w:val="21"/>
        </w:rPr>
        <w:t>1.</w:t>
      </w:r>
    </w:p>
    <w:p>
      <w:pPr>
        <w:spacing w:line="440" w:lineRule="exact"/>
        <w:ind w:firstLine="720"/>
        <w:rPr>
          <w:color w:val="000000"/>
          <w:szCs w:val="21"/>
        </w:rPr>
      </w:pPr>
      <w:r>
        <w:rPr>
          <w:color w:val="000000"/>
          <w:szCs w:val="21"/>
        </w:rPr>
        <w:t>2.</w:t>
      </w:r>
    </w:p>
    <w:p>
      <w:pPr>
        <w:spacing w:line="360" w:lineRule="exact"/>
        <w:ind w:firstLine="720"/>
        <w:rPr>
          <w:color w:val="000000"/>
          <w:szCs w:val="21"/>
        </w:rPr>
      </w:pPr>
    </w:p>
    <w:p>
      <w:pPr>
        <w:spacing w:line="360" w:lineRule="exact"/>
        <w:ind w:firstLine="720"/>
        <w:rPr>
          <w:color w:val="000000"/>
          <w:szCs w:val="21"/>
        </w:rPr>
      </w:pPr>
      <w:r>
        <w:rPr>
          <w:rFonts w:hint="eastAsia"/>
          <w:color w:val="000000"/>
          <w:szCs w:val="21"/>
        </w:rPr>
        <w:t>……</w:t>
      </w:r>
    </w:p>
    <w:p>
      <w:pPr>
        <w:spacing w:line="360" w:lineRule="exact"/>
        <w:ind w:firstLine="435"/>
        <w:rPr>
          <w:color w:val="000000"/>
          <w:szCs w:val="21"/>
        </w:rPr>
      </w:pPr>
    </w:p>
    <w:p>
      <w:pPr>
        <w:spacing w:line="360" w:lineRule="exact"/>
        <w:ind w:firstLine="2874"/>
        <w:rPr>
          <w:color w:val="000000"/>
          <w:szCs w:val="21"/>
        </w:rPr>
      </w:pPr>
      <w:r>
        <w:rPr>
          <w:rFonts w:hint="eastAsia"/>
          <w:color w:val="000000"/>
          <w:szCs w:val="21"/>
        </w:rPr>
        <w:t>投标人：</w:t>
      </w:r>
      <w:r>
        <w:rPr>
          <w:color w:val="000000"/>
          <w:szCs w:val="21"/>
        </w:rPr>
        <w:t>____________________</w:t>
      </w:r>
      <w:r>
        <w:rPr>
          <w:rFonts w:hint="eastAsia"/>
          <w:color w:val="000000"/>
          <w:szCs w:val="21"/>
        </w:rPr>
        <w:t>（盖单位章）</w:t>
      </w:r>
    </w:p>
    <w:p>
      <w:pPr>
        <w:spacing w:line="360" w:lineRule="exact"/>
        <w:ind w:firstLine="2874"/>
        <w:rPr>
          <w:color w:val="000000"/>
          <w:szCs w:val="21"/>
        </w:rPr>
      </w:pPr>
    </w:p>
    <w:p>
      <w:pPr>
        <w:spacing w:line="360" w:lineRule="exact"/>
        <w:ind w:firstLine="2874"/>
        <w:rPr>
          <w:color w:val="000000"/>
          <w:szCs w:val="21"/>
        </w:rPr>
      </w:pPr>
      <w:r>
        <w:rPr>
          <w:rFonts w:hint="eastAsia"/>
          <w:color w:val="000000"/>
          <w:szCs w:val="21"/>
        </w:rPr>
        <w:t>法定代表人或其授权代理人：</w:t>
      </w:r>
      <w:r>
        <w:rPr>
          <w:color w:val="000000"/>
          <w:szCs w:val="21"/>
        </w:rPr>
        <w:t>____________________</w:t>
      </w:r>
      <w:r>
        <w:rPr>
          <w:rFonts w:hint="eastAsia"/>
          <w:color w:val="000000"/>
          <w:szCs w:val="21"/>
        </w:rPr>
        <w:t>（签字或盖章）</w:t>
      </w:r>
    </w:p>
    <w:p>
      <w:pPr>
        <w:spacing w:line="360" w:lineRule="exact"/>
        <w:ind w:firstLine="2874"/>
        <w:rPr>
          <w:color w:val="000000"/>
          <w:szCs w:val="21"/>
        </w:rPr>
      </w:pPr>
    </w:p>
    <w:p>
      <w:pPr>
        <w:spacing w:line="360" w:lineRule="exact"/>
        <w:ind w:firstLine="3885" w:firstLineChars="1850"/>
        <w:rPr>
          <w:color w:val="000000"/>
        </w:rPr>
      </w:pPr>
      <w:r>
        <w:rPr>
          <w:color w:val="000000"/>
        </w:rPr>
        <w:t>___________</w:t>
      </w:r>
      <w:r>
        <w:rPr>
          <w:rFonts w:hint="eastAsia"/>
          <w:color w:val="000000"/>
        </w:rPr>
        <w:t>年</w:t>
      </w:r>
      <w:r>
        <w:rPr>
          <w:color w:val="000000"/>
        </w:rPr>
        <w:t>_______</w:t>
      </w:r>
      <w:r>
        <w:rPr>
          <w:rFonts w:hint="eastAsia"/>
          <w:color w:val="000000"/>
        </w:rPr>
        <w:t>月</w:t>
      </w:r>
      <w:r>
        <w:rPr>
          <w:color w:val="000000"/>
        </w:rPr>
        <w:t>_______</w:t>
      </w:r>
      <w:r>
        <w:rPr>
          <w:rFonts w:hint="eastAsia"/>
          <w:color w:val="000000"/>
        </w:rPr>
        <w:t>日</w:t>
      </w: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pStyle w:val="2"/>
        <w:jc w:val="center"/>
        <w:rPr>
          <w:color w:val="000000"/>
        </w:rPr>
      </w:pPr>
      <w:bookmarkStart w:id="562" w:name="_Toc419320183"/>
      <w:bookmarkStart w:id="563" w:name="_Toc419363612"/>
      <w:bookmarkStart w:id="564" w:name="_Toc419364310"/>
      <w:bookmarkStart w:id="565" w:name="_Toc419321219"/>
      <w:r>
        <w:rPr>
          <w:color w:val="000000"/>
        </w:rPr>
        <w:br w:type="page"/>
      </w:r>
      <w:bookmarkEnd w:id="562"/>
      <w:bookmarkEnd w:id="563"/>
      <w:bookmarkEnd w:id="564"/>
      <w:bookmarkEnd w:id="565"/>
      <w:bookmarkStart w:id="566" w:name="_Toc433988653"/>
      <w:bookmarkStart w:id="567" w:name="_Toc59203017"/>
      <w:r>
        <w:rPr>
          <w:color w:val="000000"/>
        </w:rPr>
        <w:t>第三章  评标办法（综合评估法）</w:t>
      </w:r>
      <w:bookmarkEnd w:id="566"/>
      <w:bookmarkEnd w:id="567"/>
    </w:p>
    <w:p>
      <w:pPr>
        <w:pStyle w:val="3"/>
        <w:jc w:val="center"/>
        <w:rPr>
          <w:color w:val="000000"/>
          <w:sz w:val="28"/>
          <w:szCs w:val="28"/>
        </w:rPr>
      </w:pPr>
      <w:bookmarkStart w:id="568" w:name="_Toc419363613"/>
      <w:bookmarkStart w:id="569" w:name="_Toc419320184"/>
      <w:bookmarkStart w:id="570" w:name="_Toc419364311"/>
      <w:bookmarkStart w:id="571" w:name="_Toc433988654"/>
      <w:bookmarkStart w:id="572" w:name="_Toc59203018"/>
      <w:bookmarkStart w:id="573" w:name="_Toc419321220"/>
      <w:r>
        <w:rPr>
          <w:color w:val="000000"/>
          <w:sz w:val="28"/>
          <w:szCs w:val="28"/>
        </w:rPr>
        <w:t>评标办法前附表</w:t>
      </w:r>
      <w:bookmarkEnd w:id="568"/>
      <w:bookmarkEnd w:id="569"/>
      <w:bookmarkEnd w:id="570"/>
      <w:bookmarkEnd w:id="571"/>
      <w:bookmarkEnd w:id="572"/>
      <w:bookmarkEnd w:id="573"/>
    </w:p>
    <w:tbl>
      <w:tblPr>
        <w:tblStyle w:val="83"/>
        <w:tblW w:w="10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992"/>
        <w:gridCol w:w="1373"/>
        <w:gridCol w:w="449"/>
        <w:gridCol w:w="304"/>
        <w:gridCol w:w="1587"/>
        <w:gridCol w:w="629"/>
        <w:gridCol w:w="52"/>
        <w:gridCol w:w="4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952" w:type="dxa"/>
            <w:gridSpan w:val="2"/>
            <w:shd w:val="clear" w:color="auto" w:fill="E6E6E6"/>
            <w:noWrap w:val="0"/>
            <w:vAlign w:val="center"/>
          </w:tcPr>
          <w:p>
            <w:pPr>
              <w:spacing w:line="360" w:lineRule="auto"/>
              <w:jc w:val="center"/>
              <w:rPr>
                <w:color w:val="000000"/>
                <w:szCs w:val="21"/>
              </w:rPr>
            </w:pPr>
            <w:r>
              <w:rPr>
                <w:color w:val="000000"/>
                <w:szCs w:val="21"/>
              </w:rPr>
              <w:t>条款号</w:t>
            </w:r>
          </w:p>
        </w:tc>
        <w:tc>
          <w:tcPr>
            <w:tcW w:w="3713" w:type="dxa"/>
            <w:gridSpan w:val="4"/>
            <w:shd w:val="clear" w:color="auto" w:fill="E6E6E6"/>
            <w:noWrap w:val="0"/>
            <w:vAlign w:val="center"/>
          </w:tcPr>
          <w:p>
            <w:pPr>
              <w:spacing w:line="360" w:lineRule="auto"/>
              <w:jc w:val="center"/>
              <w:rPr>
                <w:color w:val="000000"/>
                <w:szCs w:val="21"/>
              </w:rPr>
            </w:pPr>
            <w:r>
              <w:rPr>
                <w:color w:val="000000"/>
                <w:szCs w:val="21"/>
              </w:rPr>
              <w:t>评审因素</w:t>
            </w:r>
          </w:p>
        </w:tc>
        <w:tc>
          <w:tcPr>
            <w:tcW w:w="5040" w:type="dxa"/>
            <w:gridSpan w:val="3"/>
            <w:shd w:val="clear" w:color="auto" w:fill="E6E6E6"/>
            <w:noWrap w:val="0"/>
            <w:vAlign w:val="top"/>
          </w:tcPr>
          <w:p>
            <w:pPr>
              <w:spacing w:line="360" w:lineRule="auto"/>
              <w:jc w:val="center"/>
              <w:rPr>
                <w:color w:val="000000"/>
                <w:szCs w:val="21"/>
              </w:rPr>
            </w:pPr>
            <w:r>
              <w:rPr>
                <w:color w:val="000000"/>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952" w:type="dxa"/>
            <w:gridSpan w:val="2"/>
            <w:vMerge w:val="restart"/>
            <w:noWrap w:val="0"/>
            <w:vAlign w:val="center"/>
          </w:tcPr>
          <w:p>
            <w:pPr>
              <w:spacing w:line="360" w:lineRule="auto"/>
              <w:jc w:val="center"/>
              <w:rPr>
                <w:color w:val="000000"/>
                <w:szCs w:val="21"/>
              </w:rPr>
            </w:pPr>
            <w:r>
              <w:rPr>
                <w:color w:val="000000"/>
                <w:szCs w:val="21"/>
              </w:rPr>
              <w:t>2.1.1</w:t>
            </w:r>
          </w:p>
        </w:tc>
        <w:tc>
          <w:tcPr>
            <w:tcW w:w="1373" w:type="dxa"/>
            <w:vMerge w:val="restart"/>
            <w:noWrap w:val="0"/>
            <w:vAlign w:val="center"/>
          </w:tcPr>
          <w:p>
            <w:pPr>
              <w:spacing w:line="360" w:lineRule="auto"/>
              <w:rPr>
                <w:color w:val="000000"/>
                <w:szCs w:val="21"/>
              </w:rPr>
            </w:pPr>
            <w:r>
              <w:rPr>
                <w:color w:val="000000"/>
                <w:szCs w:val="21"/>
              </w:rPr>
              <w:t>资格评审标准</w:t>
            </w:r>
          </w:p>
        </w:tc>
        <w:tc>
          <w:tcPr>
            <w:tcW w:w="449" w:type="dxa"/>
            <w:vMerge w:val="restart"/>
            <w:noWrap w:val="0"/>
            <w:vAlign w:val="center"/>
          </w:tcPr>
          <w:p>
            <w:pPr>
              <w:spacing w:line="360" w:lineRule="auto"/>
              <w:rPr>
                <w:color w:val="000000"/>
                <w:szCs w:val="21"/>
              </w:rPr>
            </w:pPr>
            <w:r>
              <w:rPr>
                <w:rFonts w:hint="eastAsia"/>
                <w:color w:val="000000"/>
              </w:rPr>
              <w:t>□</w:t>
            </w:r>
            <w:r>
              <w:rPr>
                <w:color w:val="000000"/>
                <w:szCs w:val="21"/>
              </w:rPr>
              <w:t>合格制</w:t>
            </w:r>
          </w:p>
        </w:tc>
        <w:tc>
          <w:tcPr>
            <w:tcW w:w="6931" w:type="dxa"/>
            <w:gridSpan w:val="5"/>
            <w:noWrap w:val="0"/>
            <w:vAlign w:val="center"/>
          </w:tcPr>
          <w:p>
            <w:pPr>
              <w:spacing w:line="360" w:lineRule="auto"/>
              <w:rPr>
                <w:color w:val="000000"/>
                <w:szCs w:val="21"/>
              </w:rPr>
            </w:pPr>
            <w:r>
              <w:rPr>
                <w:b/>
                <w:color w:val="000000"/>
                <w:szCs w:val="21"/>
              </w:rPr>
              <w:t>合格标准：缺少任何一项或有任何一项不合格者</w:t>
            </w:r>
            <w:r>
              <w:rPr>
                <w:rFonts w:hint="eastAsia"/>
                <w:b/>
                <w:color w:val="000000"/>
                <w:szCs w:val="21"/>
              </w:rPr>
              <w:t>，</w:t>
            </w:r>
            <w:r>
              <w:rPr>
                <w:b/>
                <w:color w:val="000000"/>
                <w:szCs w:val="21"/>
              </w:rPr>
              <w:t>其资格审查视为不合格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952" w:type="dxa"/>
            <w:gridSpan w:val="2"/>
            <w:vMerge w:val="continue"/>
            <w:noWrap w:val="0"/>
            <w:vAlign w:val="center"/>
          </w:tcPr>
          <w:p>
            <w:pPr>
              <w:spacing w:line="360" w:lineRule="auto"/>
              <w:jc w:val="center"/>
              <w:rPr>
                <w:color w:val="000000"/>
                <w:szCs w:val="21"/>
              </w:rPr>
            </w:pPr>
          </w:p>
        </w:tc>
        <w:tc>
          <w:tcPr>
            <w:tcW w:w="1373" w:type="dxa"/>
            <w:vMerge w:val="continue"/>
            <w:noWrap w:val="0"/>
            <w:vAlign w:val="center"/>
          </w:tcPr>
          <w:p>
            <w:pPr>
              <w:spacing w:line="360" w:lineRule="auto"/>
              <w:rPr>
                <w:color w:val="000000"/>
                <w:szCs w:val="21"/>
              </w:rPr>
            </w:pPr>
          </w:p>
        </w:tc>
        <w:tc>
          <w:tcPr>
            <w:tcW w:w="449" w:type="dxa"/>
            <w:vMerge w:val="continue"/>
            <w:noWrap w:val="0"/>
            <w:vAlign w:val="center"/>
          </w:tcPr>
          <w:p>
            <w:pPr>
              <w:spacing w:line="360" w:lineRule="auto"/>
              <w:rPr>
                <w:color w:val="000000"/>
                <w:szCs w:val="21"/>
              </w:rPr>
            </w:pPr>
          </w:p>
        </w:tc>
        <w:tc>
          <w:tcPr>
            <w:tcW w:w="2572" w:type="dxa"/>
            <w:gridSpan w:val="4"/>
            <w:noWrap w:val="0"/>
            <w:vAlign w:val="center"/>
          </w:tcPr>
          <w:p>
            <w:pPr>
              <w:spacing w:line="360" w:lineRule="auto"/>
              <w:rPr>
                <w:color w:val="000000"/>
                <w:szCs w:val="21"/>
              </w:rPr>
            </w:pPr>
            <w:r>
              <w:rPr>
                <w:color w:val="000000"/>
              </w:rPr>
              <w:t>投标文件签署</w:t>
            </w:r>
          </w:p>
        </w:tc>
        <w:tc>
          <w:tcPr>
            <w:tcW w:w="4359" w:type="dxa"/>
            <w:noWrap w:val="0"/>
            <w:vAlign w:val="center"/>
          </w:tcPr>
          <w:p>
            <w:pPr>
              <w:spacing w:line="360" w:lineRule="auto"/>
              <w:rPr>
                <w:color w:val="000000"/>
                <w:szCs w:val="21"/>
              </w:rPr>
            </w:pPr>
            <w:r>
              <w:rPr>
                <w:rFonts w:hint="eastAsia"/>
                <w:color w:val="000000"/>
                <w:szCs w:val="21"/>
              </w:rPr>
              <w:t>投标人在招标文件规定的投标文件相关位置加盖投标人法人单位电子印章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952" w:type="dxa"/>
            <w:gridSpan w:val="2"/>
            <w:vMerge w:val="continue"/>
            <w:noWrap w:val="0"/>
            <w:vAlign w:val="center"/>
          </w:tcPr>
          <w:p>
            <w:pPr>
              <w:spacing w:line="360" w:lineRule="auto"/>
              <w:jc w:val="center"/>
              <w:rPr>
                <w:color w:val="000000"/>
                <w:szCs w:val="21"/>
              </w:rPr>
            </w:pPr>
          </w:p>
        </w:tc>
        <w:tc>
          <w:tcPr>
            <w:tcW w:w="1373" w:type="dxa"/>
            <w:vMerge w:val="continue"/>
            <w:noWrap w:val="0"/>
            <w:vAlign w:val="center"/>
          </w:tcPr>
          <w:p>
            <w:pPr>
              <w:spacing w:line="360" w:lineRule="auto"/>
              <w:jc w:val="center"/>
              <w:rPr>
                <w:color w:val="000000"/>
                <w:szCs w:val="21"/>
              </w:rPr>
            </w:pPr>
          </w:p>
        </w:tc>
        <w:tc>
          <w:tcPr>
            <w:tcW w:w="449" w:type="dxa"/>
            <w:vMerge w:val="continue"/>
            <w:noWrap w:val="0"/>
            <w:vAlign w:val="center"/>
          </w:tcPr>
          <w:p>
            <w:pPr>
              <w:spacing w:line="360" w:lineRule="auto"/>
              <w:jc w:val="center"/>
              <w:rPr>
                <w:color w:val="000000"/>
                <w:szCs w:val="21"/>
              </w:rPr>
            </w:pPr>
          </w:p>
        </w:tc>
        <w:tc>
          <w:tcPr>
            <w:tcW w:w="2572" w:type="dxa"/>
            <w:gridSpan w:val="4"/>
            <w:noWrap w:val="0"/>
            <w:vAlign w:val="center"/>
          </w:tcPr>
          <w:p>
            <w:pPr>
              <w:spacing w:line="360" w:lineRule="auto"/>
              <w:rPr>
                <w:color w:val="000000"/>
                <w:szCs w:val="21"/>
              </w:rPr>
            </w:pPr>
            <w:r>
              <w:rPr>
                <w:color w:val="000000"/>
                <w:szCs w:val="21"/>
              </w:rPr>
              <w:t>营业执照</w:t>
            </w:r>
          </w:p>
        </w:tc>
        <w:tc>
          <w:tcPr>
            <w:tcW w:w="4359" w:type="dxa"/>
            <w:noWrap w:val="0"/>
            <w:vAlign w:val="top"/>
          </w:tcPr>
          <w:p>
            <w:pPr>
              <w:spacing w:line="360" w:lineRule="auto"/>
              <w:rPr>
                <w:color w:val="000000"/>
                <w:szCs w:val="21"/>
              </w:rPr>
            </w:pPr>
            <w:r>
              <w:rPr>
                <w:color w:val="000000"/>
                <w:szCs w:val="21"/>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952" w:type="dxa"/>
            <w:gridSpan w:val="2"/>
            <w:vMerge w:val="continue"/>
            <w:noWrap w:val="0"/>
            <w:vAlign w:val="center"/>
          </w:tcPr>
          <w:p>
            <w:pPr>
              <w:spacing w:line="360" w:lineRule="auto"/>
              <w:jc w:val="center"/>
              <w:rPr>
                <w:color w:val="000000"/>
                <w:szCs w:val="21"/>
              </w:rPr>
            </w:pPr>
          </w:p>
        </w:tc>
        <w:tc>
          <w:tcPr>
            <w:tcW w:w="1373" w:type="dxa"/>
            <w:vMerge w:val="continue"/>
            <w:noWrap w:val="0"/>
            <w:vAlign w:val="center"/>
          </w:tcPr>
          <w:p>
            <w:pPr>
              <w:spacing w:line="360" w:lineRule="auto"/>
              <w:jc w:val="center"/>
              <w:rPr>
                <w:color w:val="000000"/>
                <w:szCs w:val="21"/>
              </w:rPr>
            </w:pPr>
          </w:p>
        </w:tc>
        <w:tc>
          <w:tcPr>
            <w:tcW w:w="449" w:type="dxa"/>
            <w:vMerge w:val="continue"/>
            <w:noWrap w:val="0"/>
            <w:vAlign w:val="center"/>
          </w:tcPr>
          <w:p>
            <w:pPr>
              <w:spacing w:line="360" w:lineRule="auto"/>
              <w:jc w:val="center"/>
              <w:rPr>
                <w:color w:val="000000"/>
                <w:szCs w:val="21"/>
              </w:rPr>
            </w:pPr>
          </w:p>
        </w:tc>
        <w:tc>
          <w:tcPr>
            <w:tcW w:w="2572" w:type="dxa"/>
            <w:gridSpan w:val="4"/>
            <w:noWrap w:val="0"/>
            <w:vAlign w:val="center"/>
          </w:tcPr>
          <w:p>
            <w:pPr>
              <w:spacing w:line="360" w:lineRule="auto"/>
              <w:rPr>
                <w:color w:val="000000"/>
                <w:szCs w:val="21"/>
              </w:rPr>
            </w:pPr>
            <w:r>
              <w:rPr>
                <w:color w:val="000000"/>
                <w:szCs w:val="21"/>
              </w:rPr>
              <w:t>资质等级</w:t>
            </w:r>
          </w:p>
        </w:tc>
        <w:tc>
          <w:tcPr>
            <w:tcW w:w="4359" w:type="dxa"/>
            <w:noWrap w:val="0"/>
            <w:vAlign w:val="top"/>
          </w:tcPr>
          <w:p>
            <w:pPr>
              <w:spacing w:line="360" w:lineRule="auto"/>
              <w:rPr>
                <w:color w:val="000000"/>
                <w:szCs w:val="21"/>
              </w:rPr>
            </w:pPr>
            <w:r>
              <w:rPr>
                <w:color w:val="000000"/>
                <w:szCs w:val="21"/>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952" w:type="dxa"/>
            <w:gridSpan w:val="2"/>
            <w:vMerge w:val="continue"/>
            <w:noWrap w:val="0"/>
            <w:vAlign w:val="center"/>
          </w:tcPr>
          <w:p>
            <w:pPr>
              <w:spacing w:line="360" w:lineRule="auto"/>
              <w:jc w:val="center"/>
              <w:rPr>
                <w:color w:val="000000"/>
                <w:szCs w:val="21"/>
              </w:rPr>
            </w:pPr>
          </w:p>
        </w:tc>
        <w:tc>
          <w:tcPr>
            <w:tcW w:w="1373" w:type="dxa"/>
            <w:vMerge w:val="continue"/>
            <w:noWrap w:val="0"/>
            <w:vAlign w:val="center"/>
          </w:tcPr>
          <w:p>
            <w:pPr>
              <w:spacing w:line="360" w:lineRule="auto"/>
              <w:jc w:val="center"/>
              <w:rPr>
                <w:color w:val="000000"/>
                <w:szCs w:val="21"/>
              </w:rPr>
            </w:pPr>
          </w:p>
        </w:tc>
        <w:tc>
          <w:tcPr>
            <w:tcW w:w="449" w:type="dxa"/>
            <w:vMerge w:val="continue"/>
            <w:noWrap w:val="0"/>
            <w:vAlign w:val="center"/>
          </w:tcPr>
          <w:p>
            <w:pPr>
              <w:spacing w:line="360" w:lineRule="auto"/>
              <w:jc w:val="center"/>
              <w:rPr>
                <w:color w:val="000000"/>
                <w:szCs w:val="21"/>
              </w:rPr>
            </w:pPr>
          </w:p>
        </w:tc>
        <w:tc>
          <w:tcPr>
            <w:tcW w:w="2572" w:type="dxa"/>
            <w:gridSpan w:val="4"/>
            <w:noWrap w:val="0"/>
            <w:vAlign w:val="center"/>
          </w:tcPr>
          <w:p>
            <w:pPr>
              <w:spacing w:line="360" w:lineRule="auto"/>
              <w:rPr>
                <w:color w:val="000000"/>
                <w:szCs w:val="21"/>
              </w:rPr>
            </w:pPr>
            <w:r>
              <w:rPr>
                <w:color w:val="000000"/>
                <w:szCs w:val="21"/>
              </w:rPr>
              <w:t>安全生产许可证</w:t>
            </w:r>
          </w:p>
        </w:tc>
        <w:tc>
          <w:tcPr>
            <w:tcW w:w="4359" w:type="dxa"/>
            <w:noWrap w:val="0"/>
            <w:vAlign w:val="top"/>
          </w:tcPr>
          <w:p>
            <w:pPr>
              <w:spacing w:line="360" w:lineRule="auto"/>
              <w:rPr>
                <w:color w:val="000000"/>
                <w:szCs w:val="21"/>
              </w:rPr>
            </w:pPr>
            <w:r>
              <w:rPr>
                <w:color w:val="000000"/>
                <w:szCs w:val="21"/>
              </w:rPr>
              <w:t>具备有效的安全生产许可证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952" w:type="dxa"/>
            <w:gridSpan w:val="2"/>
            <w:vMerge w:val="continue"/>
            <w:noWrap w:val="0"/>
            <w:vAlign w:val="center"/>
          </w:tcPr>
          <w:p>
            <w:pPr>
              <w:spacing w:line="360" w:lineRule="auto"/>
              <w:jc w:val="center"/>
              <w:rPr>
                <w:color w:val="000000"/>
                <w:szCs w:val="21"/>
              </w:rPr>
            </w:pPr>
          </w:p>
        </w:tc>
        <w:tc>
          <w:tcPr>
            <w:tcW w:w="1373" w:type="dxa"/>
            <w:vMerge w:val="continue"/>
            <w:noWrap w:val="0"/>
            <w:vAlign w:val="center"/>
          </w:tcPr>
          <w:p>
            <w:pPr>
              <w:spacing w:line="360" w:lineRule="auto"/>
              <w:jc w:val="center"/>
              <w:rPr>
                <w:color w:val="000000"/>
                <w:szCs w:val="21"/>
              </w:rPr>
            </w:pPr>
          </w:p>
        </w:tc>
        <w:tc>
          <w:tcPr>
            <w:tcW w:w="449" w:type="dxa"/>
            <w:vMerge w:val="continue"/>
            <w:noWrap w:val="0"/>
            <w:vAlign w:val="center"/>
          </w:tcPr>
          <w:p>
            <w:pPr>
              <w:spacing w:line="360" w:lineRule="auto"/>
              <w:jc w:val="center"/>
              <w:rPr>
                <w:color w:val="000000"/>
                <w:szCs w:val="21"/>
              </w:rPr>
            </w:pPr>
          </w:p>
        </w:tc>
        <w:tc>
          <w:tcPr>
            <w:tcW w:w="2572" w:type="dxa"/>
            <w:gridSpan w:val="4"/>
            <w:noWrap w:val="0"/>
            <w:vAlign w:val="center"/>
          </w:tcPr>
          <w:p>
            <w:pPr>
              <w:spacing w:line="360" w:lineRule="auto"/>
              <w:rPr>
                <w:color w:val="000000"/>
                <w:szCs w:val="21"/>
              </w:rPr>
            </w:pPr>
            <w:r>
              <w:rPr>
                <w:color w:val="000000"/>
                <w:szCs w:val="21"/>
              </w:rPr>
              <w:t>财务</w:t>
            </w:r>
            <w:r>
              <w:rPr>
                <w:rFonts w:hint="eastAsia"/>
                <w:color w:val="000000"/>
                <w:szCs w:val="21"/>
              </w:rPr>
              <w:t>要求</w:t>
            </w:r>
          </w:p>
        </w:tc>
        <w:tc>
          <w:tcPr>
            <w:tcW w:w="4359" w:type="dxa"/>
            <w:noWrap w:val="0"/>
            <w:vAlign w:val="top"/>
          </w:tcPr>
          <w:p>
            <w:pPr>
              <w:spacing w:line="360" w:lineRule="auto"/>
              <w:rPr>
                <w:color w:val="000000"/>
                <w:szCs w:val="21"/>
              </w:rPr>
            </w:pPr>
            <w:r>
              <w:rPr>
                <w:color w:val="000000"/>
                <w:szCs w:val="21"/>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952" w:type="dxa"/>
            <w:gridSpan w:val="2"/>
            <w:vMerge w:val="continue"/>
            <w:noWrap w:val="0"/>
            <w:vAlign w:val="center"/>
          </w:tcPr>
          <w:p>
            <w:pPr>
              <w:spacing w:line="360" w:lineRule="auto"/>
              <w:jc w:val="center"/>
              <w:rPr>
                <w:color w:val="000000"/>
                <w:szCs w:val="21"/>
              </w:rPr>
            </w:pPr>
          </w:p>
        </w:tc>
        <w:tc>
          <w:tcPr>
            <w:tcW w:w="1373" w:type="dxa"/>
            <w:vMerge w:val="continue"/>
            <w:noWrap w:val="0"/>
            <w:vAlign w:val="center"/>
          </w:tcPr>
          <w:p>
            <w:pPr>
              <w:spacing w:line="360" w:lineRule="auto"/>
              <w:jc w:val="center"/>
              <w:rPr>
                <w:color w:val="000000"/>
                <w:szCs w:val="21"/>
              </w:rPr>
            </w:pPr>
          </w:p>
        </w:tc>
        <w:tc>
          <w:tcPr>
            <w:tcW w:w="449" w:type="dxa"/>
            <w:vMerge w:val="continue"/>
            <w:noWrap w:val="0"/>
            <w:vAlign w:val="center"/>
          </w:tcPr>
          <w:p>
            <w:pPr>
              <w:spacing w:line="360" w:lineRule="auto"/>
              <w:jc w:val="center"/>
              <w:rPr>
                <w:color w:val="000000"/>
                <w:szCs w:val="21"/>
              </w:rPr>
            </w:pPr>
          </w:p>
        </w:tc>
        <w:tc>
          <w:tcPr>
            <w:tcW w:w="2572" w:type="dxa"/>
            <w:gridSpan w:val="4"/>
            <w:noWrap w:val="0"/>
            <w:vAlign w:val="center"/>
          </w:tcPr>
          <w:p>
            <w:pPr>
              <w:spacing w:line="360" w:lineRule="auto"/>
              <w:rPr>
                <w:rFonts w:hint="eastAsia"/>
                <w:color w:val="000000"/>
                <w:szCs w:val="21"/>
              </w:rPr>
            </w:pPr>
            <w:r>
              <w:rPr>
                <w:rFonts w:hint="eastAsia"/>
                <w:color w:val="000000"/>
                <w:szCs w:val="21"/>
              </w:rPr>
              <w:t>信誉要求</w:t>
            </w:r>
          </w:p>
        </w:tc>
        <w:tc>
          <w:tcPr>
            <w:tcW w:w="4359" w:type="dxa"/>
            <w:noWrap w:val="0"/>
            <w:vAlign w:val="top"/>
          </w:tcPr>
          <w:p>
            <w:pPr>
              <w:spacing w:line="360" w:lineRule="auto"/>
              <w:rPr>
                <w:color w:val="000000"/>
                <w:szCs w:val="21"/>
              </w:rPr>
            </w:pPr>
            <w:r>
              <w:rPr>
                <w:color w:val="000000"/>
                <w:szCs w:val="21"/>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952" w:type="dxa"/>
            <w:gridSpan w:val="2"/>
            <w:vMerge w:val="continue"/>
            <w:noWrap w:val="0"/>
            <w:vAlign w:val="center"/>
          </w:tcPr>
          <w:p>
            <w:pPr>
              <w:spacing w:line="360" w:lineRule="auto"/>
              <w:jc w:val="center"/>
              <w:rPr>
                <w:color w:val="000000"/>
                <w:szCs w:val="21"/>
              </w:rPr>
            </w:pPr>
          </w:p>
        </w:tc>
        <w:tc>
          <w:tcPr>
            <w:tcW w:w="1373" w:type="dxa"/>
            <w:vMerge w:val="continue"/>
            <w:noWrap w:val="0"/>
            <w:vAlign w:val="center"/>
          </w:tcPr>
          <w:p>
            <w:pPr>
              <w:spacing w:line="360" w:lineRule="auto"/>
              <w:jc w:val="center"/>
              <w:rPr>
                <w:color w:val="000000"/>
                <w:szCs w:val="21"/>
              </w:rPr>
            </w:pPr>
          </w:p>
        </w:tc>
        <w:tc>
          <w:tcPr>
            <w:tcW w:w="449" w:type="dxa"/>
            <w:vMerge w:val="continue"/>
            <w:noWrap w:val="0"/>
            <w:vAlign w:val="center"/>
          </w:tcPr>
          <w:p>
            <w:pPr>
              <w:spacing w:line="360" w:lineRule="auto"/>
              <w:jc w:val="center"/>
              <w:rPr>
                <w:color w:val="000000"/>
                <w:szCs w:val="21"/>
              </w:rPr>
            </w:pPr>
          </w:p>
        </w:tc>
        <w:tc>
          <w:tcPr>
            <w:tcW w:w="2572" w:type="dxa"/>
            <w:gridSpan w:val="4"/>
            <w:noWrap w:val="0"/>
            <w:vAlign w:val="center"/>
          </w:tcPr>
          <w:p>
            <w:pPr>
              <w:spacing w:line="360" w:lineRule="auto"/>
              <w:rPr>
                <w:rFonts w:hint="eastAsia"/>
                <w:color w:val="000000"/>
                <w:szCs w:val="21"/>
              </w:rPr>
            </w:pPr>
            <w:r>
              <w:rPr>
                <w:rFonts w:hint="eastAsia"/>
                <w:color w:val="000000"/>
                <w:szCs w:val="21"/>
              </w:rPr>
              <w:t>工程总承包项目经理</w:t>
            </w:r>
          </w:p>
        </w:tc>
        <w:tc>
          <w:tcPr>
            <w:tcW w:w="4359" w:type="dxa"/>
            <w:noWrap w:val="0"/>
            <w:vAlign w:val="top"/>
          </w:tcPr>
          <w:p>
            <w:pPr>
              <w:spacing w:line="360" w:lineRule="auto"/>
              <w:rPr>
                <w:color w:val="000000"/>
                <w:szCs w:val="21"/>
              </w:rPr>
            </w:pPr>
            <w:r>
              <w:rPr>
                <w:color w:val="000000"/>
                <w:szCs w:val="21"/>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952" w:type="dxa"/>
            <w:gridSpan w:val="2"/>
            <w:vMerge w:val="continue"/>
            <w:noWrap w:val="0"/>
            <w:vAlign w:val="center"/>
          </w:tcPr>
          <w:p>
            <w:pPr>
              <w:spacing w:line="360" w:lineRule="auto"/>
              <w:jc w:val="center"/>
              <w:rPr>
                <w:color w:val="000000"/>
                <w:szCs w:val="21"/>
              </w:rPr>
            </w:pPr>
          </w:p>
        </w:tc>
        <w:tc>
          <w:tcPr>
            <w:tcW w:w="1373" w:type="dxa"/>
            <w:vMerge w:val="continue"/>
            <w:noWrap w:val="0"/>
            <w:vAlign w:val="center"/>
          </w:tcPr>
          <w:p>
            <w:pPr>
              <w:spacing w:line="360" w:lineRule="auto"/>
              <w:jc w:val="center"/>
              <w:rPr>
                <w:color w:val="000000"/>
                <w:szCs w:val="21"/>
              </w:rPr>
            </w:pPr>
          </w:p>
        </w:tc>
        <w:tc>
          <w:tcPr>
            <w:tcW w:w="449" w:type="dxa"/>
            <w:vMerge w:val="continue"/>
            <w:noWrap w:val="0"/>
            <w:vAlign w:val="center"/>
          </w:tcPr>
          <w:p>
            <w:pPr>
              <w:spacing w:line="360" w:lineRule="auto"/>
              <w:jc w:val="center"/>
              <w:rPr>
                <w:color w:val="000000"/>
                <w:szCs w:val="21"/>
              </w:rPr>
            </w:pPr>
          </w:p>
        </w:tc>
        <w:tc>
          <w:tcPr>
            <w:tcW w:w="2572" w:type="dxa"/>
            <w:gridSpan w:val="4"/>
            <w:noWrap w:val="0"/>
            <w:vAlign w:val="center"/>
          </w:tcPr>
          <w:p>
            <w:pPr>
              <w:spacing w:line="440" w:lineRule="exact"/>
              <w:rPr>
                <w:color w:val="000000"/>
                <w:szCs w:val="21"/>
              </w:rPr>
            </w:pPr>
            <w:r>
              <w:rPr>
                <w:rFonts w:hint="eastAsia"/>
                <w:color w:val="000000"/>
                <w:szCs w:val="21"/>
              </w:rPr>
              <w:t>项目设计负责人</w:t>
            </w:r>
          </w:p>
        </w:tc>
        <w:tc>
          <w:tcPr>
            <w:tcW w:w="4359" w:type="dxa"/>
            <w:noWrap w:val="0"/>
            <w:vAlign w:val="center"/>
          </w:tcPr>
          <w:p>
            <w:pPr>
              <w:spacing w:line="440" w:lineRule="exact"/>
              <w:rPr>
                <w:color w:val="000000"/>
                <w:szCs w:val="21"/>
              </w:rPr>
            </w:pPr>
            <w:r>
              <w:rPr>
                <w:color w:val="000000"/>
                <w:szCs w:val="21"/>
              </w:rPr>
              <w:t>符合第二章“投标人须知”第1.4.1</w:t>
            </w:r>
            <w:r>
              <w:rPr>
                <w:rFonts w:hint="eastAsia"/>
                <w:color w:val="000000"/>
                <w:szCs w:val="21"/>
              </w:rPr>
              <w:t>项</w:t>
            </w:r>
            <w:r>
              <w:rPr>
                <w:color w:val="000000"/>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952" w:type="dxa"/>
            <w:gridSpan w:val="2"/>
            <w:vMerge w:val="continue"/>
            <w:noWrap w:val="0"/>
            <w:vAlign w:val="center"/>
          </w:tcPr>
          <w:p>
            <w:pPr>
              <w:spacing w:line="360" w:lineRule="auto"/>
              <w:jc w:val="center"/>
              <w:rPr>
                <w:color w:val="000000"/>
                <w:szCs w:val="21"/>
              </w:rPr>
            </w:pPr>
          </w:p>
        </w:tc>
        <w:tc>
          <w:tcPr>
            <w:tcW w:w="1373" w:type="dxa"/>
            <w:vMerge w:val="continue"/>
            <w:noWrap w:val="0"/>
            <w:vAlign w:val="center"/>
          </w:tcPr>
          <w:p>
            <w:pPr>
              <w:spacing w:line="360" w:lineRule="auto"/>
              <w:jc w:val="center"/>
              <w:rPr>
                <w:color w:val="000000"/>
                <w:szCs w:val="21"/>
              </w:rPr>
            </w:pPr>
          </w:p>
        </w:tc>
        <w:tc>
          <w:tcPr>
            <w:tcW w:w="449" w:type="dxa"/>
            <w:vMerge w:val="continue"/>
            <w:noWrap w:val="0"/>
            <w:vAlign w:val="center"/>
          </w:tcPr>
          <w:p>
            <w:pPr>
              <w:spacing w:line="360" w:lineRule="auto"/>
              <w:jc w:val="center"/>
              <w:rPr>
                <w:color w:val="000000"/>
                <w:szCs w:val="21"/>
              </w:rPr>
            </w:pPr>
          </w:p>
        </w:tc>
        <w:tc>
          <w:tcPr>
            <w:tcW w:w="2572" w:type="dxa"/>
            <w:gridSpan w:val="4"/>
            <w:noWrap w:val="0"/>
            <w:vAlign w:val="center"/>
          </w:tcPr>
          <w:p>
            <w:pPr>
              <w:spacing w:line="440" w:lineRule="exact"/>
              <w:rPr>
                <w:rFonts w:hint="eastAsia"/>
                <w:color w:val="000000"/>
                <w:szCs w:val="21"/>
              </w:rPr>
            </w:pPr>
            <w:r>
              <w:rPr>
                <w:rFonts w:hint="eastAsia"/>
                <w:color w:val="000000"/>
                <w:szCs w:val="21"/>
              </w:rPr>
              <w:t>施工项目经理</w:t>
            </w:r>
          </w:p>
        </w:tc>
        <w:tc>
          <w:tcPr>
            <w:tcW w:w="4359" w:type="dxa"/>
            <w:noWrap w:val="0"/>
            <w:vAlign w:val="center"/>
          </w:tcPr>
          <w:p>
            <w:pPr>
              <w:spacing w:line="440" w:lineRule="exact"/>
              <w:rPr>
                <w:color w:val="000000"/>
                <w:szCs w:val="21"/>
              </w:rPr>
            </w:pPr>
            <w:r>
              <w:rPr>
                <w:color w:val="000000"/>
                <w:szCs w:val="21"/>
              </w:rPr>
              <w:t>符合第二章“投标人须知”第1.4.1</w:t>
            </w:r>
            <w:r>
              <w:rPr>
                <w:rFonts w:hint="eastAsia"/>
                <w:color w:val="000000"/>
                <w:szCs w:val="21"/>
              </w:rPr>
              <w:t>项</w:t>
            </w:r>
            <w:r>
              <w:rPr>
                <w:color w:val="000000"/>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952" w:type="dxa"/>
            <w:gridSpan w:val="2"/>
            <w:vMerge w:val="continue"/>
            <w:noWrap w:val="0"/>
            <w:vAlign w:val="center"/>
          </w:tcPr>
          <w:p>
            <w:pPr>
              <w:spacing w:line="360" w:lineRule="auto"/>
              <w:jc w:val="center"/>
              <w:rPr>
                <w:color w:val="000000"/>
                <w:szCs w:val="21"/>
              </w:rPr>
            </w:pPr>
          </w:p>
        </w:tc>
        <w:tc>
          <w:tcPr>
            <w:tcW w:w="1373" w:type="dxa"/>
            <w:vMerge w:val="continue"/>
            <w:noWrap w:val="0"/>
            <w:vAlign w:val="center"/>
          </w:tcPr>
          <w:p>
            <w:pPr>
              <w:spacing w:line="360" w:lineRule="auto"/>
              <w:jc w:val="center"/>
              <w:rPr>
                <w:color w:val="000000"/>
                <w:szCs w:val="21"/>
              </w:rPr>
            </w:pPr>
          </w:p>
        </w:tc>
        <w:tc>
          <w:tcPr>
            <w:tcW w:w="449" w:type="dxa"/>
            <w:vMerge w:val="continue"/>
            <w:noWrap w:val="0"/>
            <w:vAlign w:val="center"/>
          </w:tcPr>
          <w:p>
            <w:pPr>
              <w:spacing w:line="360" w:lineRule="auto"/>
              <w:jc w:val="center"/>
              <w:rPr>
                <w:color w:val="000000"/>
                <w:szCs w:val="21"/>
              </w:rPr>
            </w:pPr>
          </w:p>
        </w:tc>
        <w:tc>
          <w:tcPr>
            <w:tcW w:w="2572" w:type="dxa"/>
            <w:gridSpan w:val="4"/>
            <w:noWrap w:val="0"/>
            <w:vAlign w:val="center"/>
          </w:tcPr>
          <w:p>
            <w:pPr>
              <w:spacing w:line="440" w:lineRule="exact"/>
              <w:rPr>
                <w:rFonts w:hint="eastAsia"/>
                <w:color w:val="000000"/>
                <w:szCs w:val="21"/>
              </w:rPr>
            </w:pPr>
            <w:r>
              <w:rPr>
                <w:rFonts w:hint="eastAsia"/>
                <w:color w:val="000000"/>
                <w:szCs w:val="21"/>
              </w:rPr>
              <w:t>项目现场施工专职安全生产管理人员</w:t>
            </w:r>
          </w:p>
        </w:tc>
        <w:tc>
          <w:tcPr>
            <w:tcW w:w="4359" w:type="dxa"/>
            <w:noWrap w:val="0"/>
            <w:vAlign w:val="center"/>
          </w:tcPr>
          <w:p>
            <w:pPr>
              <w:spacing w:line="440" w:lineRule="exact"/>
              <w:rPr>
                <w:color w:val="000000"/>
                <w:szCs w:val="21"/>
              </w:rPr>
            </w:pPr>
            <w:r>
              <w:rPr>
                <w:color w:val="000000"/>
                <w:szCs w:val="21"/>
              </w:rPr>
              <w:t>符合第二章“投标人须知”第1.4.1</w:t>
            </w:r>
            <w:r>
              <w:rPr>
                <w:rFonts w:hint="eastAsia"/>
                <w:color w:val="000000"/>
                <w:szCs w:val="21"/>
              </w:rPr>
              <w:t>项</w:t>
            </w:r>
            <w:r>
              <w:rPr>
                <w:color w:val="000000"/>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952" w:type="dxa"/>
            <w:gridSpan w:val="2"/>
            <w:vMerge w:val="continue"/>
            <w:noWrap w:val="0"/>
            <w:vAlign w:val="center"/>
          </w:tcPr>
          <w:p>
            <w:pPr>
              <w:spacing w:line="360" w:lineRule="auto"/>
              <w:jc w:val="center"/>
              <w:rPr>
                <w:color w:val="000000"/>
                <w:szCs w:val="21"/>
              </w:rPr>
            </w:pPr>
          </w:p>
        </w:tc>
        <w:tc>
          <w:tcPr>
            <w:tcW w:w="1373" w:type="dxa"/>
            <w:vMerge w:val="continue"/>
            <w:noWrap w:val="0"/>
            <w:vAlign w:val="center"/>
          </w:tcPr>
          <w:p>
            <w:pPr>
              <w:spacing w:line="360" w:lineRule="auto"/>
              <w:jc w:val="center"/>
              <w:rPr>
                <w:color w:val="000000"/>
                <w:szCs w:val="21"/>
              </w:rPr>
            </w:pPr>
          </w:p>
        </w:tc>
        <w:tc>
          <w:tcPr>
            <w:tcW w:w="449" w:type="dxa"/>
            <w:vMerge w:val="continue"/>
            <w:noWrap w:val="0"/>
            <w:vAlign w:val="center"/>
          </w:tcPr>
          <w:p>
            <w:pPr>
              <w:spacing w:line="360" w:lineRule="auto"/>
              <w:jc w:val="center"/>
              <w:rPr>
                <w:color w:val="000000"/>
                <w:szCs w:val="21"/>
              </w:rPr>
            </w:pPr>
          </w:p>
        </w:tc>
        <w:tc>
          <w:tcPr>
            <w:tcW w:w="2572" w:type="dxa"/>
            <w:gridSpan w:val="4"/>
            <w:noWrap w:val="0"/>
            <w:vAlign w:val="center"/>
          </w:tcPr>
          <w:p>
            <w:pPr>
              <w:spacing w:line="440" w:lineRule="exact"/>
              <w:rPr>
                <w:rFonts w:hint="eastAsia"/>
                <w:color w:val="000000"/>
                <w:szCs w:val="21"/>
              </w:rPr>
            </w:pPr>
            <w:r>
              <w:rPr>
                <w:color w:val="000000"/>
                <w:szCs w:val="21"/>
              </w:rPr>
              <w:t>联合体投标人</w:t>
            </w:r>
            <w:r>
              <w:rPr>
                <w:rFonts w:hint="eastAsia"/>
                <w:color w:val="000000"/>
                <w:szCs w:val="21"/>
              </w:rPr>
              <w:t>（如有）</w:t>
            </w:r>
          </w:p>
        </w:tc>
        <w:tc>
          <w:tcPr>
            <w:tcW w:w="4359" w:type="dxa"/>
            <w:noWrap w:val="0"/>
            <w:vAlign w:val="center"/>
          </w:tcPr>
          <w:p>
            <w:pPr>
              <w:spacing w:line="440" w:lineRule="exact"/>
              <w:rPr>
                <w:color w:val="000000"/>
                <w:szCs w:val="21"/>
              </w:rPr>
            </w:pPr>
            <w:r>
              <w:rPr>
                <w:color w:val="000000"/>
                <w:szCs w:val="21"/>
              </w:rPr>
              <w:t>符合第二章“投标人须知”第1.4.</w:t>
            </w:r>
            <w:r>
              <w:rPr>
                <w:rFonts w:hint="eastAsia"/>
                <w:color w:val="000000"/>
                <w:szCs w:val="21"/>
              </w:rPr>
              <w:t>3</w:t>
            </w:r>
            <w:r>
              <w:rPr>
                <w:color w:val="000000"/>
                <w:szCs w:val="21"/>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952" w:type="dxa"/>
            <w:gridSpan w:val="2"/>
            <w:vMerge w:val="continue"/>
            <w:noWrap w:val="0"/>
            <w:vAlign w:val="center"/>
          </w:tcPr>
          <w:p>
            <w:pPr>
              <w:spacing w:line="360" w:lineRule="auto"/>
              <w:jc w:val="center"/>
              <w:rPr>
                <w:color w:val="000000"/>
                <w:szCs w:val="21"/>
              </w:rPr>
            </w:pPr>
          </w:p>
        </w:tc>
        <w:tc>
          <w:tcPr>
            <w:tcW w:w="1373" w:type="dxa"/>
            <w:vMerge w:val="continue"/>
            <w:noWrap w:val="0"/>
            <w:vAlign w:val="center"/>
          </w:tcPr>
          <w:p>
            <w:pPr>
              <w:spacing w:line="360" w:lineRule="auto"/>
              <w:jc w:val="center"/>
              <w:rPr>
                <w:color w:val="000000"/>
                <w:szCs w:val="21"/>
              </w:rPr>
            </w:pPr>
          </w:p>
        </w:tc>
        <w:tc>
          <w:tcPr>
            <w:tcW w:w="449" w:type="dxa"/>
            <w:vMerge w:val="continue"/>
            <w:noWrap w:val="0"/>
            <w:vAlign w:val="center"/>
          </w:tcPr>
          <w:p>
            <w:pPr>
              <w:spacing w:line="360" w:lineRule="auto"/>
              <w:jc w:val="center"/>
              <w:rPr>
                <w:color w:val="000000"/>
                <w:szCs w:val="21"/>
              </w:rPr>
            </w:pPr>
          </w:p>
        </w:tc>
        <w:tc>
          <w:tcPr>
            <w:tcW w:w="2572" w:type="dxa"/>
            <w:gridSpan w:val="4"/>
            <w:noWrap w:val="0"/>
            <w:vAlign w:val="center"/>
          </w:tcPr>
          <w:p>
            <w:pPr>
              <w:spacing w:line="360" w:lineRule="auto"/>
              <w:rPr>
                <w:color w:val="000000"/>
                <w:szCs w:val="21"/>
              </w:rPr>
            </w:pPr>
            <w:r>
              <w:rPr>
                <w:color w:val="000000"/>
                <w:szCs w:val="21"/>
              </w:rPr>
              <w:t>投标保证金</w:t>
            </w:r>
          </w:p>
        </w:tc>
        <w:tc>
          <w:tcPr>
            <w:tcW w:w="4359" w:type="dxa"/>
            <w:noWrap w:val="0"/>
            <w:vAlign w:val="top"/>
          </w:tcPr>
          <w:p>
            <w:pPr>
              <w:spacing w:line="360" w:lineRule="auto"/>
              <w:rPr>
                <w:color w:val="000000"/>
                <w:szCs w:val="21"/>
              </w:rPr>
            </w:pPr>
            <w:r>
              <w:rPr>
                <w:color w:val="000000"/>
                <w:szCs w:val="21"/>
              </w:rPr>
              <w:t>符合第二章“投标人须知”第3.4.1项规定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952" w:type="dxa"/>
            <w:gridSpan w:val="2"/>
            <w:vMerge w:val="continue"/>
            <w:noWrap w:val="0"/>
            <w:vAlign w:val="center"/>
          </w:tcPr>
          <w:p>
            <w:pPr>
              <w:spacing w:line="360" w:lineRule="auto"/>
              <w:jc w:val="center"/>
              <w:rPr>
                <w:color w:val="000000"/>
                <w:szCs w:val="21"/>
              </w:rPr>
            </w:pPr>
          </w:p>
        </w:tc>
        <w:tc>
          <w:tcPr>
            <w:tcW w:w="1373" w:type="dxa"/>
            <w:vMerge w:val="continue"/>
            <w:noWrap w:val="0"/>
            <w:vAlign w:val="center"/>
          </w:tcPr>
          <w:p>
            <w:pPr>
              <w:spacing w:line="360" w:lineRule="auto"/>
              <w:jc w:val="center"/>
              <w:rPr>
                <w:color w:val="000000"/>
                <w:szCs w:val="21"/>
              </w:rPr>
            </w:pPr>
          </w:p>
        </w:tc>
        <w:tc>
          <w:tcPr>
            <w:tcW w:w="449" w:type="dxa"/>
            <w:vMerge w:val="continue"/>
            <w:noWrap w:val="0"/>
            <w:vAlign w:val="center"/>
          </w:tcPr>
          <w:p>
            <w:pPr>
              <w:spacing w:line="360" w:lineRule="auto"/>
              <w:jc w:val="center"/>
              <w:rPr>
                <w:color w:val="000000"/>
                <w:szCs w:val="21"/>
              </w:rPr>
            </w:pPr>
          </w:p>
        </w:tc>
        <w:tc>
          <w:tcPr>
            <w:tcW w:w="2572" w:type="dxa"/>
            <w:gridSpan w:val="4"/>
            <w:noWrap w:val="0"/>
            <w:vAlign w:val="center"/>
          </w:tcPr>
          <w:p>
            <w:pPr>
              <w:spacing w:line="360" w:lineRule="auto"/>
              <w:rPr>
                <w:color w:val="000000"/>
                <w:szCs w:val="21"/>
              </w:rPr>
            </w:pPr>
            <w:r>
              <w:rPr>
                <w:color w:val="000000"/>
                <w:szCs w:val="21"/>
              </w:rPr>
              <w:t>其他要求</w:t>
            </w:r>
            <w:r>
              <w:rPr>
                <w:rFonts w:eastAsia="楷体_GB2312"/>
                <w:color w:val="000000"/>
                <w:szCs w:val="21"/>
              </w:rPr>
              <w:t>【</w:t>
            </w:r>
            <w:r>
              <w:rPr>
                <w:rFonts w:hint="eastAsia" w:ascii="楷体_GB2312" w:eastAsia="楷体_GB2312"/>
                <w:color w:val="000000"/>
                <w:szCs w:val="21"/>
              </w:rPr>
              <w:t>备注：</w:t>
            </w:r>
            <w:r>
              <w:rPr>
                <w:rFonts w:ascii="楷体_GB2312" w:eastAsia="楷体_GB2312"/>
                <w:color w:val="000000"/>
                <w:szCs w:val="21"/>
              </w:rPr>
              <w:t>招标人可根据招标项目情况自主调整</w:t>
            </w:r>
            <w:r>
              <w:rPr>
                <w:rFonts w:eastAsia="楷体_GB2312"/>
                <w:color w:val="000000"/>
                <w:szCs w:val="21"/>
              </w:rPr>
              <w:t>】</w:t>
            </w:r>
          </w:p>
        </w:tc>
        <w:tc>
          <w:tcPr>
            <w:tcW w:w="4359" w:type="dxa"/>
            <w:noWrap w:val="0"/>
            <w:vAlign w:val="center"/>
          </w:tcPr>
          <w:p>
            <w:pPr>
              <w:spacing w:line="360" w:lineRule="auto"/>
              <w:rPr>
                <w:color w:val="000000"/>
                <w:szCs w:val="21"/>
              </w:rPr>
            </w:pPr>
            <w:r>
              <w:rPr>
                <w:color w:val="000000"/>
                <w:szCs w:val="21"/>
              </w:rPr>
              <w:t>符合第二章“投标人须知”第1.4.1项规定且按规定提交了第二章“投标人须知前附表”3.1.1项资格审查部分（  ）～（  ）项内容的。</w:t>
            </w:r>
          </w:p>
          <w:p>
            <w:pPr>
              <w:spacing w:line="360" w:lineRule="auto"/>
              <w:rPr>
                <w:color w:val="000000"/>
                <w:szCs w:val="21"/>
              </w:rPr>
            </w:pPr>
            <w:r>
              <w:rPr>
                <w:rFonts w:eastAsia="楷体_GB2312"/>
                <w:color w:val="000000"/>
                <w:szCs w:val="21"/>
              </w:rPr>
              <w:t>【如：</w:t>
            </w:r>
            <w:r>
              <w:rPr>
                <w:rFonts w:hint="eastAsia" w:eastAsia="楷体_GB2312"/>
                <w:color w:val="000000"/>
                <w:szCs w:val="21"/>
              </w:rPr>
              <w:t>工程总承包项目经理</w:t>
            </w:r>
            <w:r>
              <w:rPr>
                <w:rFonts w:eastAsia="楷体_GB2312"/>
                <w:color w:val="000000"/>
                <w:szCs w:val="21"/>
              </w:rPr>
              <w:t>/</w:t>
            </w:r>
            <w:r>
              <w:rPr>
                <w:rFonts w:hint="eastAsia" w:eastAsia="楷体_GB2312"/>
                <w:color w:val="000000"/>
                <w:szCs w:val="21"/>
              </w:rPr>
              <w:t>施工</w:t>
            </w:r>
            <w:r>
              <w:rPr>
                <w:rFonts w:eastAsia="楷体_GB2312"/>
                <w:color w:val="000000"/>
                <w:szCs w:val="21"/>
              </w:rPr>
              <w:t>项目经理/专职投标员/技术负责人/专职安全生产管理人员/其它管理人员的近1个月</w:t>
            </w:r>
            <w:r>
              <w:rPr>
                <w:rFonts w:hint="eastAsia" w:eastAsia="楷体_GB2312"/>
                <w:color w:val="000000"/>
                <w:szCs w:val="21"/>
              </w:rPr>
              <w:t>（  年  月）</w:t>
            </w:r>
            <w:r>
              <w:rPr>
                <w:rFonts w:eastAsia="楷体_GB2312"/>
                <w:color w:val="000000"/>
                <w:szCs w:val="21"/>
              </w:rPr>
              <w:t>的</w:t>
            </w:r>
            <w:r>
              <w:rPr>
                <w:rFonts w:hint="eastAsia" w:eastAsia="楷体_GB2312"/>
                <w:color w:val="000000"/>
                <w:szCs w:val="21"/>
              </w:rPr>
              <w:t>社会</w:t>
            </w:r>
            <w:r>
              <w:rPr>
                <w:rFonts w:eastAsia="楷体_GB2312"/>
                <w:color w:val="000000"/>
                <w:szCs w:val="21"/>
              </w:rPr>
              <w:t>保险缴纳情况</w:t>
            </w:r>
            <w:r>
              <w:rPr>
                <w:rFonts w:hint="eastAsia" w:eastAsia="楷体_GB2312"/>
                <w:color w:val="000000"/>
                <w:szCs w:val="21"/>
              </w:rPr>
              <w:t>（已退休未满65岁的工程总承包项目经理/施工项目经理不用提供社保，但应附退休证明文件的扫描件，且建造师等</w:t>
            </w:r>
            <w:r>
              <w:rPr>
                <w:rFonts w:eastAsia="楷体_GB2312"/>
                <w:color w:val="000000"/>
                <w:szCs w:val="21"/>
              </w:rPr>
              <w:t>注册证书</w:t>
            </w:r>
            <w:r>
              <w:rPr>
                <w:rFonts w:hint="eastAsia" w:eastAsia="楷体_GB2312"/>
                <w:color w:val="000000"/>
                <w:szCs w:val="21"/>
              </w:rPr>
              <w:t>注册单位与投标单位一致）</w:t>
            </w:r>
            <w:r>
              <w:rPr>
                <w:rFonts w:eastAsia="楷体_GB2312"/>
                <w:color w:val="000000"/>
                <w:szCs w:val="21"/>
              </w:rPr>
              <w:t>、建设工程项目管理承诺</w:t>
            </w:r>
            <w:r>
              <w:rPr>
                <w:rFonts w:hint="eastAsia" w:eastAsia="楷体_GB2312"/>
                <w:color w:val="000000"/>
                <w:szCs w:val="21"/>
              </w:rPr>
              <w:t>（同“投标人须知前附表”3.1.1要求）</w:t>
            </w:r>
            <w:r>
              <w:rPr>
                <w:rFonts w:eastAsia="楷体_GB2312"/>
                <w:color w:val="000000"/>
                <w:szCs w:val="21"/>
              </w:rPr>
              <w:t>......</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6" w:hRule="atLeast"/>
          <w:jc w:val="center"/>
        </w:trPr>
        <w:tc>
          <w:tcPr>
            <w:tcW w:w="1952" w:type="dxa"/>
            <w:gridSpan w:val="2"/>
            <w:vMerge w:val="continue"/>
            <w:noWrap w:val="0"/>
            <w:vAlign w:val="center"/>
          </w:tcPr>
          <w:p>
            <w:pPr>
              <w:spacing w:line="360" w:lineRule="auto"/>
              <w:jc w:val="center"/>
              <w:rPr>
                <w:color w:val="000000"/>
                <w:szCs w:val="21"/>
              </w:rPr>
            </w:pPr>
          </w:p>
        </w:tc>
        <w:tc>
          <w:tcPr>
            <w:tcW w:w="1373" w:type="dxa"/>
            <w:vMerge w:val="continue"/>
            <w:noWrap w:val="0"/>
            <w:vAlign w:val="center"/>
          </w:tcPr>
          <w:p>
            <w:pPr>
              <w:spacing w:line="360" w:lineRule="auto"/>
              <w:jc w:val="center"/>
              <w:rPr>
                <w:color w:val="000000"/>
                <w:szCs w:val="21"/>
              </w:rPr>
            </w:pPr>
          </w:p>
        </w:tc>
        <w:tc>
          <w:tcPr>
            <w:tcW w:w="449" w:type="dxa"/>
            <w:vMerge w:val="restart"/>
            <w:noWrap w:val="0"/>
            <w:vAlign w:val="center"/>
          </w:tcPr>
          <w:p>
            <w:pPr>
              <w:spacing w:line="360" w:lineRule="auto"/>
              <w:jc w:val="center"/>
              <w:rPr>
                <w:color w:val="000000"/>
              </w:rPr>
            </w:pPr>
            <w:r>
              <w:rPr>
                <w:rFonts w:hint="eastAsia"/>
                <w:color w:val="000000"/>
              </w:rPr>
              <w:t>□</w:t>
            </w:r>
            <w:r>
              <w:rPr>
                <w:color w:val="000000"/>
                <w:szCs w:val="21"/>
              </w:rPr>
              <w:t>有限数量制</w:t>
            </w:r>
          </w:p>
        </w:tc>
        <w:tc>
          <w:tcPr>
            <w:tcW w:w="6931" w:type="dxa"/>
            <w:gridSpan w:val="5"/>
            <w:noWrap w:val="0"/>
            <w:vAlign w:val="center"/>
          </w:tcPr>
          <w:p>
            <w:pPr>
              <w:spacing w:line="360" w:lineRule="auto"/>
              <w:rPr>
                <w:color w:val="000000"/>
                <w:szCs w:val="21"/>
              </w:rPr>
            </w:pPr>
            <w:r>
              <w:rPr>
                <w:color w:val="000000"/>
                <w:szCs w:val="21"/>
              </w:rPr>
              <w:t>1、投标人符合第二章“投标人须知”第1.4项规定的，且按规定提交了第二章“投标人须知前附表”3.1.1项</w:t>
            </w:r>
            <w:r>
              <w:rPr>
                <w:rFonts w:hint="eastAsia"/>
                <w:color w:val="000000"/>
                <w:szCs w:val="21"/>
              </w:rPr>
              <w:t>资格审查</w:t>
            </w:r>
            <w:r>
              <w:rPr>
                <w:color w:val="000000"/>
                <w:szCs w:val="21"/>
              </w:rPr>
              <w:t>部分（  ）～（  ）项内容的，方可进行资格</w:t>
            </w:r>
            <w:r>
              <w:rPr>
                <w:rFonts w:hint="eastAsia"/>
                <w:color w:val="000000"/>
                <w:szCs w:val="21"/>
              </w:rPr>
              <w:t>评审</w:t>
            </w:r>
            <w:r>
              <w:rPr>
                <w:color w:val="000000"/>
                <w:szCs w:val="21"/>
              </w:rPr>
              <w:t>评分。</w:t>
            </w:r>
          </w:p>
          <w:p>
            <w:pPr>
              <w:spacing w:line="360" w:lineRule="auto"/>
              <w:rPr>
                <w:rFonts w:hint="eastAsia"/>
                <w:color w:val="000000"/>
                <w:szCs w:val="21"/>
              </w:rPr>
            </w:pPr>
            <w:r>
              <w:rPr>
                <w:color w:val="000000"/>
                <w:szCs w:val="21"/>
              </w:rPr>
              <w:t>2、资格</w:t>
            </w:r>
            <w:r>
              <w:rPr>
                <w:rFonts w:hint="eastAsia"/>
                <w:color w:val="000000"/>
                <w:szCs w:val="21"/>
              </w:rPr>
              <w:t>评审</w:t>
            </w:r>
            <w:r>
              <w:rPr>
                <w:color w:val="000000"/>
                <w:szCs w:val="21"/>
              </w:rPr>
              <w:t>满分为100分，总分60分及以上为合格，按得分由高到低的顺序选择</w:t>
            </w:r>
            <w:r>
              <w:rPr>
                <w:color w:val="000000"/>
                <w:szCs w:val="21"/>
                <w:u w:val="single"/>
              </w:rPr>
              <w:t>（7-15）</w:t>
            </w:r>
            <w:r>
              <w:rPr>
                <w:color w:val="000000"/>
                <w:szCs w:val="21"/>
              </w:rPr>
              <w:t>家投标单位作为合格投标人进入本工程的</w:t>
            </w:r>
            <w:r>
              <w:rPr>
                <w:rFonts w:hint="eastAsia"/>
                <w:color w:val="000000"/>
                <w:szCs w:val="21"/>
              </w:rPr>
              <w:t>详细</w:t>
            </w:r>
            <w:r>
              <w:rPr>
                <w:color w:val="000000"/>
                <w:szCs w:val="21"/>
              </w:rPr>
              <w:t>评审，如前第</w:t>
            </w:r>
            <w:r>
              <w:rPr>
                <w:color w:val="000000"/>
                <w:szCs w:val="21"/>
                <w:u w:val="single"/>
              </w:rPr>
              <w:t xml:space="preserve">   </w:t>
            </w:r>
            <w:r>
              <w:rPr>
                <w:color w:val="000000"/>
                <w:szCs w:val="21"/>
              </w:rPr>
              <w:t>名有得分相同的，则一并进入</w:t>
            </w:r>
            <w:r>
              <w:rPr>
                <w:rFonts w:hint="eastAsia"/>
                <w:color w:val="000000"/>
                <w:szCs w:val="21"/>
              </w:rPr>
              <w:t>详细</w:t>
            </w:r>
            <w:r>
              <w:rPr>
                <w:color w:val="000000"/>
                <w:szCs w:val="21"/>
              </w:rPr>
              <w:t>评审，如参加投标的单位不足</w:t>
            </w:r>
            <w:r>
              <w:rPr>
                <w:color w:val="000000"/>
                <w:szCs w:val="21"/>
                <w:u w:val="single"/>
              </w:rPr>
              <w:t xml:space="preserve">        </w:t>
            </w:r>
            <w:r>
              <w:rPr>
                <w:color w:val="000000"/>
                <w:szCs w:val="21"/>
              </w:rPr>
              <w:t>名（含</w:t>
            </w:r>
            <w:r>
              <w:rPr>
                <w:color w:val="000000"/>
                <w:szCs w:val="21"/>
                <w:u w:val="single"/>
              </w:rPr>
              <w:t xml:space="preserve">    </w:t>
            </w:r>
            <w:r>
              <w:rPr>
                <w:color w:val="000000"/>
                <w:szCs w:val="21"/>
              </w:rPr>
              <w:t>名）</w:t>
            </w:r>
            <w:r>
              <w:rPr>
                <w:rFonts w:hint="eastAsia"/>
                <w:color w:val="000000"/>
                <w:szCs w:val="21"/>
              </w:rPr>
              <w:t>，</w:t>
            </w:r>
            <w:r>
              <w:rPr>
                <w:color w:val="000000"/>
                <w:szCs w:val="21"/>
              </w:rPr>
              <w:t>则全部达到合格分数线的投标人进入</w:t>
            </w:r>
            <w:r>
              <w:rPr>
                <w:rFonts w:hint="eastAsia"/>
                <w:color w:val="000000"/>
                <w:szCs w:val="21"/>
              </w:rPr>
              <w:t>详细</w:t>
            </w:r>
            <w:r>
              <w:rPr>
                <w:color w:val="000000"/>
                <w:szCs w:val="21"/>
              </w:rPr>
              <w:t>评审。</w:t>
            </w:r>
            <w:r>
              <w:rPr>
                <w:rFonts w:eastAsia="楷体_GB2312"/>
                <w:color w:val="000000"/>
                <w:szCs w:val="21"/>
              </w:rPr>
              <w:t>【备注：参照建市〔2005〕208号文，原则上工程投资额1000万元以上的工程项目，合格投标人家数应当不少于9个；工程投资额1000万元以下的工程项目，合格投标人家数应当不少于7个】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952" w:type="dxa"/>
            <w:gridSpan w:val="2"/>
            <w:vMerge w:val="continue"/>
            <w:noWrap w:val="0"/>
            <w:vAlign w:val="center"/>
          </w:tcPr>
          <w:p>
            <w:pPr>
              <w:spacing w:line="360" w:lineRule="auto"/>
              <w:jc w:val="center"/>
              <w:rPr>
                <w:color w:val="000000"/>
                <w:szCs w:val="21"/>
              </w:rPr>
            </w:pPr>
          </w:p>
        </w:tc>
        <w:tc>
          <w:tcPr>
            <w:tcW w:w="1373" w:type="dxa"/>
            <w:vMerge w:val="continue"/>
            <w:noWrap w:val="0"/>
            <w:vAlign w:val="center"/>
          </w:tcPr>
          <w:p>
            <w:pPr>
              <w:spacing w:line="360" w:lineRule="auto"/>
              <w:jc w:val="center"/>
              <w:rPr>
                <w:color w:val="000000"/>
                <w:szCs w:val="21"/>
              </w:rPr>
            </w:pPr>
          </w:p>
        </w:tc>
        <w:tc>
          <w:tcPr>
            <w:tcW w:w="449" w:type="dxa"/>
            <w:vMerge w:val="continue"/>
            <w:noWrap w:val="0"/>
            <w:vAlign w:val="center"/>
          </w:tcPr>
          <w:p>
            <w:pPr>
              <w:spacing w:line="360" w:lineRule="auto"/>
              <w:jc w:val="center"/>
              <w:rPr>
                <w:color w:val="000000"/>
                <w:szCs w:val="21"/>
              </w:rPr>
            </w:pPr>
          </w:p>
        </w:tc>
        <w:tc>
          <w:tcPr>
            <w:tcW w:w="2572" w:type="dxa"/>
            <w:gridSpan w:val="4"/>
            <w:noWrap w:val="0"/>
            <w:vAlign w:val="center"/>
          </w:tcPr>
          <w:p>
            <w:pPr>
              <w:spacing w:line="360" w:lineRule="auto"/>
              <w:rPr>
                <w:rFonts w:hint="eastAsia"/>
                <w:color w:val="000000"/>
                <w:szCs w:val="21"/>
              </w:rPr>
            </w:pPr>
            <w:r>
              <w:rPr>
                <w:color w:val="000000"/>
                <w:szCs w:val="21"/>
              </w:rPr>
              <w:t>（一）企业情况</w:t>
            </w:r>
            <w:r>
              <w:rPr>
                <w:rFonts w:hint="eastAsia"/>
                <w:color w:val="000000"/>
                <w:szCs w:val="21"/>
              </w:rPr>
              <w:t>（或联合体）</w:t>
            </w:r>
          </w:p>
          <w:p>
            <w:pPr>
              <w:spacing w:line="360" w:lineRule="auto"/>
              <w:rPr>
                <w:color w:val="000000"/>
                <w:szCs w:val="21"/>
              </w:rPr>
            </w:pPr>
            <w:r>
              <w:rPr>
                <w:color w:val="000000"/>
                <w:szCs w:val="21"/>
              </w:rPr>
              <w:t>（满分</w:t>
            </w:r>
            <w:r>
              <w:rPr>
                <w:color w:val="000000"/>
                <w:u w:val="single"/>
              </w:rPr>
              <w:t xml:space="preserve"> 20~25</w:t>
            </w:r>
            <w:r>
              <w:rPr>
                <w:color w:val="000000"/>
                <w:szCs w:val="21"/>
              </w:rPr>
              <w:t>分）</w:t>
            </w:r>
          </w:p>
        </w:tc>
        <w:tc>
          <w:tcPr>
            <w:tcW w:w="4359" w:type="dxa"/>
            <w:noWrap w:val="0"/>
            <w:vAlign w:val="top"/>
          </w:tcPr>
          <w:p>
            <w:pPr>
              <w:spacing w:line="360" w:lineRule="auto"/>
              <w:rPr>
                <w:rFonts w:hint="eastAsia"/>
                <w:color w:val="000000"/>
                <w:szCs w:val="21"/>
              </w:rPr>
            </w:pPr>
            <w:r>
              <w:rPr>
                <w:color w:val="000000"/>
                <w:szCs w:val="21"/>
              </w:rPr>
              <w:t>（1）资质条件：</w:t>
            </w:r>
            <w:r>
              <w:rPr>
                <w:rFonts w:hint="eastAsia"/>
                <w:color w:val="000000"/>
                <w:szCs w:val="21"/>
              </w:rPr>
              <w:t>满足或优于前附表要求的投标人资格（</w:t>
            </w:r>
            <w:r>
              <w:rPr>
                <w:color w:val="000000"/>
                <w:szCs w:val="21"/>
              </w:rPr>
              <w:t>小型项目</w:t>
            </w:r>
          </w:p>
          <w:p>
            <w:pPr>
              <w:spacing w:line="360" w:lineRule="auto"/>
              <w:rPr>
                <w:color w:val="000000"/>
                <w:szCs w:val="21"/>
              </w:rPr>
            </w:pPr>
            <w:r>
              <w:rPr>
                <w:color w:val="000000"/>
                <w:szCs w:val="21"/>
              </w:rPr>
              <w:t>（2）考核期内完成过类似工程项目：</w:t>
            </w:r>
          </w:p>
          <w:p>
            <w:pPr>
              <w:spacing w:line="360" w:lineRule="auto"/>
              <w:rPr>
                <w:color w:val="000000"/>
                <w:szCs w:val="21"/>
              </w:rPr>
            </w:pPr>
            <w:r>
              <w:rPr>
                <w:rFonts w:hint="eastAsia"/>
                <w:color w:val="000000"/>
                <w:szCs w:val="21"/>
              </w:rPr>
              <w:t>（</w:t>
            </w:r>
            <w:r>
              <w:rPr>
                <w:color w:val="000000"/>
                <w:szCs w:val="21"/>
              </w:rPr>
              <w:t>3</w:t>
            </w:r>
            <w:r>
              <w:rPr>
                <w:rFonts w:hint="eastAsia"/>
                <w:color w:val="000000"/>
                <w:szCs w:val="21"/>
              </w:rPr>
              <w:t>）考核期内承接过类似工程项目（</w:t>
            </w:r>
            <w:r>
              <w:rPr>
                <w:color w:val="000000"/>
                <w:szCs w:val="21"/>
              </w:rPr>
              <w:t>招标人定是否考核）</w:t>
            </w: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952" w:type="dxa"/>
            <w:gridSpan w:val="2"/>
            <w:vMerge w:val="continue"/>
            <w:noWrap w:val="0"/>
            <w:vAlign w:val="center"/>
          </w:tcPr>
          <w:p>
            <w:pPr>
              <w:spacing w:line="360" w:lineRule="auto"/>
              <w:jc w:val="center"/>
              <w:rPr>
                <w:color w:val="000000"/>
                <w:szCs w:val="21"/>
              </w:rPr>
            </w:pPr>
          </w:p>
        </w:tc>
        <w:tc>
          <w:tcPr>
            <w:tcW w:w="1373" w:type="dxa"/>
            <w:vMerge w:val="continue"/>
            <w:noWrap w:val="0"/>
            <w:vAlign w:val="center"/>
          </w:tcPr>
          <w:p>
            <w:pPr>
              <w:spacing w:line="360" w:lineRule="auto"/>
              <w:jc w:val="center"/>
              <w:rPr>
                <w:color w:val="000000"/>
                <w:szCs w:val="21"/>
              </w:rPr>
            </w:pPr>
          </w:p>
        </w:tc>
        <w:tc>
          <w:tcPr>
            <w:tcW w:w="449" w:type="dxa"/>
            <w:vMerge w:val="continue"/>
            <w:noWrap w:val="0"/>
            <w:vAlign w:val="center"/>
          </w:tcPr>
          <w:p>
            <w:pPr>
              <w:spacing w:line="360" w:lineRule="auto"/>
              <w:jc w:val="center"/>
              <w:rPr>
                <w:color w:val="000000"/>
                <w:szCs w:val="21"/>
              </w:rPr>
            </w:pPr>
          </w:p>
        </w:tc>
        <w:tc>
          <w:tcPr>
            <w:tcW w:w="2572" w:type="dxa"/>
            <w:gridSpan w:val="4"/>
            <w:noWrap w:val="0"/>
            <w:vAlign w:val="center"/>
          </w:tcPr>
          <w:p>
            <w:pPr>
              <w:spacing w:line="360" w:lineRule="auto"/>
              <w:rPr>
                <w:color w:val="000000"/>
                <w:szCs w:val="21"/>
              </w:rPr>
            </w:pPr>
            <w:r>
              <w:rPr>
                <w:color w:val="000000"/>
                <w:szCs w:val="21"/>
              </w:rPr>
              <w:t>（二）</w:t>
            </w:r>
            <w:r>
              <w:rPr>
                <w:rFonts w:hint="eastAsia"/>
                <w:color w:val="000000"/>
                <w:szCs w:val="21"/>
              </w:rPr>
              <w:t>企业信誉实力分评分标准【满分分值权重（5~15%）【备注：招标项目如为国有投资（含国有投资占主导或控股地位）项目则须计入此分，其他工程由招标人自行决定是否参照执行。】</w:t>
            </w:r>
          </w:p>
        </w:tc>
        <w:tc>
          <w:tcPr>
            <w:tcW w:w="4359" w:type="dxa"/>
            <w:noWrap w:val="0"/>
            <w:vAlign w:val="top"/>
          </w:tcPr>
          <w:p>
            <w:pPr>
              <w:spacing w:line="360" w:lineRule="auto"/>
              <w:rPr>
                <w:color w:val="FF0000"/>
                <w:szCs w:val="21"/>
              </w:rPr>
            </w:pPr>
            <w:r>
              <w:rPr>
                <w:rFonts w:hint="eastAsia"/>
                <w:color w:val="FF0000"/>
                <w:szCs w:val="21"/>
              </w:rPr>
              <w:t>一、施工单位企业信誉实力：</w:t>
            </w:r>
            <w:r>
              <w:rPr>
                <w:rFonts w:hint="eastAsia"/>
                <w:color w:val="FF0000"/>
                <w:szCs w:val="21"/>
              </w:rPr>
              <w:cr/>
            </w:r>
            <w:r>
              <w:rPr>
                <w:rFonts w:hint="eastAsia"/>
                <w:color w:val="FF0000"/>
                <w:szCs w:val="21"/>
              </w:rPr>
              <w:t>企业信誉实力得分的确定（联合体参与投标的，联合体的信誉实力分按联合体成员中负责本项目房建、市政内容施工的施工企业诚信综合评价分最低的企业认定）：</w:t>
            </w:r>
          </w:p>
          <w:p>
            <w:pPr>
              <w:spacing w:line="360" w:lineRule="auto"/>
              <w:rPr>
                <w:color w:val="FF0000"/>
                <w:szCs w:val="21"/>
              </w:rPr>
            </w:pPr>
            <w:r>
              <w:rPr>
                <w:rFonts w:hint="eastAsia"/>
                <w:color w:val="FF0000"/>
                <w:szCs w:val="21"/>
              </w:rPr>
              <w:t>施工企业信誉实力加权得分=根据实时公布的自治区级诚信综合评价分（百分制）×</w:t>
            </w:r>
            <w:r>
              <w:rPr>
                <w:rFonts w:hint="eastAsia"/>
                <w:color w:val="FF0000"/>
                <w:szCs w:val="21"/>
                <w:u w:val="single"/>
              </w:rPr>
              <w:t xml:space="preserve">    </w:t>
            </w:r>
            <w:r>
              <w:rPr>
                <w:rFonts w:hint="eastAsia"/>
                <w:color w:val="FF0000"/>
                <w:szCs w:val="21"/>
              </w:rPr>
              <w:t>%（取50%-100%）×企业信誉实力分分值权重+根据实时公布的项目所在地设区市级诚信综合评价分（百分制）×</w:t>
            </w:r>
            <w:r>
              <w:rPr>
                <w:rFonts w:hint="eastAsia"/>
                <w:color w:val="FF0000"/>
                <w:szCs w:val="21"/>
                <w:u w:val="single"/>
              </w:rPr>
              <w:t xml:space="preserve">    </w:t>
            </w:r>
            <w:r>
              <w:rPr>
                <w:rFonts w:hint="eastAsia"/>
                <w:color w:val="FF0000"/>
                <w:szCs w:val="21"/>
              </w:rPr>
              <w:t>%（取50%-0）×企业信誉实力分分值权重【备注：自治区级诚信综合评价分占比与项目所在地设区市级诚信综合评价分占比之和为100%，具体权重由各设区市在比例范围内在发出招标文件前自行决定，把确定后的比例填入招标文件内】 注：自治区级诚信综合评价分由评委在广西建筑市场监管与诚信信息一体化平台信息发布的诚信评分公示栏目中查询。项目所在地设区市级诚信综合评价分由评委在 </w:t>
            </w:r>
            <w:r>
              <w:rPr>
                <w:rFonts w:hint="eastAsia"/>
                <w:color w:val="FF0000"/>
                <w:szCs w:val="21"/>
                <w:u w:val="single"/>
              </w:rPr>
              <w:t xml:space="preserve">              </w:t>
            </w:r>
            <w:r>
              <w:rPr>
                <w:rFonts w:hint="eastAsia"/>
                <w:color w:val="FF0000"/>
                <w:szCs w:val="21"/>
              </w:rPr>
              <w:t>中查询。</w:t>
            </w:r>
          </w:p>
          <w:p>
            <w:pPr>
              <w:spacing w:line="360" w:lineRule="auto"/>
              <w:rPr>
                <w:color w:val="FF0000"/>
                <w:szCs w:val="21"/>
              </w:rPr>
            </w:pPr>
            <w:r>
              <w:rPr>
                <w:rFonts w:hint="eastAsia"/>
                <w:color w:val="FF0000"/>
                <w:szCs w:val="21"/>
              </w:rPr>
              <w:t>二、设计企业信誉实力（设计获奖情况）：企业信誉实力得分的确定（联合体参与投标的，联合体的信誉实力分按联合体成员中负责设计的设计企业获奖分最低的企业认定）：设计获奖情况：“优秀工程勘察设计成果奖”，是指由各级住房城乡建设主管部门评定的优秀工程勘察设计成果奖项，其他奖项均不计分，全国的每个得5分，省级的每个得3分，设区市级的每个得1分。其中“国家级”，指“全国优秀工程勘察设计金（银、铜）奖或全国优秀工程勘察设计一、二、三等奖”。</w:t>
            </w:r>
            <w:r>
              <w:rPr>
                <w:rFonts w:hint="eastAsia"/>
                <w:color w:val="FF0000"/>
                <w:szCs w:val="21"/>
              </w:rPr>
              <w:cr/>
            </w:r>
            <w:r>
              <w:rPr>
                <w:rFonts w:hint="eastAsia"/>
                <w:color w:val="FF0000"/>
                <w:szCs w:val="21"/>
              </w:rPr>
              <w:t>设计企业信誉实力加权得分=设计获奖总得分（满分为100分）×企业信誉实力分分值权重</w:t>
            </w:r>
            <w:r>
              <w:rPr>
                <w:rFonts w:hint="eastAsia"/>
                <w:color w:val="FF0000"/>
                <w:szCs w:val="21"/>
              </w:rPr>
              <w:cr/>
            </w:r>
            <w:r>
              <w:rPr>
                <w:rFonts w:hint="eastAsia"/>
                <w:color w:val="FF0000"/>
                <w:szCs w:val="21"/>
              </w:rPr>
              <w:t>□企业信誉实力加权得分=80%×施工企业信誉实力加权得分+20%×设计企业信誉实力加权得分(由招标人勾选)</w:t>
            </w:r>
          </w:p>
          <w:p>
            <w:pPr>
              <w:spacing w:line="360" w:lineRule="auto"/>
              <w:rPr>
                <w:rFonts w:hint="eastAsia"/>
                <w:color w:val="000000"/>
                <w:szCs w:val="21"/>
              </w:rPr>
            </w:pPr>
            <w:r>
              <w:rPr>
                <w:rFonts w:hint="eastAsia"/>
                <w:color w:val="FF0000"/>
                <w:szCs w:val="21"/>
              </w:rPr>
              <w:t>□企业信誉实力加权得分=70%×施工企业信誉实力加权得分+30%×设计企业信誉实力加权得分(由招标人勾选)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952" w:type="dxa"/>
            <w:gridSpan w:val="2"/>
            <w:vMerge w:val="continue"/>
            <w:noWrap w:val="0"/>
            <w:vAlign w:val="center"/>
          </w:tcPr>
          <w:p>
            <w:pPr>
              <w:spacing w:line="360" w:lineRule="auto"/>
              <w:jc w:val="center"/>
              <w:rPr>
                <w:color w:val="000000"/>
                <w:szCs w:val="21"/>
              </w:rPr>
            </w:pPr>
          </w:p>
        </w:tc>
        <w:tc>
          <w:tcPr>
            <w:tcW w:w="1373" w:type="dxa"/>
            <w:vMerge w:val="continue"/>
            <w:noWrap w:val="0"/>
            <w:vAlign w:val="center"/>
          </w:tcPr>
          <w:p>
            <w:pPr>
              <w:spacing w:line="360" w:lineRule="auto"/>
              <w:jc w:val="center"/>
              <w:rPr>
                <w:color w:val="000000"/>
                <w:szCs w:val="21"/>
              </w:rPr>
            </w:pPr>
          </w:p>
        </w:tc>
        <w:tc>
          <w:tcPr>
            <w:tcW w:w="449" w:type="dxa"/>
            <w:vMerge w:val="continue"/>
            <w:noWrap w:val="0"/>
            <w:vAlign w:val="center"/>
          </w:tcPr>
          <w:p>
            <w:pPr>
              <w:spacing w:line="360" w:lineRule="auto"/>
              <w:jc w:val="center"/>
              <w:rPr>
                <w:color w:val="000000"/>
                <w:szCs w:val="21"/>
              </w:rPr>
            </w:pPr>
          </w:p>
        </w:tc>
        <w:tc>
          <w:tcPr>
            <w:tcW w:w="2572" w:type="dxa"/>
            <w:gridSpan w:val="4"/>
            <w:noWrap w:val="0"/>
            <w:vAlign w:val="center"/>
          </w:tcPr>
          <w:p>
            <w:pPr>
              <w:spacing w:line="360" w:lineRule="auto"/>
              <w:rPr>
                <w:color w:val="000000"/>
                <w:szCs w:val="21"/>
              </w:rPr>
            </w:pPr>
            <w:r>
              <w:rPr>
                <w:color w:val="000000"/>
                <w:szCs w:val="21"/>
              </w:rPr>
              <w:t>（三）</w:t>
            </w:r>
            <w:r>
              <w:rPr>
                <w:rFonts w:hint="eastAsia"/>
                <w:color w:val="000000"/>
                <w:szCs w:val="21"/>
              </w:rPr>
              <w:t>工程总承包项目经理</w:t>
            </w:r>
          </w:p>
          <w:p>
            <w:pPr>
              <w:spacing w:line="360" w:lineRule="auto"/>
              <w:rPr>
                <w:color w:val="000000"/>
                <w:szCs w:val="21"/>
              </w:rPr>
            </w:pPr>
            <w:r>
              <w:rPr>
                <w:color w:val="000000"/>
                <w:szCs w:val="21"/>
              </w:rPr>
              <w:t>（满分</w:t>
            </w:r>
            <w:r>
              <w:rPr>
                <w:color w:val="000000"/>
                <w:u w:val="single"/>
              </w:rPr>
              <w:t xml:space="preserve"> 15~20</w:t>
            </w:r>
            <w:r>
              <w:rPr>
                <w:color w:val="000000"/>
                <w:szCs w:val="21"/>
              </w:rPr>
              <w:t>分）</w:t>
            </w:r>
          </w:p>
        </w:tc>
        <w:tc>
          <w:tcPr>
            <w:tcW w:w="4359" w:type="dxa"/>
            <w:noWrap w:val="0"/>
            <w:vAlign w:val="top"/>
          </w:tcPr>
          <w:p>
            <w:pPr>
              <w:spacing w:line="360" w:lineRule="auto"/>
              <w:rPr>
                <w:rFonts w:hint="eastAsia"/>
                <w:color w:val="000000"/>
                <w:szCs w:val="21"/>
              </w:rPr>
            </w:pPr>
            <w:r>
              <w:rPr>
                <w:rFonts w:hint="eastAsia"/>
                <w:color w:val="000000"/>
                <w:szCs w:val="21"/>
              </w:rPr>
              <w:t>（1）工程总承包项目经理职称：</w:t>
            </w:r>
          </w:p>
          <w:p>
            <w:pPr>
              <w:spacing w:line="360" w:lineRule="auto"/>
              <w:rPr>
                <w:rFonts w:hint="eastAsia"/>
                <w:color w:val="000000"/>
                <w:szCs w:val="21"/>
              </w:rPr>
            </w:pPr>
            <w:r>
              <w:rPr>
                <w:rFonts w:hint="eastAsia" w:ascii="宋体" w:hAnsi="宋体"/>
                <w:color w:val="000000"/>
                <w:szCs w:val="21"/>
              </w:rPr>
              <w:t>（2）</w:t>
            </w:r>
            <w:r>
              <w:rPr>
                <w:rFonts w:hint="eastAsia"/>
                <w:color w:val="000000"/>
                <w:szCs w:val="21"/>
              </w:rPr>
              <w:t>工程总承包项目经理资格：</w:t>
            </w:r>
          </w:p>
          <w:p>
            <w:pPr>
              <w:spacing w:line="360" w:lineRule="auto"/>
              <w:rPr>
                <w:rFonts w:hint="eastAsia"/>
                <w:color w:val="000000"/>
                <w:szCs w:val="21"/>
              </w:rPr>
            </w:pPr>
            <w:r>
              <w:rPr>
                <w:color w:val="000000"/>
                <w:szCs w:val="21"/>
              </w:rPr>
              <w:t>（</w:t>
            </w:r>
            <w:r>
              <w:rPr>
                <w:rFonts w:hint="eastAsia"/>
                <w:color w:val="000000"/>
                <w:szCs w:val="21"/>
              </w:rPr>
              <w:t>3</w:t>
            </w:r>
            <w:r>
              <w:rPr>
                <w:color w:val="000000"/>
                <w:szCs w:val="21"/>
              </w:rPr>
              <w:t>）</w:t>
            </w:r>
            <w:r>
              <w:rPr>
                <w:rFonts w:hint="eastAsia"/>
                <w:color w:val="000000"/>
                <w:szCs w:val="21"/>
              </w:rPr>
              <w:t>工程总承包项目经理业绩：</w:t>
            </w:r>
          </w:p>
          <w:p>
            <w:pPr>
              <w:spacing w:line="360" w:lineRule="auto"/>
              <w:rPr>
                <w:rFonts w:hint="eastAsia"/>
                <w:color w:val="000000"/>
                <w:szCs w:val="21"/>
              </w:rPr>
            </w:pPr>
            <w:r>
              <w:rPr>
                <w:rFonts w:hint="eastAsia"/>
                <w:color w:val="000000"/>
                <w:szCs w:val="21"/>
              </w:rPr>
              <w:t>（4）工程总承包项目经理获奖情况：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952" w:type="dxa"/>
            <w:gridSpan w:val="2"/>
            <w:vMerge w:val="continue"/>
            <w:noWrap w:val="0"/>
            <w:vAlign w:val="center"/>
          </w:tcPr>
          <w:p>
            <w:pPr>
              <w:spacing w:line="360" w:lineRule="auto"/>
              <w:jc w:val="center"/>
              <w:rPr>
                <w:color w:val="000000"/>
                <w:szCs w:val="21"/>
              </w:rPr>
            </w:pPr>
          </w:p>
        </w:tc>
        <w:tc>
          <w:tcPr>
            <w:tcW w:w="1373" w:type="dxa"/>
            <w:vMerge w:val="continue"/>
            <w:noWrap w:val="0"/>
            <w:vAlign w:val="center"/>
          </w:tcPr>
          <w:p>
            <w:pPr>
              <w:spacing w:line="360" w:lineRule="auto"/>
              <w:jc w:val="center"/>
              <w:rPr>
                <w:color w:val="000000"/>
                <w:szCs w:val="21"/>
              </w:rPr>
            </w:pPr>
          </w:p>
        </w:tc>
        <w:tc>
          <w:tcPr>
            <w:tcW w:w="449" w:type="dxa"/>
            <w:vMerge w:val="continue"/>
            <w:noWrap w:val="0"/>
            <w:vAlign w:val="center"/>
          </w:tcPr>
          <w:p>
            <w:pPr>
              <w:spacing w:line="360" w:lineRule="auto"/>
              <w:jc w:val="center"/>
              <w:rPr>
                <w:color w:val="000000"/>
                <w:szCs w:val="21"/>
              </w:rPr>
            </w:pPr>
          </w:p>
        </w:tc>
        <w:tc>
          <w:tcPr>
            <w:tcW w:w="2572" w:type="dxa"/>
            <w:gridSpan w:val="4"/>
            <w:noWrap w:val="0"/>
            <w:vAlign w:val="center"/>
          </w:tcPr>
          <w:p>
            <w:pPr>
              <w:spacing w:line="360" w:lineRule="auto"/>
              <w:rPr>
                <w:color w:val="000000"/>
                <w:szCs w:val="21"/>
              </w:rPr>
            </w:pPr>
            <w:r>
              <w:rPr>
                <w:color w:val="000000"/>
                <w:szCs w:val="21"/>
              </w:rPr>
              <w:t>（四）</w:t>
            </w:r>
            <w:r>
              <w:rPr>
                <w:rFonts w:hint="eastAsia"/>
                <w:color w:val="000000"/>
                <w:szCs w:val="21"/>
              </w:rPr>
              <w:t>项目设计负责人、施工</w:t>
            </w:r>
            <w:r>
              <w:rPr>
                <w:color w:val="000000"/>
                <w:szCs w:val="21"/>
              </w:rPr>
              <w:t>项目经理情</w:t>
            </w:r>
            <w:r>
              <w:rPr>
                <w:rFonts w:hint="eastAsia"/>
                <w:color w:val="000000"/>
                <w:szCs w:val="21"/>
              </w:rPr>
              <w:t>况</w:t>
            </w:r>
            <w:r>
              <w:rPr>
                <w:color w:val="000000"/>
                <w:szCs w:val="21"/>
              </w:rPr>
              <w:t>（满分</w:t>
            </w:r>
            <w:r>
              <w:rPr>
                <w:color w:val="000000"/>
                <w:u w:val="single"/>
              </w:rPr>
              <w:t>10~15</w:t>
            </w:r>
            <w:r>
              <w:rPr>
                <w:color w:val="000000"/>
                <w:szCs w:val="21"/>
              </w:rPr>
              <w:t>分）</w:t>
            </w:r>
          </w:p>
        </w:tc>
        <w:tc>
          <w:tcPr>
            <w:tcW w:w="4359" w:type="dxa"/>
            <w:noWrap w:val="0"/>
            <w:vAlign w:val="center"/>
          </w:tcPr>
          <w:p>
            <w:pPr>
              <w:spacing w:line="360" w:lineRule="auto"/>
              <w:rPr>
                <w:color w:val="000000"/>
                <w:szCs w:val="21"/>
              </w:rPr>
            </w:pPr>
            <w:r>
              <w:rPr>
                <w:color w:val="000000"/>
                <w:szCs w:val="21"/>
              </w:rPr>
              <w:t>（1）</w:t>
            </w:r>
            <w:r>
              <w:rPr>
                <w:rFonts w:hint="eastAsia"/>
                <w:color w:val="000000"/>
                <w:szCs w:val="21"/>
              </w:rPr>
              <w:t>项目设计负责人、施工</w:t>
            </w:r>
            <w:r>
              <w:rPr>
                <w:color w:val="000000"/>
                <w:szCs w:val="21"/>
              </w:rPr>
              <w:t>项目经理职称：</w:t>
            </w:r>
          </w:p>
          <w:p>
            <w:pPr>
              <w:spacing w:line="360" w:lineRule="auto"/>
              <w:rPr>
                <w:color w:val="000000"/>
                <w:szCs w:val="21"/>
              </w:rPr>
            </w:pPr>
            <w:r>
              <w:rPr>
                <w:color w:val="000000"/>
                <w:szCs w:val="21"/>
              </w:rPr>
              <w:t>（2）</w:t>
            </w:r>
            <w:r>
              <w:rPr>
                <w:rFonts w:hint="eastAsia"/>
                <w:color w:val="000000"/>
                <w:szCs w:val="21"/>
              </w:rPr>
              <w:t>项目设计负责人、施工</w:t>
            </w:r>
            <w:r>
              <w:rPr>
                <w:color w:val="000000"/>
                <w:szCs w:val="21"/>
              </w:rPr>
              <w:t>项目经理</w:t>
            </w:r>
            <w:r>
              <w:rPr>
                <w:rFonts w:hint="eastAsia"/>
                <w:color w:val="000000"/>
                <w:szCs w:val="21"/>
              </w:rPr>
              <w:t>资格</w:t>
            </w:r>
            <w:r>
              <w:rPr>
                <w:color w:val="000000"/>
                <w:szCs w:val="21"/>
              </w:rPr>
              <w:t>：</w:t>
            </w:r>
          </w:p>
          <w:p>
            <w:pPr>
              <w:spacing w:line="360" w:lineRule="auto"/>
              <w:rPr>
                <w:rFonts w:hint="eastAsia"/>
                <w:color w:val="000000"/>
                <w:szCs w:val="21"/>
              </w:rPr>
            </w:pPr>
            <w:r>
              <w:rPr>
                <w:color w:val="000000"/>
                <w:szCs w:val="21"/>
              </w:rPr>
              <w:t>（3）</w:t>
            </w:r>
            <w:r>
              <w:rPr>
                <w:rFonts w:hint="eastAsia"/>
                <w:color w:val="000000"/>
                <w:szCs w:val="21"/>
              </w:rPr>
              <w:t>项目设计负责人、施工</w:t>
            </w:r>
            <w:r>
              <w:rPr>
                <w:color w:val="000000"/>
                <w:szCs w:val="21"/>
              </w:rPr>
              <w:t>项目经理业绩：</w:t>
            </w:r>
          </w:p>
          <w:p>
            <w:pPr>
              <w:spacing w:line="360" w:lineRule="auto"/>
              <w:rPr>
                <w:rFonts w:hint="eastAsia"/>
                <w:color w:val="000000"/>
                <w:szCs w:val="21"/>
              </w:rPr>
            </w:pP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952" w:type="dxa"/>
            <w:gridSpan w:val="2"/>
            <w:vMerge w:val="continue"/>
            <w:noWrap w:val="0"/>
            <w:vAlign w:val="center"/>
          </w:tcPr>
          <w:p>
            <w:pPr>
              <w:spacing w:line="360" w:lineRule="auto"/>
              <w:jc w:val="center"/>
              <w:rPr>
                <w:color w:val="000000"/>
                <w:szCs w:val="21"/>
              </w:rPr>
            </w:pPr>
          </w:p>
        </w:tc>
        <w:tc>
          <w:tcPr>
            <w:tcW w:w="1373" w:type="dxa"/>
            <w:vMerge w:val="continue"/>
            <w:noWrap w:val="0"/>
            <w:vAlign w:val="center"/>
          </w:tcPr>
          <w:p>
            <w:pPr>
              <w:spacing w:line="360" w:lineRule="auto"/>
              <w:jc w:val="center"/>
              <w:rPr>
                <w:color w:val="000000"/>
                <w:szCs w:val="21"/>
              </w:rPr>
            </w:pPr>
          </w:p>
        </w:tc>
        <w:tc>
          <w:tcPr>
            <w:tcW w:w="449" w:type="dxa"/>
            <w:vMerge w:val="continue"/>
            <w:noWrap w:val="0"/>
            <w:vAlign w:val="center"/>
          </w:tcPr>
          <w:p>
            <w:pPr>
              <w:spacing w:line="360" w:lineRule="auto"/>
              <w:jc w:val="center"/>
              <w:rPr>
                <w:color w:val="000000"/>
                <w:szCs w:val="21"/>
              </w:rPr>
            </w:pPr>
          </w:p>
        </w:tc>
        <w:tc>
          <w:tcPr>
            <w:tcW w:w="2572" w:type="dxa"/>
            <w:gridSpan w:val="4"/>
            <w:noWrap w:val="0"/>
            <w:vAlign w:val="center"/>
          </w:tcPr>
          <w:p>
            <w:pPr>
              <w:spacing w:line="360" w:lineRule="auto"/>
              <w:rPr>
                <w:color w:val="000000"/>
                <w:szCs w:val="21"/>
              </w:rPr>
            </w:pPr>
            <w:r>
              <w:rPr>
                <w:color w:val="000000"/>
                <w:szCs w:val="21"/>
              </w:rPr>
              <w:t>（五）拟投入本工程管理</w:t>
            </w:r>
            <w:r>
              <w:rPr>
                <w:rFonts w:hint="eastAsia"/>
                <w:color w:val="000000"/>
                <w:szCs w:val="21"/>
              </w:rPr>
              <w:t>的其他</w:t>
            </w:r>
            <w:r>
              <w:rPr>
                <w:color w:val="000000"/>
                <w:szCs w:val="21"/>
              </w:rPr>
              <w:t>人员情况（满分</w:t>
            </w:r>
            <w:r>
              <w:rPr>
                <w:color w:val="000000"/>
                <w:u w:val="single"/>
              </w:rPr>
              <w:t>10~15</w:t>
            </w:r>
            <w:r>
              <w:rPr>
                <w:color w:val="000000"/>
                <w:szCs w:val="21"/>
              </w:rPr>
              <w:t>分）</w:t>
            </w:r>
          </w:p>
        </w:tc>
        <w:tc>
          <w:tcPr>
            <w:tcW w:w="4359" w:type="dxa"/>
            <w:noWrap w:val="0"/>
            <w:vAlign w:val="center"/>
          </w:tcPr>
          <w:p>
            <w:pPr>
              <w:spacing w:line="360" w:lineRule="auto"/>
              <w:rPr>
                <w:rFonts w:hint="eastAsia"/>
                <w:color w:val="000000"/>
                <w:szCs w:val="21"/>
              </w:rPr>
            </w:pPr>
            <w:r>
              <w:rPr>
                <w:rFonts w:hint="eastAsia"/>
                <w:color w:val="000000"/>
                <w:szCs w:val="21"/>
              </w:rPr>
              <w:t>包括设计人员，合同管理、质量管理、施工管理、成本管理、安全管理、材料采购及信息管理等人员的专业、职称、资格等。（注:设优、良、中、差，并对各评分等级设置一个具体分值，不设评分区间）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952" w:type="dxa"/>
            <w:gridSpan w:val="2"/>
            <w:vMerge w:val="continue"/>
            <w:noWrap w:val="0"/>
            <w:vAlign w:val="center"/>
          </w:tcPr>
          <w:p>
            <w:pPr>
              <w:spacing w:line="360" w:lineRule="auto"/>
              <w:jc w:val="center"/>
              <w:rPr>
                <w:color w:val="000000"/>
                <w:szCs w:val="21"/>
              </w:rPr>
            </w:pPr>
          </w:p>
        </w:tc>
        <w:tc>
          <w:tcPr>
            <w:tcW w:w="1373" w:type="dxa"/>
            <w:vMerge w:val="continue"/>
            <w:noWrap w:val="0"/>
            <w:vAlign w:val="center"/>
          </w:tcPr>
          <w:p>
            <w:pPr>
              <w:spacing w:line="360" w:lineRule="auto"/>
              <w:jc w:val="center"/>
              <w:rPr>
                <w:color w:val="000000"/>
                <w:szCs w:val="21"/>
              </w:rPr>
            </w:pPr>
          </w:p>
        </w:tc>
        <w:tc>
          <w:tcPr>
            <w:tcW w:w="449" w:type="dxa"/>
            <w:vMerge w:val="continue"/>
            <w:noWrap w:val="0"/>
            <w:vAlign w:val="center"/>
          </w:tcPr>
          <w:p>
            <w:pPr>
              <w:spacing w:line="360" w:lineRule="auto"/>
              <w:jc w:val="center"/>
              <w:rPr>
                <w:color w:val="000000"/>
                <w:szCs w:val="21"/>
              </w:rPr>
            </w:pPr>
          </w:p>
        </w:tc>
        <w:tc>
          <w:tcPr>
            <w:tcW w:w="2572" w:type="dxa"/>
            <w:gridSpan w:val="4"/>
            <w:noWrap w:val="0"/>
            <w:vAlign w:val="center"/>
          </w:tcPr>
          <w:p>
            <w:pPr>
              <w:spacing w:line="360" w:lineRule="auto"/>
              <w:rPr>
                <w:color w:val="000000"/>
                <w:szCs w:val="21"/>
              </w:rPr>
            </w:pPr>
            <w:r>
              <w:rPr>
                <w:color w:val="000000"/>
                <w:szCs w:val="21"/>
              </w:rPr>
              <w:t>（六）拟投入施工机械设备</w:t>
            </w:r>
            <w:r>
              <w:rPr>
                <w:rFonts w:hint="eastAsia"/>
                <w:color w:val="000000"/>
                <w:szCs w:val="21"/>
              </w:rPr>
              <w:t>、拟配备本工程的试验和检测仪器设备</w:t>
            </w:r>
            <w:r>
              <w:rPr>
                <w:color w:val="000000"/>
                <w:szCs w:val="21"/>
              </w:rPr>
              <w:t>（满分</w:t>
            </w:r>
            <w:r>
              <w:rPr>
                <w:color w:val="000000"/>
                <w:u w:val="single"/>
              </w:rPr>
              <w:t xml:space="preserve"> 5~7</w:t>
            </w:r>
            <w:r>
              <w:rPr>
                <w:color w:val="000000"/>
                <w:szCs w:val="21"/>
              </w:rPr>
              <w:t>分）</w:t>
            </w:r>
          </w:p>
        </w:tc>
        <w:tc>
          <w:tcPr>
            <w:tcW w:w="4359" w:type="dxa"/>
            <w:noWrap w:val="0"/>
            <w:vAlign w:val="center"/>
          </w:tcPr>
          <w:p>
            <w:pPr>
              <w:spacing w:line="360" w:lineRule="auto"/>
              <w:rPr>
                <w:color w:val="000000"/>
                <w:szCs w:val="21"/>
              </w:rPr>
            </w:pPr>
            <w:r>
              <w:rPr>
                <w:rFonts w:hint="eastAsia"/>
                <w:bCs/>
                <w:color w:val="000000"/>
                <w:szCs w:val="21"/>
              </w:rPr>
              <w:t>投入的施工机械、设备、机具有详细的组织计划且计划周密，设备数量、选型配置、进场时间安排合理，满足施工需要。（注:设优、良、中、差，并对各评分等级设置一个具体分值，不设评分区间）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1952" w:type="dxa"/>
            <w:gridSpan w:val="2"/>
            <w:vMerge w:val="continue"/>
            <w:noWrap w:val="0"/>
            <w:vAlign w:val="center"/>
          </w:tcPr>
          <w:p>
            <w:pPr>
              <w:spacing w:line="360" w:lineRule="auto"/>
              <w:jc w:val="center"/>
              <w:rPr>
                <w:color w:val="000000"/>
                <w:szCs w:val="21"/>
              </w:rPr>
            </w:pPr>
          </w:p>
        </w:tc>
        <w:tc>
          <w:tcPr>
            <w:tcW w:w="1373" w:type="dxa"/>
            <w:vMerge w:val="continue"/>
            <w:noWrap w:val="0"/>
            <w:vAlign w:val="center"/>
          </w:tcPr>
          <w:p>
            <w:pPr>
              <w:spacing w:line="360" w:lineRule="auto"/>
              <w:jc w:val="center"/>
              <w:rPr>
                <w:color w:val="000000"/>
                <w:szCs w:val="21"/>
              </w:rPr>
            </w:pPr>
          </w:p>
        </w:tc>
        <w:tc>
          <w:tcPr>
            <w:tcW w:w="449" w:type="dxa"/>
            <w:vMerge w:val="continue"/>
            <w:noWrap w:val="0"/>
            <w:vAlign w:val="center"/>
          </w:tcPr>
          <w:p>
            <w:pPr>
              <w:spacing w:line="360" w:lineRule="auto"/>
              <w:jc w:val="center"/>
              <w:rPr>
                <w:color w:val="000000"/>
                <w:szCs w:val="21"/>
              </w:rPr>
            </w:pPr>
          </w:p>
        </w:tc>
        <w:tc>
          <w:tcPr>
            <w:tcW w:w="2572" w:type="dxa"/>
            <w:gridSpan w:val="4"/>
            <w:noWrap w:val="0"/>
            <w:vAlign w:val="center"/>
          </w:tcPr>
          <w:p>
            <w:pPr>
              <w:spacing w:line="360" w:lineRule="auto"/>
              <w:rPr>
                <w:color w:val="000000"/>
                <w:szCs w:val="21"/>
              </w:rPr>
            </w:pPr>
            <w:r>
              <w:rPr>
                <w:color w:val="000000"/>
                <w:szCs w:val="21"/>
              </w:rPr>
              <w:t>（七）企业财务状况（满分</w:t>
            </w:r>
            <w:r>
              <w:rPr>
                <w:color w:val="000000"/>
                <w:u w:val="single"/>
              </w:rPr>
              <w:t>3~5</w:t>
            </w:r>
            <w:r>
              <w:rPr>
                <w:color w:val="000000"/>
                <w:szCs w:val="21"/>
              </w:rPr>
              <w:t>分）</w:t>
            </w:r>
          </w:p>
        </w:tc>
        <w:tc>
          <w:tcPr>
            <w:tcW w:w="4359" w:type="dxa"/>
            <w:noWrap w:val="0"/>
            <w:vAlign w:val="top"/>
          </w:tcPr>
          <w:p>
            <w:pPr>
              <w:spacing w:line="360" w:lineRule="auto"/>
              <w:rPr>
                <w:color w:val="000000"/>
              </w:rPr>
            </w:pPr>
            <w:r>
              <w:rPr>
                <w:rFonts w:hint="eastAsia"/>
                <w:color w:val="000000"/>
                <w:szCs w:val="21"/>
              </w:rPr>
              <w:t>（1）</w:t>
            </w:r>
            <w:r>
              <w:rPr>
                <w:rFonts w:hint="eastAsia"/>
                <w:color w:val="000000"/>
              </w:rPr>
              <w:t>提供</w:t>
            </w:r>
            <w:r>
              <w:rPr>
                <w:rFonts w:hint="eastAsia"/>
                <w:color w:val="000000"/>
                <w:u w:val="single"/>
              </w:rPr>
              <w:t xml:space="preserve">  </w:t>
            </w:r>
            <w:r>
              <w:rPr>
                <w:color w:val="000000"/>
                <w:u w:val="single"/>
              </w:rPr>
              <w:t xml:space="preserve">   </w:t>
            </w:r>
            <w:r>
              <w:rPr>
                <w:rFonts w:hint="eastAsia"/>
                <w:color w:val="000000"/>
                <w:u w:val="single"/>
              </w:rPr>
              <w:t xml:space="preserve"> </w:t>
            </w:r>
            <w:r>
              <w:rPr>
                <w:rFonts w:hint="eastAsia"/>
                <w:color w:val="000000"/>
              </w:rPr>
              <w:t>年至</w:t>
            </w:r>
            <w:r>
              <w:rPr>
                <w:rFonts w:hint="eastAsia"/>
                <w:color w:val="000000"/>
                <w:u w:val="single"/>
              </w:rPr>
              <w:t xml:space="preserve"> </w:t>
            </w:r>
            <w:r>
              <w:rPr>
                <w:color w:val="000000"/>
                <w:u w:val="single"/>
              </w:rPr>
              <w:t xml:space="preserve">   </w:t>
            </w:r>
            <w:r>
              <w:rPr>
                <w:rFonts w:hint="eastAsia"/>
                <w:color w:val="000000"/>
                <w:u w:val="single"/>
              </w:rPr>
              <w:t xml:space="preserve">  </w:t>
            </w:r>
            <w:r>
              <w:rPr>
                <w:rFonts w:hint="eastAsia"/>
                <w:color w:val="000000"/>
              </w:rPr>
              <w:t>年（同</w:t>
            </w:r>
            <w:r>
              <w:rPr>
                <w:color w:val="000000"/>
              </w:rPr>
              <w:t>投标人须知前附表</w:t>
            </w:r>
            <w:r>
              <w:rPr>
                <w:rFonts w:hint="eastAsia"/>
                <w:color w:val="000000"/>
              </w:rPr>
              <w:t>3.1.1要求</w:t>
            </w:r>
            <w:r>
              <w:rPr>
                <w:color w:val="000000"/>
              </w:rPr>
              <w:t>）</w:t>
            </w:r>
            <w:r>
              <w:rPr>
                <w:rFonts w:hint="eastAsia"/>
                <w:color w:val="000000"/>
              </w:rPr>
              <w:t>经会计</w:t>
            </w:r>
            <w:r>
              <w:rPr>
                <w:color w:val="000000"/>
              </w:rPr>
              <w:t>师事务所</w:t>
            </w:r>
            <w:r>
              <w:rPr>
                <w:rFonts w:hint="eastAsia"/>
                <w:color w:val="000000"/>
              </w:rPr>
              <w:t>审计的财务报表（</w:t>
            </w:r>
            <w:r>
              <w:rPr>
                <w:color w:val="000000"/>
              </w:rPr>
              <w:t>含审计报告）的得满分，</w:t>
            </w:r>
            <w:r>
              <w:rPr>
                <w:rFonts w:hint="eastAsia"/>
                <w:color w:val="000000"/>
              </w:rPr>
              <w:t>每</w:t>
            </w:r>
            <w:r>
              <w:rPr>
                <w:color w:val="000000"/>
              </w:rPr>
              <w:t>一年得</w:t>
            </w:r>
          </w:p>
          <w:p>
            <w:pPr>
              <w:spacing w:line="360" w:lineRule="auto"/>
              <w:rPr>
                <w:rFonts w:hint="eastAsia"/>
                <w:color w:val="000000"/>
              </w:rPr>
            </w:pPr>
            <w:r>
              <w:rPr>
                <w:rFonts w:hint="eastAsia"/>
                <w:color w:val="000000"/>
                <w:u w:val="single"/>
              </w:rPr>
              <w:t xml:space="preserve">   </w:t>
            </w:r>
            <w:r>
              <w:rPr>
                <w:color w:val="000000"/>
                <w:u w:val="single"/>
              </w:rPr>
              <w:t xml:space="preserve">     </w:t>
            </w:r>
            <w:r>
              <w:rPr>
                <w:rFonts w:hint="eastAsia"/>
                <w:color w:val="000000"/>
              </w:rPr>
              <w:t>分</w:t>
            </w:r>
            <w:r>
              <w:rPr>
                <w:color w:val="000000"/>
              </w:rPr>
              <w:t>，</w:t>
            </w:r>
            <w:r>
              <w:rPr>
                <w:rFonts w:hint="eastAsia"/>
                <w:color w:val="000000"/>
              </w:rPr>
              <w:t>全部</w:t>
            </w:r>
            <w:r>
              <w:rPr>
                <w:color w:val="000000"/>
              </w:rPr>
              <w:t>提供的得</w:t>
            </w:r>
            <w:r>
              <w:rPr>
                <w:rFonts w:hint="eastAsia"/>
                <w:color w:val="000000"/>
                <w:u w:val="single"/>
              </w:rPr>
              <w:t xml:space="preserve">  </w:t>
            </w:r>
            <w:r>
              <w:rPr>
                <w:color w:val="000000"/>
                <w:u w:val="single"/>
              </w:rPr>
              <w:t xml:space="preserve">  </w:t>
            </w:r>
            <w:r>
              <w:rPr>
                <w:rFonts w:hint="eastAsia"/>
                <w:color w:val="000000"/>
                <w:u w:val="single"/>
              </w:rPr>
              <w:t xml:space="preserve"> </w:t>
            </w:r>
            <w:r>
              <w:rPr>
                <w:color w:val="000000"/>
              </w:rPr>
              <w:t>分。</w:t>
            </w:r>
            <w:r>
              <w:rPr>
                <w:rFonts w:hint="eastAsia"/>
                <w:color w:val="000000"/>
              </w:rPr>
              <w:t>（联合体投标时，联合体各方均需要提供，施工企业以广西建筑业企业诚信信息库为准）【备注：对于从取得营业执照时间起到投标截止时间为止不足要求年数的企业，只需提交企业取得营业执照年份至所要求最近年份经审计的财务报表即视为全部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 w:hRule="atLeast"/>
          <w:jc w:val="center"/>
        </w:trPr>
        <w:tc>
          <w:tcPr>
            <w:tcW w:w="1952" w:type="dxa"/>
            <w:gridSpan w:val="2"/>
            <w:vMerge w:val="continue"/>
            <w:noWrap w:val="0"/>
            <w:vAlign w:val="center"/>
          </w:tcPr>
          <w:p>
            <w:pPr>
              <w:spacing w:line="360" w:lineRule="auto"/>
              <w:jc w:val="center"/>
              <w:rPr>
                <w:color w:val="000000"/>
                <w:szCs w:val="21"/>
              </w:rPr>
            </w:pPr>
          </w:p>
        </w:tc>
        <w:tc>
          <w:tcPr>
            <w:tcW w:w="1373" w:type="dxa"/>
            <w:vMerge w:val="continue"/>
            <w:noWrap w:val="0"/>
            <w:vAlign w:val="center"/>
          </w:tcPr>
          <w:p>
            <w:pPr>
              <w:spacing w:line="360" w:lineRule="auto"/>
              <w:jc w:val="center"/>
              <w:rPr>
                <w:color w:val="000000"/>
                <w:szCs w:val="21"/>
              </w:rPr>
            </w:pPr>
          </w:p>
        </w:tc>
        <w:tc>
          <w:tcPr>
            <w:tcW w:w="449" w:type="dxa"/>
            <w:vMerge w:val="continue"/>
            <w:noWrap w:val="0"/>
            <w:vAlign w:val="center"/>
          </w:tcPr>
          <w:p>
            <w:pPr>
              <w:spacing w:line="360" w:lineRule="auto"/>
              <w:jc w:val="center"/>
              <w:rPr>
                <w:color w:val="000000"/>
                <w:szCs w:val="21"/>
              </w:rPr>
            </w:pPr>
          </w:p>
        </w:tc>
        <w:tc>
          <w:tcPr>
            <w:tcW w:w="2572" w:type="dxa"/>
            <w:gridSpan w:val="4"/>
            <w:noWrap w:val="0"/>
            <w:vAlign w:val="center"/>
          </w:tcPr>
          <w:p>
            <w:pPr>
              <w:spacing w:line="360" w:lineRule="auto"/>
              <w:rPr>
                <w:color w:val="000000"/>
                <w:szCs w:val="21"/>
              </w:rPr>
            </w:pPr>
            <w:r>
              <w:rPr>
                <w:color w:val="000000"/>
              </w:rPr>
              <w:t>……</w:t>
            </w:r>
          </w:p>
        </w:tc>
        <w:tc>
          <w:tcPr>
            <w:tcW w:w="4359" w:type="dxa"/>
            <w:noWrap w:val="0"/>
            <w:vAlign w:val="top"/>
          </w:tcPr>
          <w:p>
            <w:pPr>
              <w:spacing w:line="360" w:lineRule="auto"/>
              <w:rPr>
                <w:color w:val="000000"/>
                <w:szCs w:val="21"/>
              </w:rPr>
            </w:pP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8" w:hRule="atLeast"/>
          <w:jc w:val="center"/>
        </w:trPr>
        <w:tc>
          <w:tcPr>
            <w:tcW w:w="1952" w:type="dxa"/>
            <w:gridSpan w:val="2"/>
            <w:vMerge w:val="restart"/>
            <w:noWrap w:val="0"/>
            <w:vAlign w:val="center"/>
          </w:tcPr>
          <w:p>
            <w:pPr>
              <w:spacing w:line="360" w:lineRule="auto"/>
              <w:jc w:val="center"/>
              <w:rPr>
                <w:color w:val="000000"/>
                <w:szCs w:val="21"/>
              </w:rPr>
            </w:pPr>
            <w:r>
              <w:rPr>
                <w:color w:val="000000"/>
                <w:szCs w:val="21"/>
              </w:rPr>
              <w:t>2.1.2</w:t>
            </w:r>
          </w:p>
        </w:tc>
        <w:tc>
          <w:tcPr>
            <w:tcW w:w="2126" w:type="dxa"/>
            <w:gridSpan w:val="3"/>
            <w:vMerge w:val="restart"/>
            <w:noWrap w:val="0"/>
            <w:vAlign w:val="center"/>
          </w:tcPr>
          <w:p>
            <w:pPr>
              <w:spacing w:line="360" w:lineRule="auto"/>
              <w:jc w:val="center"/>
              <w:rPr>
                <w:rFonts w:hint="eastAsia"/>
                <w:color w:val="000000"/>
                <w:szCs w:val="21"/>
              </w:rPr>
            </w:pPr>
            <w:r>
              <w:rPr>
                <w:color w:val="000000"/>
                <w:szCs w:val="21"/>
              </w:rPr>
              <w:t>形式</w:t>
            </w:r>
          </w:p>
          <w:p>
            <w:pPr>
              <w:spacing w:line="360" w:lineRule="auto"/>
              <w:jc w:val="center"/>
              <w:rPr>
                <w:color w:val="000000"/>
                <w:szCs w:val="21"/>
              </w:rPr>
            </w:pPr>
            <w:r>
              <w:rPr>
                <w:color w:val="000000"/>
                <w:szCs w:val="21"/>
              </w:rPr>
              <w:t>评审标准</w:t>
            </w:r>
          </w:p>
        </w:tc>
        <w:tc>
          <w:tcPr>
            <w:tcW w:w="2216" w:type="dxa"/>
            <w:gridSpan w:val="2"/>
            <w:noWrap w:val="0"/>
            <w:vAlign w:val="center"/>
          </w:tcPr>
          <w:p>
            <w:pPr>
              <w:rPr>
                <w:color w:val="000000"/>
                <w:szCs w:val="21"/>
              </w:rPr>
            </w:pPr>
            <w:r>
              <w:rPr>
                <w:color w:val="000000"/>
                <w:szCs w:val="21"/>
              </w:rPr>
              <w:t>投标人名称</w:t>
            </w:r>
          </w:p>
        </w:tc>
        <w:tc>
          <w:tcPr>
            <w:tcW w:w="4411" w:type="dxa"/>
            <w:gridSpan w:val="2"/>
            <w:noWrap w:val="0"/>
            <w:vAlign w:val="center"/>
          </w:tcPr>
          <w:p>
            <w:pPr>
              <w:rPr>
                <w:color w:val="000000"/>
                <w:szCs w:val="21"/>
              </w:rPr>
            </w:pPr>
            <w:r>
              <w:rPr>
                <w:color w:val="000000"/>
                <w:szCs w:val="21"/>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46" w:hRule="atLeast"/>
          <w:jc w:val="center"/>
        </w:trPr>
        <w:tc>
          <w:tcPr>
            <w:tcW w:w="1952" w:type="dxa"/>
            <w:gridSpan w:val="2"/>
            <w:vMerge w:val="continue"/>
            <w:noWrap w:val="0"/>
            <w:vAlign w:val="center"/>
          </w:tcPr>
          <w:p>
            <w:pPr>
              <w:spacing w:line="360" w:lineRule="auto"/>
              <w:jc w:val="center"/>
              <w:rPr>
                <w:color w:val="000000"/>
                <w:szCs w:val="21"/>
              </w:rPr>
            </w:pPr>
          </w:p>
        </w:tc>
        <w:tc>
          <w:tcPr>
            <w:tcW w:w="2126" w:type="dxa"/>
            <w:gridSpan w:val="3"/>
            <w:vMerge w:val="continue"/>
            <w:noWrap w:val="0"/>
            <w:vAlign w:val="center"/>
          </w:tcPr>
          <w:p>
            <w:pPr>
              <w:spacing w:line="360" w:lineRule="auto"/>
              <w:jc w:val="center"/>
              <w:rPr>
                <w:color w:val="000000"/>
                <w:szCs w:val="21"/>
              </w:rPr>
            </w:pPr>
          </w:p>
        </w:tc>
        <w:tc>
          <w:tcPr>
            <w:tcW w:w="2216" w:type="dxa"/>
            <w:gridSpan w:val="2"/>
            <w:noWrap w:val="0"/>
            <w:vAlign w:val="center"/>
          </w:tcPr>
          <w:p>
            <w:pPr>
              <w:spacing w:line="360" w:lineRule="auto"/>
              <w:rPr>
                <w:color w:val="000000"/>
                <w:szCs w:val="21"/>
              </w:rPr>
            </w:pPr>
            <w:r>
              <w:rPr>
                <w:color w:val="000000"/>
                <w:szCs w:val="21"/>
              </w:rPr>
              <w:t>投标</w:t>
            </w:r>
            <w:r>
              <w:rPr>
                <w:rFonts w:hint="eastAsia"/>
                <w:color w:val="000000"/>
                <w:szCs w:val="21"/>
              </w:rPr>
              <w:t>文件</w:t>
            </w:r>
            <w:r>
              <w:rPr>
                <w:color w:val="000000"/>
                <w:szCs w:val="21"/>
              </w:rPr>
              <w:t>盖章</w:t>
            </w:r>
          </w:p>
        </w:tc>
        <w:tc>
          <w:tcPr>
            <w:tcW w:w="4411" w:type="dxa"/>
            <w:gridSpan w:val="2"/>
            <w:noWrap w:val="0"/>
            <w:vAlign w:val="center"/>
          </w:tcPr>
          <w:p>
            <w:pPr>
              <w:spacing w:line="360" w:lineRule="auto"/>
              <w:rPr>
                <w:color w:val="000000"/>
                <w:szCs w:val="21"/>
              </w:rPr>
            </w:pPr>
            <w:r>
              <w:rPr>
                <w:rFonts w:hint="eastAsia"/>
                <w:color w:val="000000"/>
                <w:szCs w:val="21"/>
              </w:rPr>
              <w:t>盖投标人法人单位电子印章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46" w:hRule="atLeast"/>
          <w:jc w:val="center"/>
        </w:trPr>
        <w:tc>
          <w:tcPr>
            <w:tcW w:w="1952" w:type="dxa"/>
            <w:gridSpan w:val="2"/>
            <w:vMerge w:val="continue"/>
            <w:noWrap w:val="0"/>
            <w:vAlign w:val="center"/>
          </w:tcPr>
          <w:p>
            <w:pPr>
              <w:spacing w:line="360" w:lineRule="auto"/>
              <w:jc w:val="center"/>
              <w:rPr>
                <w:color w:val="000000"/>
                <w:szCs w:val="21"/>
              </w:rPr>
            </w:pPr>
          </w:p>
        </w:tc>
        <w:tc>
          <w:tcPr>
            <w:tcW w:w="2126" w:type="dxa"/>
            <w:gridSpan w:val="3"/>
            <w:vMerge w:val="continue"/>
            <w:noWrap w:val="0"/>
            <w:vAlign w:val="center"/>
          </w:tcPr>
          <w:p>
            <w:pPr>
              <w:spacing w:line="360" w:lineRule="auto"/>
              <w:jc w:val="center"/>
              <w:rPr>
                <w:color w:val="000000"/>
                <w:szCs w:val="21"/>
              </w:rPr>
            </w:pPr>
          </w:p>
        </w:tc>
        <w:tc>
          <w:tcPr>
            <w:tcW w:w="2216" w:type="dxa"/>
            <w:gridSpan w:val="2"/>
            <w:noWrap w:val="0"/>
            <w:vAlign w:val="center"/>
          </w:tcPr>
          <w:p>
            <w:pPr>
              <w:spacing w:line="360" w:lineRule="auto"/>
              <w:rPr>
                <w:color w:val="000000"/>
                <w:szCs w:val="21"/>
              </w:rPr>
            </w:pPr>
            <w:r>
              <w:rPr>
                <w:color w:val="000000"/>
                <w:szCs w:val="21"/>
              </w:rPr>
              <w:t>投标文件格式</w:t>
            </w:r>
          </w:p>
        </w:tc>
        <w:tc>
          <w:tcPr>
            <w:tcW w:w="4411" w:type="dxa"/>
            <w:gridSpan w:val="2"/>
            <w:noWrap w:val="0"/>
            <w:vAlign w:val="center"/>
          </w:tcPr>
          <w:p>
            <w:pPr>
              <w:spacing w:line="360" w:lineRule="auto"/>
              <w:rPr>
                <w:color w:val="000000"/>
                <w:szCs w:val="21"/>
              </w:rPr>
            </w:pPr>
            <w:r>
              <w:rPr>
                <w:color w:val="000000"/>
                <w:szCs w:val="21"/>
              </w:rPr>
              <w:t>符合第七章“投标文件格式”的要求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46" w:hRule="atLeast"/>
          <w:jc w:val="center"/>
        </w:trPr>
        <w:tc>
          <w:tcPr>
            <w:tcW w:w="1952" w:type="dxa"/>
            <w:gridSpan w:val="2"/>
            <w:vMerge w:val="continue"/>
            <w:noWrap w:val="0"/>
            <w:vAlign w:val="center"/>
          </w:tcPr>
          <w:p>
            <w:pPr>
              <w:spacing w:line="360" w:lineRule="auto"/>
              <w:jc w:val="center"/>
              <w:rPr>
                <w:color w:val="000000"/>
                <w:szCs w:val="21"/>
              </w:rPr>
            </w:pPr>
          </w:p>
        </w:tc>
        <w:tc>
          <w:tcPr>
            <w:tcW w:w="2126" w:type="dxa"/>
            <w:gridSpan w:val="3"/>
            <w:vMerge w:val="continue"/>
            <w:noWrap w:val="0"/>
            <w:vAlign w:val="center"/>
          </w:tcPr>
          <w:p>
            <w:pPr>
              <w:spacing w:line="360" w:lineRule="auto"/>
              <w:jc w:val="center"/>
              <w:rPr>
                <w:color w:val="000000"/>
                <w:szCs w:val="21"/>
              </w:rPr>
            </w:pPr>
          </w:p>
        </w:tc>
        <w:tc>
          <w:tcPr>
            <w:tcW w:w="2216" w:type="dxa"/>
            <w:gridSpan w:val="2"/>
            <w:noWrap w:val="0"/>
            <w:vAlign w:val="center"/>
          </w:tcPr>
          <w:p>
            <w:pPr>
              <w:spacing w:line="360" w:lineRule="auto"/>
              <w:rPr>
                <w:color w:val="000000"/>
                <w:szCs w:val="21"/>
              </w:rPr>
            </w:pPr>
            <w:r>
              <w:rPr>
                <w:color w:val="000000"/>
                <w:szCs w:val="21"/>
              </w:rPr>
              <w:t>联合体投标人</w:t>
            </w:r>
            <w:r>
              <w:rPr>
                <w:rFonts w:hint="eastAsia" w:ascii="楷体_GB2312" w:eastAsia="楷体_GB2312"/>
                <w:color w:val="000000"/>
                <w:szCs w:val="21"/>
              </w:rPr>
              <w:t>（如有）</w:t>
            </w:r>
          </w:p>
        </w:tc>
        <w:tc>
          <w:tcPr>
            <w:tcW w:w="4411" w:type="dxa"/>
            <w:gridSpan w:val="2"/>
            <w:noWrap w:val="0"/>
            <w:vAlign w:val="center"/>
          </w:tcPr>
          <w:p>
            <w:pPr>
              <w:spacing w:line="360" w:lineRule="auto"/>
              <w:rPr>
                <w:color w:val="000000"/>
                <w:szCs w:val="21"/>
              </w:rPr>
            </w:pPr>
            <w:r>
              <w:rPr>
                <w:color w:val="000000"/>
                <w:szCs w:val="21"/>
              </w:rPr>
              <w:t>提交联合体协议书，并明确联合体牵头人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46" w:hRule="atLeast"/>
          <w:jc w:val="center"/>
        </w:trPr>
        <w:tc>
          <w:tcPr>
            <w:tcW w:w="1952" w:type="dxa"/>
            <w:gridSpan w:val="2"/>
            <w:vMerge w:val="continue"/>
            <w:noWrap w:val="0"/>
            <w:vAlign w:val="center"/>
          </w:tcPr>
          <w:p>
            <w:pPr>
              <w:spacing w:line="360" w:lineRule="auto"/>
              <w:jc w:val="center"/>
              <w:rPr>
                <w:color w:val="000000"/>
                <w:szCs w:val="21"/>
              </w:rPr>
            </w:pPr>
          </w:p>
        </w:tc>
        <w:tc>
          <w:tcPr>
            <w:tcW w:w="2126" w:type="dxa"/>
            <w:gridSpan w:val="3"/>
            <w:vMerge w:val="continue"/>
            <w:noWrap w:val="0"/>
            <w:vAlign w:val="center"/>
          </w:tcPr>
          <w:p>
            <w:pPr>
              <w:spacing w:line="360" w:lineRule="auto"/>
              <w:jc w:val="center"/>
              <w:rPr>
                <w:color w:val="000000"/>
                <w:szCs w:val="21"/>
              </w:rPr>
            </w:pPr>
          </w:p>
        </w:tc>
        <w:tc>
          <w:tcPr>
            <w:tcW w:w="2216" w:type="dxa"/>
            <w:gridSpan w:val="2"/>
            <w:noWrap w:val="0"/>
            <w:vAlign w:val="center"/>
          </w:tcPr>
          <w:p>
            <w:pPr>
              <w:spacing w:line="360" w:lineRule="auto"/>
              <w:rPr>
                <w:color w:val="000000"/>
                <w:szCs w:val="21"/>
              </w:rPr>
            </w:pPr>
            <w:r>
              <w:rPr>
                <w:color w:val="000000"/>
                <w:szCs w:val="21"/>
              </w:rPr>
              <w:t>报价唯一</w:t>
            </w:r>
          </w:p>
        </w:tc>
        <w:tc>
          <w:tcPr>
            <w:tcW w:w="4411" w:type="dxa"/>
            <w:gridSpan w:val="2"/>
            <w:noWrap w:val="0"/>
            <w:vAlign w:val="center"/>
          </w:tcPr>
          <w:p>
            <w:pPr>
              <w:spacing w:line="360" w:lineRule="auto"/>
              <w:rPr>
                <w:color w:val="000000"/>
                <w:szCs w:val="21"/>
              </w:rPr>
            </w:pPr>
            <w:r>
              <w:rPr>
                <w:color w:val="000000"/>
                <w:szCs w:val="21"/>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6" w:hRule="atLeast"/>
          <w:jc w:val="center"/>
        </w:trPr>
        <w:tc>
          <w:tcPr>
            <w:tcW w:w="1952" w:type="dxa"/>
            <w:gridSpan w:val="2"/>
            <w:vMerge w:val="continue"/>
            <w:noWrap w:val="0"/>
            <w:vAlign w:val="center"/>
          </w:tcPr>
          <w:p>
            <w:pPr>
              <w:spacing w:line="360" w:lineRule="auto"/>
              <w:jc w:val="center"/>
              <w:rPr>
                <w:color w:val="000000"/>
                <w:szCs w:val="21"/>
              </w:rPr>
            </w:pPr>
          </w:p>
        </w:tc>
        <w:tc>
          <w:tcPr>
            <w:tcW w:w="2126" w:type="dxa"/>
            <w:gridSpan w:val="3"/>
            <w:vMerge w:val="continue"/>
            <w:noWrap w:val="0"/>
            <w:vAlign w:val="center"/>
          </w:tcPr>
          <w:p>
            <w:pPr>
              <w:spacing w:line="360" w:lineRule="auto"/>
              <w:jc w:val="center"/>
              <w:rPr>
                <w:color w:val="000000"/>
                <w:szCs w:val="21"/>
              </w:rPr>
            </w:pPr>
          </w:p>
        </w:tc>
        <w:tc>
          <w:tcPr>
            <w:tcW w:w="2216" w:type="dxa"/>
            <w:gridSpan w:val="2"/>
            <w:noWrap w:val="0"/>
            <w:vAlign w:val="center"/>
          </w:tcPr>
          <w:p>
            <w:pPr>
              <w:spacing w:line="360" w:lineRule="auto"/>
              <w:rPr>
                <w:color w:val="000000"/>
                <w:szCs w:val="21"/>
              </w:rPr>
            </w:pPr>
            <w:r>
              <w:rPr>
                <w:color w:val="000000"/>
                <w:szCs w:val="21"/>
              </w:rPr>
              <w:t>……</w:t>
            </w:r>
          </w:p>
        </w:tc>
        <w:tc>
          <w:tcPr>
            <w:tcW w:w="4411" w:type="dxa"/>
            <w:gridSpan w:val="2"/>
            <w:noWrap w:val="0"/>
            <w:vAlign w:val="center"/>
          </w:tcPr>
          <w:p>
            <w:pPr>
              <w:spacing w:line="360" w:lineRule="auto"/>
              <w:rPr>
                <w:color w:val="000000"/>
                <w:szCs w:val="21"/>
              </w:rPr>
            </w:pP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 w:hRule="atLeast"/>
          <w:jc w:val="center"/>
        </w:trPr>
        <w:tc>
          <w:tcPr>
            <w:tcW w:w="1952" w:type="dxa"/>
            <w:gridSpan w:val="2"/>
            <w:vMerge w:val="restart"/>
            <w:noWrap w:val="0"/>
            <w:vAlign w:val="center"/>
          </w:tcPr>
          <w:p>
            <w:pPr>
              <w:spacing w:line="360" w:lineRule="auto"/>
              <w:jc w:val="center"/>
              <w:rPr>
                <w:color w:val="000000"/>
                <w:szCs w:val="21"/>
              </w:rPr>
            </w:pPr>
            <w:r>
              <w:rPr>
                <w:color w:val="000000"/>
                <w:szCs w:val="21"/>
              </w:rPr>
              <w:t>2.1.3</w:t>
            </w:r>
          </w:p>
        </w:tc>
        <w:tc>
          <w:tcPr>
            <w:tcW w:w="2126" w:type="dxa"/>
            <w:gridSpan w:val="3"/>
            <w:vMerge w:val="restart"/>
            <w:noWrap w:val="0"/>
            <w:vAlign w:val="center"/>
          </w:tcPr>
          <w:p>
            <w:pPr>
              <w:spacing w:line="360" w:lineRule="auto"/>
              <w:jc w:val="center"/>
              <w:rPr>
                <w:color w:val="000000"/>
                <w:szCs w:val="21"/>
              </w:rPr>
            </w:pPr>
            <w:r>
              <w:rPr>
                <w:color w:val="000000"/>
                <w:szCs w:val="21"/>
              </w:rPr>
              <w:t>响应性</w:t>
            </w:r>
          </w:p>
          <w:p>
            <w:pPr>
              <w:spacing w:line="360" w:lineRule="auto"/>
              <w:jc w:val="center"/>
              <w:rPr>
                <w:color w:val="000000"/>
                <w:szCs w:val="21"/>
              </w:rPr>
            </w:pPr>
            <w:r>
              <w:rPr>
                <w:color w:val="000000"/>
                <w:szCs w:val="21"/>
              </w:rPr>
              <w:t>评审标准</w:t>
            </w:r>
          </w:p>
          <w:p>
            <w:pPr>
              <w:spacing w:line="360" w:lineRule="auto"/>
              <w:jc w:val="center"/>
              <w:rPr>
                <w:color w:val="000000"/>
                <w:szCs w:val="21"/>
              </w:rPr>
            </w:pPr>
            <w:r>
              <w:rPr>
                <w:rFonts w:eastAsia="楷体_GB2312"/>
                <w:color w:val="000000"/>
                <w:szCs w:val="21"/>
              </w:rPr>
              <w:t>【备注：</w:t>
            </w:r>
            <w:r>
              <w:rPr>
                <w:rFonts w:hint="eastAsia" w:eastAsia="楷体_GB2312"/>
                <w:color w:val="000000"/>
                <w:szCs w:val="21"/>
              </w:rPr>
              <w:t>系统</w:t>
            </w:r>
            <w:r>
              <w:rPr>
                <w:rFonts w:eastAsia="楷体_GB2312"/>
                <w:color w:val="000000"/>
                <w:szCs w:val="21"/>
              </w:rPr>
              <w:t>分为商务标响应性评审和技术标响应性评审两部分】</w:t>
            </w:r>
          </w:p>
        </w:tc>
        <w:tc>
          <w:tcPr>
            <w:tcW w:w="2216" w:type="dxa"/>
            <w:gridSpan w:val="2"/>
            <w:noWrap w:val="0"/>
            <w:vAlign w:val="top"/>
          </w:tcPr>
          <w:p>
            <w:pPr>
              <w:spacing w:line="360" w:lineRule="auto"/>
              <w:rPr>
                <w:color w:val="000000"/>
                <w:szCs w:val="21"/>
              </w:rPr>
            </w:pPr>
            <w:r>
              <w:rPr>
                <w:color w:val="000000"/>
                <w:szCs w:val="21"/>
              </w:rPr>
              <w:t>投标内容</w:t>
            </w:r>
          </w:p>
        </w:tc>
        <w:tc>
          <w:tcPr>
            <w:tcW w:w="4411" w:type="dxa"/>
            <w:gridSpan w:val="2"/>
            <w:noWrap w:val="0"/>
            <w:vAlign w:val="top"/>
          </w:tcPr>
          <w:p>
            <w:pPr>
              <w:spacing w:line="360" w:lineRule="auto"/>
              <w:rPr>
                <w:color w:val="000000"/>
                <w:szCs w:val="21"/>
              </w:rPr>
            </w:pPr>
            <w:r>
              <w:rPr>
                <w:color w:val="000000"/>
                <w:szCs w:val="21"/>
              </w:rPr>
              <w:t>符合第二章“投标人须知”第1.3.1项规定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 w:hRule="atLeast"/>
          <w:jc w:val="center"/>
        </w:trPr>
        <w:tc>
          <w:tcPr>
            <w:tcW w:w="1952" w:type="dxa"/>
            <w:gridSpan w:val="2"/>
            <w:vMerge w:val="continue"/>
            <w:noWrap w:val="0"/>
            <w:vAlign w:val="center"/>
          </w:tcPr>
          <w:p>
            <w:pPr>
              <w:spacing w:line="360" w:lineRule="auto"/>
              <w:jc w:val="center"/>
              <w:rPr>
                <w:color w:val="000000"/>
                <w:szCs w:val="21"/>
              </w:rPr>
            </w:pPr>
          </w:p>
        </w:tc>
        <w:tc>
          <w:tcPr>
            <w:tcW w:w="2126" w:type="dxa"/>
            <w:gridSpan w:val="3"/>
            <w:vMerge w:val="continue"/>
            <w:noWrap w:val="0"/>
            <w:vAlign w:val="center"/>
          </w:tcPr>
          <w:p>
            <w:pPr>
              <w:spacing w:line="360" w:lineRule="auto"/>
              <w:jc w:val="center"/>
              <w:rPr>
                <w:color w:val="000000"/>
                <w:szCs w:val="21"/>
              </w:rPr>
            </w:pPr>
          </w:p>
        </w:tc>
        <w:tc>
          <w:tcPr>
            <w:tcW w:w="2216" w:type="dxa"/>
            <w:gridSpan w:val="2"/>
            <w:noWrap w:val="0"/>
            <w:vAlign w:val="center"/>
          </w:tcPr>
          <w:p>
            <w:pPr>
              <w:spacing w:line="360" w:lineRule="auto"/>
              <w:rPr>
                <w:color w:val="000000"/>
                <w:szCs w:val="21"/>
              </w:rPr>
            </w:pPr>
            <w:r>
              <w:rPr>
                <w:color w:val="000000"/>
                <w:szCs w:val="21"/>
              </w:rPr>
              <w:t>工期</w:t>
            </w:r>
          </w:p>
        </w:tc>
        <w:tc>
          <w:tcPr>
            <w:tcW w:w="4411" w:type="dxa"/>
            <w:gridSpan w:val="2"/>
            <w:noWrap w:val="0"/>
            <w:vAlign w:val="center"/>
          </w:tcPr>
          <w:p>
            <w:pPr>
              <w:spacing w:line="360" w:lineRule="auto"/>
              <w:rPr>
                <w:color w:val="000000"/>
                <w:szCs w:val="21"/>
              </w:rPr>
            </w:pPr>
            <w:r>
              <w:rPr>
                <w:color w:val="000000"/>
                <w:szCs w:val="21"/>
              </w:rPr>
              <w:t>符合第二章“投标人须知’’第1.3.2项规定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 w:hRule="atLeast"/>
          <w:jc w:val="center"/>
        </w:trPr>
        <w:tc>
          <w:tcPr>
            <w:tcW w:w="1952" w:type="dxa"/>
            <w:gridSpan w:val="2"/>
            <w:vMerge w:val="continue"/>
            <w:noWrap w:val="0"/>
            <w:vAlign w:val="center"/>
          </w:tcPr>
          <w:p>
            <w:pPr>
              <w:spacing w:line="360" w:lineRule="auto"/>
              <w:jc w:val="center"/>
              <w:rPr>
                <w:color w:val="000000"/>
                <w:szCs w:val="21"/>
              </w:rPr>
            </w:pPr>
          </w:p>
        </w:tc>
        <w:tc>
          <w:tcPr>
            <w:tcW w:w="2126" w:type="dxa"/>
            <w:gridSpan w:val="3"/>
            <w:vMerge w:val="continue"/>
            <w:noWrap w:val="0"/>
            <w:vAlign w:val="center"/>
          </w:tcPr>
          <w:p>
            <w:pPr>
              <w:spacing w:line="360" w:lineRule="auto"/>
              <w:jc w:val="center"/>
              <w:rPr>
                <w:color w:val="000000"/>
                <w:szCs w:val="21"/>
              </w:rPr>
            </w:pPr>
          </w:p>
        </w:tc>
        <w:tc>
          <w:tcPr>
            <w:tcW w:w="2216" w:type="dxa"/>
            <w:gridSpan w:val="2"/>
            <w:noWrap w:val="0"/>
            <w:vAlign w:val="center"/>
          </w:tcPr>
          <w:p>
            <w:pPr>
              <w:spacing w:line="360" w:lineRule="auto"/>
              <w:rPr>
                <w:color w:val="000000"/>
                <w:szCs w:val="21"/>
              </w:rPr>
            </w:pPr>
            <w:r>
              <w:rPr>
                <w:color w:val="000000"/>
                <w:szCs w:val="21"/>
              </w:rPr>
              <w:t>工程质量</w:t>
            </w:r>
          </w:p>
        </w:tc>
        <w:tc>
          <w:tcPr>
            <w:tcW w:w="4411" w:type="dxa"/>
            <w:gridSpan w:val="2"/>
            <w:noWrap w:val="0"/>
            <w:vAlign w:val="center"/>
          </w:tcPr>
          <w:p>
            <w:pPr>
              <w:spacing w:line="360" w:lineRule="auto"/>
              <w:rPr>
                <w:color w:val="000000"/>
                <w:szCs w:val="21"/>
              </w:rPr>
            </w:pPr>
            <w:r>
              <w:rPr>
                <w:color w:val="000000"/>
                <w:szCs w:val="21"/>
              </w:rPr>
              <w:t>符合第二章“投标人须知”第1.3.3项规定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 w:hRule="atLeast"/>
          <w:jc w:val="center"/>
        </w:trPr>
        <w:tc>
          <w:tcPr>
            <w:tcW w:w="1952" w:type="dxa"/>
            <w:gridSpan w:val="2"/>
            <w:vMerge w:val="continue"/>
            <w:noWrap w:val="0"/>
            <w:vAlign w:val="center"/>
          </w:tcPr>
          <w:p>
            <w:pPr>
              <w:spacing w:line="360" w:lineRule="auto"/>
              <w:jc w:val="center"/>
              <w:rPr>
                <w:color w:val="000000"/>
                <w:szCs w:val="21"/>
              </w:rPr>
            </w:pPr>
          </w:p>
        </w:tc>
        <w:tc>
          <w:tcPr>
            <w:tcW w:w="2126" w:type="dxa"/>
            <w:gridSpan w:val="3"/>
            <w:vMerge w:val="continue"/>
            <w:noWrap w:val="0"/>
            <w:vAlign w:val="center"/>
          </w:tcPr>
          <w:p>
            <w:pPr>
              <w:spacing w:line="360" w:lineRule="auto"/>
              <w:jc w:val="center"/>
              <w:rPr>
                <w:color w:val="000000"/>
                <w:szCs w:val="21"/>
              </w:rPr>
            </w:pPr>
          </w:p>
        </w:tc>
        <w:tc>
          <w:tcPr>
            <w:tcW w:w="2216" w:type="dxa"/>
            <w:gridSpan w:val="2"/>
            <w:noWrap w:val="0"/>
            <w:vAlign w:val="center"/>
          </w:tcPr>
          <w:p>
            <w:pPr>
              <w:spacing w:line="360" w:lineRule="auto"/>
              <w:rPr>
                <w:color w:val="000000"/>
                <w:szCs w:val="21"/>
              </w:rPr>
            </w:pPr>
            <w:r>
              <w:rPr>
                <w:color w:val="000000"/>
                <w:szCs w:val="21"/>
              </w:rPr>
              <w:t>投标有效期</w:t>
            </w:r>
          </w:p>
        </w:tc>
        <w:tc>
          <w:tcPr>
            <w:tcW w:w="4411" w:type="dxa"/>
            <w:gridSpan w:val="2"/>
            <w:noWrap w:val="0"/>
            <w:vAlign w:val="center"/>
          </w:tcPr>
          <w:p>
            <w:pPr>
              <w:spacing w:line="360" w:lineRule="auto"/>
              <w:rPr>
                <w:color w:val="000000"/>
                <w:szCs w:val="21"/>
              </w:rPr>
            </w:pPr>
            <w:r>
              <w:rPr>
                <w:color w:val="000000"/>
                <w:szCs w:val="21"/>
              </w:rPr>
              <w:t>符合第二章“投标人须知”第3.3.1项规定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 w:hRule="atLeast"/>
          <w:jc w:val="center"/>
        </w:trPr>
        <w:tc>
          <w:tcPr>
            <w:tcW w:w="1952" w:type="dxa"/>
            <w:gridSpan w:val="2"/>
            <w:vMerge w:val="continue"/>
            <w:noWrap w:val="0"/>
            <w:vAlign w:val="center"/>
          </w:tcPr>
          <w:p>
            <w:pPr>
              <w:spacing w:line="360" w:lineRule="auto"/>
              <w:jc w:val="center"/>
              <w:rPr>
                <w:color w:val="000000"/>
                <w:szCs w:val="21"/>
              </w:rPr>
            </w:pPr>
          </w:p>
        </w:tc>
        <w:tc>
          <w:tcPr>
            <w:tcW w:w="2126" w:type="dxa"/>
            <w:gridSpan w:val="3"/>
            <w:vMerge w:val="continue"/>
            <w:noWrap w:val="0"/>
            <w:vAlign w:val="center"/>
          </w:tcPr>
          <w:p>
            <w:pPr>
              <w:spacing w:line="360" w:lineRule="auto"/>
              <w:jc w:val="center"/>
              <w:rPr>
                <w:color w:val="000000"/>
                <w:szCs w:val="21"/>
              </w:rPr>
            </w:pPr>
          </w:p>
        </w:tc>
        <w:tc>
          <w:tcPr>
            <w:tcW w:w="2216" w:type="dxa"/>
            <w:gridSpan w:val="2"/>
            <w:noWrap w:val="0"/>
            <w:vAlign w:val="center"/>
          </w:tcPr>
          <w:p>
            <w:pPr>
              <w:spacing w:line="360" w:lineRule="auto"/>
              <w:rPr>
                <w:color w:val="000000"/>
                <w:szCs w:val="21"/>
              </w:rPr>
            </w:pPr>
            <w:r>
              <w:rPr>
                <w:color w:val="000000"/>
                <w:szCs w:val="21"/>
              </w:rPr>
              <w:t>权利义务</w:t>
            </w:r>
          </w:p>
        </w:tc>
        <w:tc>
          <w:tcPr>
            <w:tcW w:w="4411" w:type="dxa"/>
            <w:gridSpan w:val="2"/>
            <w:noWrap w:val="0"/>
            <w:vAlign w:val="center"/>
          </w:tcPr>
          <w:p>
            <w:pPr>
              <w:spacing w:line="360" w:lineRule="auto"/>
              <w:rPr>
                <w:color w:val="000000"/>
                <w:szCs w:val="21"/>
              </w:rPr>
            </w:pPr>
            <w:r>
              <w:rPr>
                <w:color w:val="000000"/>
                <w:szCs w:val="21"/>
              </w:rPr>
              <w:t>投标函附录中的相关承诺符合或优于第四章“合同条款及格式”的相关规定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48" w:hRule="atLeast"/>
          <w:jc w:val="center"/>
        </w:trPr>
        <w:tc>
          <w:tcPr>
            <w:tcW w:w="1952" w:type="dxa"/>
            <w:gridSpan w:val="2"/>
            <w:vMerge w:val="continue"/>
            <w:noWrap w:val="0"/>
            <w:vAlign w:val="center"/>
          </w:tcPr>
          <w:p>
            <w:pPr>
              <w:spacing w:line="360" w:lineRule="auto"/>
              <w:jc w:val="center"/>
              <w:rPr>
                <w:color w:val="000000"/>
                <w:szCs w:val="21"/>
              </w:rPr>
            </w:pPr>
          </w:p>
        </w:tc>
        <w:tc>
          <w:tcPr>
            <w:tcW w:w="2126" w:type="dxa"/>
            <w:gridSpan w:val="3"/>
            <w:vMerge w:val="continue"/>
            <w:noWrap w:val="0"/>
            <w:vAlign w:val="center"/>
          </w:tcPr>
          <w:p>
            <w:pPr>
              <w:spacing w:line="360" w:lineRule="auto"/>
              <w:jc w:val="center"/>
              <w:rPr>
                <w:color w:val="000000"/>
                <w:szCs w:val="21"/>
              </w:rPr>
            </w:pPr>
          </w:p>
        </w:tc>
        <w:tc>
          <w:tcPr>
            <w:tcW w:w="2216" w:type="dxa"/>
            <w:gridSpan w:val="2"/>
            <w:noWrap w:val="0"/>
            <w:vAlign w:val="center"/>
          </w:tcPr>
          <w:p>
            <w:pPr>
              <w:spacing w:line="360" w:lineRule="auto"/>
              <w:rPr>
                <w:color w:val="000000"/>
                <w:szCs w:val="21"/>
              </w:rPr>
            </w:pPr>
            <w:r>
              <w:rPr>
                <w:color w:val="000000"/>
                <w:szCs w:val="21"/>
              </w:rPr>
              <w:t>技术标准和要求</w:t>
            </w:r>
          </w:p>
        </w:tc>
        <w:tc>
          <w:tcPr>
            <w:tcW w:w="4411" w:type="dxa"/>
            <w:gridSpan w:val="2"/>
            <w:noWrap w:val="0"/>
            <w:vAlign w:val="center"/>
          </w:tcPr>
          <w:p>
            <w:pPr>
              <w:spacing w:line="360" w:lineRule="auto"/>
              <w:rPr>
                <w:color w:val="000000"/>
                <w:szCs w:val="21"/>
              </w:rPr>
            </w:pPr>
            <w:r>
              <w:rPr>
                <w:color w:val="000000"/>
                <w:szCs w:val="21"/>
              </w:rPr>
              <w:t>符合第</w:t>
            </w:r>
            <w:r>
              <w:rPr>
                <w:rFonts w:hint="eastAsia"/>
                <w:color w:val="000000"/>
                <w:szCs w:val="21"/>
              </w:rPr>
              <w:t>五</w:t>
            </w:r>
            <w:r>
              <w:rPr>
                <w:color w:val="000000"/>
                <w:szCs w:val="21"/>
              </w:rPr>
              <w:t>章 “</w:t>
            </w:r>
            <w:r>
              <w:rPr>
                <w:rFonts w:hint="eastAsia"/>
                <w:color w:val="000000"/>
                <w:szCs w:val="21"/>
              </w:rPr>
              <w:t>发包人要求</w:t>
            </w:r>
            <w:r>
              <w:rPr>
                <w:color w:val="000000"/>
                <w:szCs w:val="21"/>
              </w:rPr>
              <w:t>”</w:t>
            </w:r>
            <w:r>
              <w:rPr>
                <w:rFonts w:hint="eastAsia"/>
                <w:color w:val="000000"/>
                <w:szCs w:val="21"/>
              </w:rPr>
              <w:t>相关</w:t>
            </w:r>
            <w:r>
              <w:rPr>
                <w:color w:val="000000"/>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 w:hRule="atLeast"/>
          <w:jc w:val="center"/>
        </w:trPr>
        <w:tc>
          <w:tcPr>
            <w:tcW w:w="1952" w:type="dxa"/>
            <w:gridSpan w:val="2"/>
            <w:vMerge w:val="continue"/>
            <w:noWrap w:val="0"/>
            <w:vAlign w:val="center"/>
          </w:tcPr>
          <w:p>
            <w:pPr>
              <w:spacing w:line="360" w:lineRule="auto"/>
              <w:jc w:val="center"/>
              <w:rPr>
                <w:color w:val="000000"/>
                <w:szCs w:val="21"/>
              </w:rPr>
            </w:pPr>
          </w:p>
        </w:tc>
        <w:tc>
          <w:tcPr>
            <w:tcW w:w="2126" w:type="dxa"/>
            <w:gridSpan w:val="3"/>
            <w:vMerge w:val="continue"/>
            <w:noWrap w:val="0"/>
            <w:vAlign w:val="center"/>
          </w:tcPr>
          <w:p>
            <w:pPr>
              <w:spacing w:line="360" w:lineRule="auto"/>
              <w:jc w:val="center"/>
              <w:rPr>
                <w:color w:val="000000"/>
                <w:szCs w:val="21"/>
              </w:rPr>
            </w:pPr>
          </w:p>
        </w:tc>
        <w:tc>
          <w:tcPr>
            <w:tcW w:w="2216" w:type="dxa"/>
            <w:gridSpan w:val="2"/>
            <w:noWrap w:val="0"/>
            <w:vAlign w:val="center"/>
          </w:tcPr>
          <w:p>
            <w:pPr>
              <w:spacing w:line="360" w:lineRule="auto"/>
              <w:rPr>
                <w:color w:val="000000"/>
                <w:szCs w:val="21"/>
              </w:rPr>
            </w:pPr>
            <w:r>
              <w:rPr>
                <w:color w:val="000000"/>
                <w:szCs w:val="21"/>
              </w:rPr>
              <w:t>投标价格</w:t>
            </w:r>
          </w:p>
        </w:tc>
        <w:tc>
          <w:tcPr>
            <w:tcW w:w="4411" w:type="dxa"/>
            <w:gridSpan w:val="2"/>
            <w:noWrap w:val="0"/>
            <w:vAlign w:val="center"/>
          </w:tcPr>
          <w:p>
            <w:pPr>
              <w:rPr>
                <w:color w:val="000000"/>
              </w:rPr>
            </w:pPr>
            <w:r>
              <w:rPr>
                <w:color w:val="000000"/>
                <w:szCs w:val="21"/>
              </w:rPr>
              <w:t>低于（含等于）招标人公布的招标控制价或无本章附件B否决投标条件</w:t>
            </w:r>
            <w:r>
              <w:rPr>
                <w:rFonts w:hint="eastAsia"/>
                <w:color w:val="000000"/>
                <w:szCs w:val="21"/>
              </w:rPr>
              <w:t>的相应</w:t>
            </w:r>
            <w:r>
              <w:rPr>
                <w:color w:val="000000"/>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1" w:hRule="atLeast"/>
          <w:jc w:val="center"/>
        </w:trPr>
        <w:tc>
          <w:tcPr>
            <w:tcW w:w="1952" w:type="dxa"/>
            <w:gridSpan w:val="2"/>
            <w:vMerge w:val="continue"/>
            <w:noWrap w:val="0"/>
            <w:vAlign w:val="center"/>
          </w:tcPr>
          <w:p>
            <w:pPr>
              <w:spacing w:line="360" w:lineRule="auto"/>
              <w:jc w:val="center"/>
              <w:rPr>
                <w:color w:val="000000"/>
                <w:szCs w:val="21"/>
              </w:rPr>
            </w:pPr>
          </w:p>
        </w:tc>
        <w:tc>
          <w:tcPr>
            <w:tcW w:w="2126" w:type="dxa"/>
            <w:gridSpan w:val="3"/>
            <w:vMerge w:val="continue"/>
            <w:noWrap w:val="0"/>
            <w:vAlign w:val="center"/>
          </w:tcPr>
          <w:p>
            <w:pPr>
              <w:spacing w:line="360" w:lineRule="auto"/>
              <w:jc w:val="center"/>
              <w:rPr>
                <w:color w:val="000000"/>
                <w:szCs w:val="21"/>
              </w:rPr>
            </w:pPr>
          </w:p>
        </w:tc>
        <w:tc>
          <w:tcPr>
            <w:tcW w:w="2216" w:type="dxa"/>
            <w:gridSpan w:val="2"/>
            <w:noWrap w:val="0"/>
            <w:vAlign w:val="center"/>
          </w:tcPr>
          <w:p>
            <w:pPr>
              <w:spacing w:line="360" w:lineRule="auto"/>
              <w:rPr>
                <w:rFonts w:hint="eastAsia"/>
                <w:color w:val="000000"/>
                <w:szCs w:val="21"/>
              </w:rPr>
            </w:pPr>
            <w:r>
              <w:rPr>
                <w:color w:val="000000"/>
                <w:szCs w:val="21"/>
              </w:rPr>
              <w:t>分包计划</w:t>
            </w:r>
            <w:r>
              <w:rPr>
                <w:rFonts w:hint="eastAsia"/>
                <w:color w:val="000000"/>
                <w:szCs w:val="21"/>
              </w:rPr>
              <w:t>（如有）</w:t>
            </w:r>
          </w:p>
        </w:tc>
        <w:tc>
          <w:tcPr>
            <w:tcW w:w="4411" w:type="dxa"/>
            <w:gridSpan w:val="2"/>
            <w:noWrap w:val="0"/>
            <w:vAlign w:val="center"/>
          </w:tcPr>
          <w:p>
            <w:pPr>
              <w:spacing w:line="360" w:lineRule="auto"/>
              <w:rPr>
                <w:color w:val="000000"/>
              </w:rPr>
            </w:pPr>
            <w:r>
              <w:rPr>
                <w:color w:val="000000"/>
                <w:szCs w:val="21"/>
              </w:rPr>
              <w:t>符合第二章“投标人须知”第1.1</w:t>
            </w:r>
            <w:r>
              <w:rPr>
                <w:rFonts w:hint="eastAsia"/>
                <w:color w:val="000000"/>
                <w:szCs w:val="21"/>
              </w:rPr>
              <w:t>2</w:t>
            </w:r>
            <w:r>
              <w:rPr>
                <w:color w:val="000000"/>
                <w:szCs w:val="21"/>
              </w:rPr>
              <w:t>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98" w:hRule="atLeast"/>
          <w:jc w:val="center"/>
        </w:trPr>
        <w:tc>
          <w:tcPr>
            <w:tcW w:w="1952" w:type="dxa"/>
            <w:gridSpan w:val="2"/>
            <w:vMerge w:val="continue"/>
            <w:noWrap w:val="0"/>
            <w:vAlign w:val="center"/>
          </w:tcPr>
          <w:p>
            <w:pPr>
              <w:spacing w:line="360" w:lineRule="auto"/>
              <w:jc w:val="center"/>
              <w:rPr>
                <w:color w:val="000000"/>
                <w:szCs w:val="21"/>
              </w:rPr>
            </w:pPr>
          </w:p>
        </w:tc>
        <w:tc>
          <w:tcPr>
            <w:tcW w:w="2126" w:type="dxa"/>
            <w:gridSpan w:val="3"/>
            <w:vMerge w:val="continue"/>
            <w:noWrap w:val="0"/>
            <w:vAlign w:val="center"/>
          </w:tcPr>
          <w:p>
            <w:pPr>
              <w:spacing w:line="360" w:lineRule="auto"/>
              <w:jc w:val="center"/>
              <w:rPr>
                <w:color w:val="000000"/>
                <w:szCs w:val="21"/>
              </w:rPr>
            </w:pPr>
          </w:p>
        </w:tc>
        <w:tc>
          <w:tcPr>
            <w:tcW w:w="2216" w:type="dxa"/>
            <w:gridSpan w:val="2"/>
            <w:noWrap w:val="0"/>
            <w:vAlign w:val="center"/>
          </w:tcPr>
          <w:p>
            <w:pPr>
              <w:spacing w:line="360" w:lineRule="auto"/>
              <w:rPr>
                <w:color w:val="000000"/>
                <w:szCs w:val="21"/>
              </w:rPr>
            </w:pPr>
            <w:r>
              <w:rPr>
                <w:rFonts w:hint="eastAsia"/>
                <w:color w:val="000000"/>
                <w:szCs w:val="21"/>
              </w:rPr>
              <w:t>澄清、说明、修正要求</w:t>
            </w:r>
          </w:p>
        </w:tc>
        <w:tc>
          <w:tcPr>
            <w:tcW w:w="4411" w:type="dxa"/>
            <w:gridSpan w:val="2"/>
            <w:noWrap w:val="0"/>
            <w:vAlign w:val="center"/>
          </w:tcPr>
          <w:p>
            <w:pPr>
              <w:spacing w:line="360" w:lineRule="auto"/>
              <w:rPr>
                <w:color w:val="000000"/>
                <w:szCs w:val="21"/>
              </w:rPr>
            </w:pPr>
            <w:r>
              <w:rPr>
                <w:rFonts w:hint="eastAsia"/>
                <w:color w:val="000000"/>
                <w:szCs w:val="21"/>
              </w:rPr>
              <w:t>符合评分办法正文第3.1.2（3）要求。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 w:hRule="atLeast"/>
          <w:jc w:val="center"/>
        </w:trPr>
        <w:tc>
          <w:tcPr>
            <w:tcW w:w="1952" w:type="dxa"/>
            <w:gridSpan w:val="2"/>
            <w:noWrap w:val="0"/>
            <w:vAlign w:val="center"/>
          </w:tcPr>
          <w:p>
            <w:pPr>
              <w:spacing w:line="360" w:lineRule="auto"/>
              <w:jc w:val="center"/>
              <w:rPr>
                <w:color w:val="000000"/>
                <w:szCs w:val="21"/>
              </w:rPr>
            </w:pPr>
            <w:r>
              <w:rPr>
                <w:rFonts w:hint="eastAsia"/>
                <w:b/>
                <w:color w:val="000000"/>
                <w:szCs w:val="21"/>
              </w:rPr>
              <w:t>2.2</w:t>
            </w:r>
          </w:p>
        </w:tc>
        <w:tc>
          <w:tcPr>
            <w:tcW w:w="2126" w:type="dxa"/>
            <w:gridSpan w:val="3"/>
            <w:noWrap w:val="0"/>
            <w:vAlign w:val="center"/>
          </w:tcPr>
          <w:p>
            <w:pPr>
              <w:spacing w:line="360" w:lineRule="auto"/>
              <w:jc w:val="center"/>
              <w:rPr>
                <w:color w:val="000000"/>
                <w:szCs w:val="21"/>
              </w:rPr>
            </w:pPr>
            <w:r>
              <w:rPr>
                <w:rFonts w:hint="eastAsia"/>
                <w:color w:val="000000"/>
                <w:szCs w:val="21"/>
              </w:rPr>
              <w:t>详细评审</w:t>
            </w:r>
          </w:p>
        </w:tc>
        <w:tc>
          <w:tcPr>
            <w:tcW w:w="6627" w:type="dxa"/>
            <w:gridSpan w:val="4"/>
            <w:noWrap w:val="0"/>
            <w:vAlign w:val="center"/>
          </w:tcPr>
          <w:p>
            <w:pPr>
              <w:spacing w:line="360" w:lineRule="auto"/>
              <w:rPr>
                <w:color w:val="000000"/>
                <w:szCs w:val="21"/>
              </w:rPr>
            </w:pPr>
            <w:r>
              <w:rPr>
                <w:rFonts w:hint="eastAsia"/>
                <w:b/>
                <w:color w:val="000000"/>
                <w:szCs w:val="21"/>
              </w:rPr>
              <w:t>通过资格审查的合格投标人，只有通过了形式性评审和响应性评审，才能进入详细评审程序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75" w:hRule="atLeast"/>
          <w:jc w:val="center"/>
        </w:trPr>
        <w:tc>
          <w:tcPr>
            <w:tcW w:w="1952" w:type="dxa"/>
            <w:gridSpan w:val="2"/>
            <w:vMerge w:val="restart"/>
            <w:noWrap w:val="0"/>
            <w:vAlign w:val="center"/>
          </w:tcPr>
          <w:p>
            <w:pPr>
              <w:spacing w:line="360" w:lineRule="auto"/>
              <w:jc w:val="center"/>
              <w:rPr>
                <w:color w:val="000000"/>
                <w:szCs w:val="21"/>
              </w:rPr>
            </w:pPr>
            <w:r>
              <w:rPr>
                <w:color w:val="000000"/>
                <w:szCs w:val="21"/>
              </w:rPr>
              <w:t>2.2.1</w:t>
            </w:r>
          </w:p>
          <w:p>
            <w:pPr>
              <w:spacing w:line="360" w:lineRule="auto"/>
              <w:jc w:val="center"/>
              <w:rPr>
                <w:color w:val="000000"/>
                <w:szCs w:val="21"/>
              </w:rPr>
            </w:pPr>
          </w:p>
        </w:tc>
        <w:tc>
          <w:tcPr>
            <w:tcW w:w="2126" w:type="dxa"/>
            <w:gridSpan w:val="3"/>
            <w:vMerge w:val="restart"/>
            <w:noWrap w:val="0"/>
            <w:vAlign w:val="center"/>
          </w:tcPr>
          <w:p>
            <w:pPr>
              <w:spacing w:line="360" w:lineRule="auto"/>
              <w:jc w:val="center"/>
              <w:rPr>
                <w:color w:val="000000"/>
                <w:szCs w:val="21"/>
              </w:rPr>
            </w:pPr>
            <w:r>
              <w:rPr>
                <w:rFonts w:hint="eastAsia"/>
                <w:color w:val="000000"/>
                <w:szCs w:val="21"/>
              </w:rPr>
              <w:t>详细评审内容</w:t>
            </w:r>
          </w:p>
          <w:p>
            <w:pPr>
              <w:spacing w:line="360" w:lineRule="auto"/>
              <w:jc w:val="center"/>
              <w:rPr>
                <w:color w:val="000000"/>
                <w:szCs w:val="21"/>
              </w:rPr>
            </w:pPr>
          </w:p>
        </w:tc>
        <w:tc>
          <w:tcPr>
            <w:tcW w:w="2216" w:type="dxa"/>
            <w:gridSpan w:val="2"/>
            <w:vMerge w:val="restart"/>
            <w:noWrap w:val="0"/>
            <w:vAlign w:val="center"/>
          </w:tcPr>
          <w:p>
            <w:pPr>
              <w:spacing w:line="360" w:lineRule="auto"/>
              <w:rPr>
                <w:rFonts w:hint="eastAsia"/>
                <w:color w:val="000000"/>
                <w:szCs w:val="21"/>
              </w:rPr>
            </w:pPr>
            <w:r>
              <w:rPr>
                <w:rFonts w:hint="eastAsia"/>
                <w:color w:val="000000"/>
                <w:szCs w:val="21"/>
              </w:rPr>
              <w:t>分值权重构成</w:t>
            </w:r>
          </w:p>
          <w:p>
            <w:pPr>
              <w:spacing w:line="360" w:lineRule="auto"/>
              <w:rPr>
                <w:color w:val="000000"/>
                <w:szCs w:val="21"/>
              </w:rPr>
            </w:pPr>
            <w:r>
              <w:rPr>
                <w:rFonts w:hint="eastAsia"/>
                <w:color w:val="000000"/>
                <w:szCs w:val="21"/>
              </w:rPr>
              <w:t>（100%）</w:t>
            </w:r>
          </w:p>
        </w:tc>
        <w:tc>
          <w:tcPr>
            <w:tcW w:w="4411" w:type="dxa"/>
            <w:gridSpan w:val="2"/>
            <w:noWrap w:val="0"/>
            <w:vAlign w:val="top"/>
          </w:tcPr>
          <w:p>
            <w:pPr>
              <w:spacing w:line="440" w:lineRule="exact"/>
              <w:rPr>
                <w:rFonts w:hint="eastAsia"/>
                <w:color w:val="000000"/>
                <w:szCs w:val="21"/>
              </w:rPr>
            </w:pPr>
            <w:r>
              <w:rPr>
                <w:rFonts w:hint="eastAsia"/>
                <w:color w:val="000000"/>
                <w:szCs w:val="21"/>
              </w:rPr>
              <w:t>项目方案设计完成后初步设计完成前：</w:t>
            </w:r>
          </w:p>
          <w:p>
            <w:pPr>
              <w:spacing w:line="440" w:lineRule="exact"/>
              <w:rPr>
                <w:rFonts w:hint="eastAsia"/>
                <w:color w:val="000000"/>
                <w:szCs w:val="21"/>
              </w:rPr>
            </w:pPr>
            <w:r>
              <w:rPr>
                <w:rFonts w:hint="eastAsia"/>
                <w:color w:val="000000"/>
                <w:szCs w:val="21"/>
              </w:rPr>
              <w:t>资信业绩</w:t>
            </w:r>
            <w:r>
              <w:rPr>
                <w:rFonts w:hint="eastAsia"/>
                <w:color w:val="000000"/>
                <w:szCs w:val="21"/>
                <w:u w:val="single"/>
              </w:rPr>
              <w:t>（10～</w:t>
            </w:r>
            <w:r>
              <w:rPr>
                <w:color w:val="000000"/>
                <w:szCs w:val="21"/>
                <w:u w:val="single"/>
              </w:rPr>
              <w:t>15</w:t>
            </w:r>
            <w:r>
              <w:rPr>
                <w:rFonts w:hint="eastAsia"/>
                <w:color w:val="000000"/>
                <w:szCs w:val="21"/>
                <w:u w:val="single"/>
              </w:rPr>
              <w:t>）</w:t>
            </w:r>
            <w:r>
              <w:rPr>
                <w:rFonts w:hint="eastAsia"/>
                <w:color w:val="000000"/>
                <w:szCs w:val="21"/>
              </w:rPr>
              <w:t>%</w:t>
            </w:r>
          </w:p>
          <w:p>
            <w:pPr>
              <w:spacing w:line="440" w:lineRule="exact"/>
              <w:rPr>
                <w:rFonts w:hint="eastAsia"/>
                <w:color w:val="000000"/>
                <w:szCs w:val="21"/>
              </w:rPr>
            </w:pPr>
            <w:r>
              <w:rPr>
                <w:rFonts w:hint="eastAsia"/>
                <w:color w:val="000000"/>
                <w:szCs w:val="21"/>
              </w:rPr>
              <w:t>商务标</w:t>
            </w:r>
            <w:r>
              <w:rPr>
                <w:rFonts w:hint="eastAsia"/>
                <w:color w:val="000000"/>
                <w:szCs w:val="21"/>
                <w:u w:val="single"/>
              </w:rPr>
              <w:t>（</w:t>
            </w:r>
            <w:r>
              <w:rPr>
                <w:color w:val="000000"/>
                <w:szCs w:val="21"/>
                <w:u w:val="single"/>
              </w:rPr>
              <w:t>4</w:t>
            </w:r>
            <w:r>
              <w:rPr>
                <w:rFonts w:hint="eastAsia"/>
                <w:color w:val="000000"/>
                <w:szCs w:val="21"/>
                <w:u w:val="single"/>
              </w:rPr>
              <w:t>0～</w:t>
            </w:r>
            <w:r>
              <w:rPr>
                <w:color w:val="000000"/>
                <w:szCs w:val="21"/>
                <w:u w:val="single"/>
              </w:rPr>
              <w:t>6</w:t>
            </w:r>
            <w:r>
              <w:rPr>
                <w:rFonts w:hint="eastAsia"/>
                <w:color w:val="000000"/>
                <w:szCs w:val="21"/>
                <w:u w:val="single"/>
              </w:rPr>
              <w:t>0）</w:t>
            </w:r>
            <w:r>
              <w:rPr>
                <w:rFonts w:hint="eastAsia"/>
                <w:color w:val="000000"/>
                <w:szCs w:val="21"/>
              </w:rPr>
              <w:t>%</w:t>
            </w:r>
          </w:p>
          <w:p>
            <w:pPr>
              <w:spacing w:line="440" w:lineRule="exact"/>
              <w:rPr>
                <w:rFonts w:hint="eastAsia"/>
                <w:color w:val="000000"/>
                <w:szCs w:val="21"/>
              </w:rPr>
            </w:pPr>
            <w:r>
              <w:rPr>
                <w:rFonts w:hint="eastAsia"/>
                <w:color w:val="000000"/>
                <w:szCs w:val="21"/>
              </w:rPr>
              <w:t>工程总承包工作大纲</w:t>
            </w:r>
            <w:r>
              <w:rPr>
                <w:rFonts w:hint="eastAsia"/>
                <w:color w:val="000000"/>
                <w:szCs w:val="21"/>
                <w:u w:val="single"/>
              </w:rPr>
              <w:t>（</w:t>
            </w:r>
            <w:r>
              <w:rPr>
                <w:color w:val="000000"/>
                <w:szCs w:val="21"/>
                <w:u w:val="single"/>
              </w:rPr>
              <w:t>5</w:t>
            </w:r>
            <w:r>
              <w:rPr>
                <w:rFonts w:hint="eastAsia"/>
                <w:color w:val="000000"/>
                <w:szCs w:val="21"/>
                <w:u w:val="single"/>
              </w:rPr>
              <w:t>～</w:t>
            </w:r>
            <w:r>
              <w:rPr>
                <w:color w:val="000000"/>
                <w:szCs w:val="21"/>
                <w:u w:val="single"/>
              </w:rPr>
              <w:t>10</w:t>
            </w:r>
            <w:r>
              <w:rPr>
                <w:rFonts w:hint="eastAsia"/>
                <w:color w:val="000000"/>
                <w:szCs w:val="21"/>
                <w:u w:val="single"/>
              </w:rPr>
              <w:t>）</w:t>
            </w:r>
            <w:r>
              <w:rPr>
                <w:rFonts w:hint="eastAsia"/>
                <w:color w:val="000000"/>
                <w:szCs w:val="21"/>
              </w:rPr>
              <w:t>%</w:t>
            </w:r>
          </w:p>
          <w:p>
            <w:pPr>
              <w:spacing w:line="440" w:lineRule="exact"/>
              <w:rPr>
                <w:rFonts w:hint="eastAsia"/>
                <w:color w:val="000000"/>
                <w:szCs w:val="21"/>
              </w:rPr>
            </w:pPr>
            <w:r>
              <w:rPr>
                <w:rFonts w:hint="eastAsia"/>
                <w:color w:val="000000"/>
                <w:szCs w:val="21"/>
              </w:rPr>
              <w:t>施工组织设计</w:t>
            </w:r>
            <w:r>
              <w:rPr>
                <w:rFonts w:hint="eastAsia"/>
                <w:color w:val="000000"/>
                <w:szCs w:val="21"/>
                <w:u w:val="single"/>
              </w:rPr>
              <w:t>（</w:t>
            </w:r>
            <w:r>
              <w:rPr>
                <w:color w:val="000000"/>
                <w:szCs w:val="21"/>
                <w:u w:val="single"/>
              </w:rPr>
              <w:t>5</w:t>
            </w:r>
            <w:r>
              <w:rPr>
                <w:rFonts w:hint="eastAsia"/>
                <w:color w:val="000000"/>
                <w:szCs w:val="21"/>
                <w:u w:val="single"/>
              </w:rPr>
              <w:t>～1</w:t>
            </w:r>
            <w:r>
              <w:rPr>
                <w:color w:val="000000"/>
                <w:szCs w:val="21"/>
                <w:u w:val="single"/>
              </w:rPr>
              <w:t>0</w:t>
            </w:r>
            <w:r>
              <w:rPr>
                <w:rFonts w:hint="eastAsia"/>
                <w:color w:val="000000"/>
                <w:szCs w:val="21"/>
                <w:u w:val="single"/>
              </w:rPr>
              <w:t>）</w:t>
            </w:r>
            <w:r>
              <w:rPr>
                <w:rFonts w:hint="eastAsia"/>
                <w:color w:val="000000"/>
                <w:szCs w:val="21"/>
              </w:rPr>
              <w:t>%</w:t>
            </w:r>
          </w:p>
          <w:p>
            <w:pPr>
              <w:spacing w:line="440" w:lineRule="exact"/>
              <w:rPr>
                <w:rFonts w:hint="eastAsia"/>
                <w:color w:val="000000"/>
                <w:szCs w:val="21"/>
              </w:rPr>
            </w:pPr>
            <w:r>
              <w:rPr>
                <w:rFonts w:hint="eastAsia"/>
                <w:color w:val="000000"/>
                <w:szCs w:val="21"/>
              </w:rPr>
              <w:t>设计标</w:t>
            </w:r>
            <w:r>
              <w:rPr>
                <w:rFonts w:hint="eastAsia"/>
                <w:color w:val="000000"/>
                <w:szCs w:val="21"/>
                <w:u w:val="single"/>
              </w:rPr>
              <w:t>（</w:t>
            </w:r>
            <w:r>
              <w:rPr>
                <w:color w:val="000000"/>
                <w:szCs w:val="21"/>
                <w:u w:val="single"/>
              </w:rPr>
              <w:t>1</w:t>
            </w:r>
            <w:r>
              <w:rPr>
                <w:rFonts w:hint="eastAsia"/>
                <w:color w:val="000000"/>
                <w:szCs w:val="21"/>
                <w:u w:val="single"/>
              </w:rPr>
              <w:t>0～</w:t>
            </w:r>
            <w:r>
              <w:rPr>
                <w:color w:val="000000"/>
                <w:szCs w:val="21"/>
                <w:u w:val="single"/>
              </w:rPr>
              <w:t>15</w:t>
            </w:r>
            <w:r>
              <w:rPr>
                <w:rFonts w:hint="eastAsia"/>
                <w:color w:val="000000"/>
                <w:szCs w:val="21"/>
                <w:u w:val="single"/>
              </w:rPr>
              <w:t>）</w:t>
            </w: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75" w:hRule="atLeast"/>
          <w:jc w:val="center"/>
        </w:trPr>
        <w:tc>
          <w:tcPr>
            <w:tcW w:w="1952" w:type="dxa"/>
            <w:gridSpan w:val="2"/>
            <w:vMerge w:val="continue"/>
            <w:noWrap w:val="0"/>
            <w:vAlign w:val="center"/>
          </w:tcPr>
          <w:p>
            <w:pPr>
              <w:spacing w:line="360" w:lineRule="auto"/>
              <w:jc w:val="center"/>
              <w:rPr>
                <w:color w:val="000000"/>
                <w:szCs w:val="21"/>
              </w:rPr>
            </w:pPr>
          </w:p>
        </w:tc>
        <w:tc>
          <w:tcPr>
            <w:tcW w:w="2126" w:type="dxa"/>
            <w:gridSpan w:val="3"/>
            <w:vMerge w:val="continue"/>
            <w:noWrap w:val="0"/>
            <w:vAlign w:val="center"/>
          </w:tcPr>
          <w:p>
            <w:pPr>
              <w:spacing w:line="360" w:lineRule="auto"/>
              <w:jc w:val="center"/>
              <w:rPr>
                <w:rFonts w:hint="eastAsia"/>
                <w:color w:val="000000"/>
                <w:szCs w:val="21"/>
              </w:rPr>
            </w:pPr>
          </w:p>
        </w:tc>
        <w:tc>
          <w:tcPr>
            <w:tcW w:w="2216" w:type="dxa"/>
            <w:gridSpan w:val="2"/>
            <w:vMerge w:val="continue"/>
            <w:noWrap w:val="0"/>
            <w:vAlign w:val="center"/>
          </w:tcPr>
          <w:p>
            <w:pPr>
              <w:spacing w:line="360" w:lineRule="auto"/>
              <w:rPr>
                <w:rFonts w:hint="eastAsia"/>
                <w:color w:val="000000"/>
                <w:szCs w:val="21"/>
              </w:rPr>
            </w:pPr>
          </w:p>
        </w:tc>
        <w:tc>
          <w:tcPr>
            <w:tcW w:w="4411" w:type="dxa"/>
            <w:gridSpan w:val="2"/>
            <w:noWrap w:val="0"/>
            <w:vAlign w:val="top"/>
          </w:tcPr>
          <w:p>
            <w:pPr>
              <w:spacing w:line="440" w:lineRule="exact"/>
              <w:rPr>
                <w:rFonts w:hint="eastAsia"/>
                <w:color w:val="000000"/>
                <w:szCs w:val="21"/>
              </w:rPr>
            </w:pPr>
            <w:r>
              <w:rPr>
                <w:rFonts w:hint="eastAsia"/>
                <w:color w:val="000000"/>
                <w:szCs w:val="21"/>
              </w:rPr>
              <w:t>初步设计完成后施工图设计完成前：</w:t>
            </w:r>
          </w:p>
          <w:p>
            <w:pPr>
              <w:spacing w:line="440" w:lineRule="exact"/>
              <w:rPr>
                <w:rFonts w:hint="eastAsia"/>
                <w:color w:val="000000"/>
                <w:szCs w:val="21"/>
              </w:rPr>
            </w:pPr>
            <w:r>
              <w:rPr>
                <w:rFonts w:hint="eastAsia"/>
                <w:color w:val="000000"/>
                <w:szCs w:val="21"/>
              </w:rPr>
              <w:t>资信业绩</w:t>
            </w:r>
            <w:r>
              <w:rPr>
                <w:rFonts w:hint="eastAsia"/>
                <w:color w:val="000000"/>
                <w:szCs w:val="21"/>
                <w:u w:val="single"/>
              </w:rPr>
              <w:t>（</w:t>
            </w:r>
            <w:r>
              <w:rPr>
                <w:rFonts w:ascii="宋体" w:hAnsi="宋体"/>
                <w:color w:val="000000"/>
                <w:szCs w:val="21"/>
                <w:u w:val="single"/>
              </w:rPr>
              <w:t>15</w:t>
            </w:r>
            <w:r>
              <w:rPr>
                <w:rFonts w:hint="eastAsia" w:ascii="宋体" w:hAnsi="宋体"/>
                <w:color w:val="000000"/>
                <w:szCs w:val="21"/>
                <w:u w:val="single"/>
              </w:rPr>
              <w:t>～</w:t>
            </w:r>
            <w:r>
              <w:rPr>
                <w:rFonts w:ascii="宋体" w:hAnsi="宋体"/>
                <w:color w:val="000000"/>
                <w:szCs w:val="21"/>
                <w:u w:val="single"/>
              </w:rPr>
              <w:t>20</w:t>
            </w:r>
            <w:r>
              <w:rPr>
                <w:rFonts w:hint="eastAsia" w:ascii="宋体" w:hAnsi="宋体"/>
                <w:color w:val="000000"/>
                <w:szCs w:val="21"/>
                <w:u w:val="single"/>
              </w:rPr>
              <w:t>）</w:t>
            </w:r>
            <w:r>
              <w:rPr>
                <w:rFonts w:hint="eastAsia"/>
                <w:color w:val="000000"/>
                <w:szCs w:val="21"/>
              </w:rPr>
              <w:t>%</w:t>
            </w:r>
          </w:p>
          <w:p>
            <w:pPr>
              <w:spacing w:line="440" w:lineRule="exact"/>
              <w:rPr>
                <w:rFonts w:hint="eastAsia"/>
                <w:color w:val="000000"/>
                <w:szCs w:val="21"/>
              </w:rPr>
            </w:pPr>
            <w:r>
              <w:rPr>
                <w:rFonts w:hint="eastAsia"/>
                <w:color w:val="000000"/>
                <w:szCs w:val="21"/>
              </w:rPr>
              <w:t>商务标</w:t>
            </w:r>
            <w:r>
              <w:rPr>
                <w:rFonts w:hint="eastAsia"/>
                <w:color w:val="000000"/>
                <w:szCs w:val="21"/>
                <w:u w:val="single"/>
              </w:rPr>
              <w:t>（</w:t>
            </w:r>
            <w:r>
              <w:rPr>
                <w:color w:val="000000"/>
                <w:szCs w:val="21"/>
                <w:u w:val="single"/>
              </w:rPr>
              <w:t>4</w:t>
            </w:r>
            <w:r>
              <w:rPr>
                <w:rFonts w:hint="eastAsia"/>
                <w:color w:val="000000"/>
                <w:szCs w:val="21"/>
                <w:u w:val="single"/>
              </w:rPr>
              <w:t>0</w:t>
            </w:r>
            <w:r>
              <w:rPr>
                <w:rFonts w:hint="eastAsia" w:ascii="宋体" w:hAnsi="宋体"/>
                <w:color w:val="000000"/>
                <w:szCs w:val="21"/>
                <w:u w:val="single"/>
              </w:rPr>
              <w:t>～</w:t>
            </w:r>
            <w:r>
              <w:rPr>
                <w:rFonts w:ascii="宋体" w:hAnsi="宋体"/>
                <w:color w:val="000000"/>
                <w:szCs w:val="21"/>
                <w:u w:val="single"/>
              </w:rPr>
              <w:t>6</w:t>
            </w:r>
            <w:r>
              <w:rPr>
                <w:rFonts w:hint="eastAsia" w:ascii="宋体" w:hAnsi="宋体"/>
                <w:color w:val="000000"/>
                <w:szCs w:val="21"/>
                <w:u w:val="single"/>
              </w:rPr>
              <w:t>0）</w:t>
            </w:r>
            <w:r>
              <w:rPr>
                <w:rFonts w:hint="eastAsia"/>
                <w:color w:val="000000"/>
                <w:szCs w:val="21"/>
              </w:rPr>
              <w:t>%</w:t>
            </w:r>
          </w:p>
          <w:p>
            <w:pPr>
              <w:spacing w:line="440" w:lineRule="exact"/>
              <w:rPr>
                <w:rFonts w:hint="eastAsia"/>
                <w:color w:val="000000"/>
                <w:szCs w:val="21"/>
              </w:rPr>
            </w:pPr>
            <w:r>
              <w:rPr>
                <w:rFonts w:hint="eastAsia"/>
                <w:color w:val="000000"/>
                <w:szCs w:val="21"/>
              </w:rPr>
              <w:t>工程总承包工作大纲</w:t>
            </w:r>
            <w:r>
              <w:rPr>
                <w:rFonts w:hint="eastAsia"/>
                <w:color w:val="000000"/>
                <w:szCs w:val="21"/>
                <w:u w:val="single"/>
              </w:rPr>
              <w:t>（</w:t>
            </w:r>
            <w:r>
              <w:rPr>
                <w:color w:val="000000"/>
                <w:szCs w:val="21"/>
                <w:u w:val="single"/>
              </w:rPr>
              <w:t>5</w:t>
            </w:r>
            <w:r>
              <w:rPr>
                <w:rFonts w:hint="eastAsia" w:ascii="宋体" w:hAnsi="宋体"/>
                <w:color w:val="000000"/>
                <w:szCs w:val="21"/>
                <w:u w:val="single"/>
              </w:rPr>
              <w:t>～</w:t>
            </w:r>
            <w:r>
              <w:rPr>
                <w:color w:val="000000"/>
                <w:szCs w:val="21"/>
                <w:u w:val="single"/>
              </w:rPr>
              <w:t>10</w:t>
            </w:r>
            <w:r>
              <w:rPr>
                <w:rFonts w:hint="eastAsia"/>
                <w:color w:val="000000"/>
                <w:szCs w:val="21"/>
                <w:u w:val="single"/>
              </w:rPr>
              <w:t>）</w:t>
            </w:r>
            <w:r>
              <w:rPr>
                <w:rFonts w:hint="eastAsia"/>
                <w:color w:val="000000"/>
                <w:szCs w:val="21"/>
              </w:rPr>
              <w:t>%</w:t>
            </w:r>
          </w:p>
          <w:p>
            <w:pPr>
              <w:spacing w:line="440" w:lineRule="exact"/>
              <w:rPr>
                <w:rFonts w:hint="eastAsia"/>
                <w:color w:val="000000"/>
                <w:szCs w:val="21"/>
              </w:rPr>
            </w:pPr>
            <w:r>
              <w:rPr>
                <w:rFonts w:hint="eastAsia"/>
                <w:color w:val="000000"/>
                <w:szCs w:val="21"/>
              </w:rPr>
              <w:t>施工组织设计</w:t>
            </w:r>
            <w:r>
              <w:rPr>
                <w:rFonts w:hint="eastAsia"/>
                <w:color w:val="000000"/>
                <w:szCs w:val="21"/>
                <w:u w:val="single"/>
              </w:rPr>
              <w:t>（</w:t>
            </w:r>
            <w:r>
              <w:rPr>
                <w:color w:val="000000"/>
                <w:szCs w:val="21"/>
                <w:u w:val="single"/>
              </w:rPr>
              <w:t>1</w:t>
            </w:r>
            <w:r>
              <w:rPr>
                <w:rFonts w:hint="eastAsia"/>
                <w:color w:val="000000"/>
                <w:szCs w:val="21"/>
                <w:u w:val="single"/>
              </w:rPr>
              <w:t>0</w:t>
            </w:r>
            <w:r>
              <w:rPr>
                <w:rFonts w:hint="eastAsia" w:ascii="宋体" w:hAnsi="宋体"/>
                <w:color w:val="000000"/>
                <w:szCs w:val="21"/>
                <w:u w:val="single"/>
              </w:rPr>
              <w:t>～</w:t>
            </w:r>
            <w:r>
              <w:rPr>
                <w:color w:val="000000"/>
                <w:szCs w:val="21"/>
                <w:u w:val="single"/>
              </w:rPr>
              <w:t>15</w:t>
            </w:r>
            <w:r>
              <w:rPr>
                <w:rFonts w:hint="eastAsia"/>
                <w:color w:val="000000"/>
                <w:szCs w:val="21"/>
                <w:u w:val="single"/>
              </w:rPr>
              <w:t>）</w:t>
            </w:r>
            <w:r>
              <w:rPr>
                <w:rFonts w:hint="eastAsia"/>
                <w:color w:val="000000"/>
                <w:szCs w:val="21"/>
              </w:rPr>
              <w:t>%</w:t>
            </w:r>
          </w:p>
          <w:p>
            <w:pPr>
              <w:spacing w:line="440" w:lineRule="exact"/>
              <w:rPr>
                <w:rFonts w:hint="eastAsia"/>
                <w:color w:val="000000"/>
                <w:szCs w:val="21"/>
              </w:rPr>
            </w:pPr>
            <w:r>
              <w:rPr>
                <w:rFonts w:hint="eastAsia"/>
                <w:color w:val="000000"/>
                <w:szCs w:val="21"/>
              </w:rPr>
              <w:t>设计标</w:t>
            </w:r>
            <w:r>
              <w:rPr>
                <w:rFonts w:hint="eastAsia"/>
                <w:color w:val="000000"/>
                <w:szCs w:val="21"/>
                <w:u w:val="single"/>
              </w:rPr>
              <w:t>（</w:t>
            </w:r>
            <w:r>
              <w:rPr>
                <w:color w:val="000000"/>
                <w:szCs w:val="21"/>
                <w:u w:val="single"/>
              </w:rPr>
              <w:t>5</w:t>
            </w:r>
            <w:r>
              <w:rPr>
                <w:rFonts w:hint="eastAsia" w:ascii="宋体" w:hAnsi="宋体"/>
                <w:color w:val="000000"/>
                <w:szCs w:val="21"/>
                <w:u w:val="single"/>
              </w:rPr>
              <w:t>～</w:t>
            </w:r>
            <w:r>
              <w:rPr>
                <w:color w:val="000000"/>
                <w:szCs w:val="21"/>
                <w:u w:val="single"/>
              </w:rPr>
              <w:t>10</w:t>
            </w:r>
            <w:r>
              <w:rPr>
                <w:rFonts w:hint="eastAsia"/>
                <w:color w:val="000000"/>
                <w:szCs w:val="21"/>
                <w:u w:val="single"/>
              </w:rPr>
              <w:t>）</w:t>
            </w: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07" w:hRule="atLeast"/>
          <w:jc w:val="center"/>
        </w:trPr>
        <w:tc>
          <w:tcPr>
            <w:tcW w:w="1952" w:type="dxa"/>
            <w:gridSpan w:val="2"/>
            <w:vMerge w:val="continue"/>
            <w:noWrap w:val="0"/>
            <w:vAlign w:val="center"/>
          </w:tcPr>
          <w:p>
            <w:pPr>
              <w:spacing w:line="360" w:lineRule="auto"/>
              <w:jc w:val="center"/>
              <w:rPr>
                <w:rFonts w:hint="eastAsia"/>
                <w:color w:val="000000"/>
                <w:szCs w:val="21"/>
              </w:rPr>
            </w:pPr>
          </w:p>
        </w:tc>
        <w:tc>
          <w:tcPr>
            <w:tcW w:w="2126" w:type="dxa"/>
            <w:gridSpan w:val="3"/>
            <w:vMerge w:val="continue"/>
            <w:noWrap w:val="0"/>
            <w:vAlign w:val="center"/>
          </w:tcPr>
          <w:p>
            <w:pPr>
              <w:spacing w:line="360" w:lineRule="auto"/>
              <w:jc w:val="center"/>
              <w:rPr>
                <w:rFonts w:hint="eastAsia"/>
                <w:color w:val="000000"/>
                <w:szCs w:val="21"/>
              </w:rPr>
            </w:pPr>
          </w:p>
        </w:tc>
        <w:tc>
          <w:tcPr>
            <w:tcW w:w="6627" w:type="dxa"/>
            <w:gridSpan w:val="4"/>
            <w:noWrap w:val="0"/>
            <w:vAlign w:val="top"/>
          </w:tcPr>
          <w:p>
            <w:pPr>
              <w:spacing w:line="360" w:lineRule="auto"/>
              <w:jc w:val="center"/>
              <w:rPr>
                <w:rFonts w:hint="eastAsia"/>
                <w:color w:val="000000"/>
                <w:szCs w:val="21"/>
              </w:rPr>
            </w:pPr>
            <w:r>
              <w:rPr>
                <w:rFonts w:hint="eastAsia"/>
                <w:color w:val="000000"/>
                <w:szCs w:val="21"/>
              </w:rPr>
              <w:t>商务标分值权重 = 企业信誉实力分分值权重+ 报价分分值权重</w:t>
            </w:r>
          </w:p>
          <w:p>
            <w:pPr>
              <w:spacing w:line="360" w:lineRule="auto"/>
              <w:jc w:val="left"/>
              <w:rPr>
                <w:rFonts w:hint="eastAsia"/>
                <w:color w:val="000000"/>
                <w:szCs w:val="21"/>
              </w:rPr>
            </w:pPr>
            <w:r>
              <w:rPr>
                <w:rFonts w:hint="eastAsia"/>
                <w:color w:val="000000"/>
                <w:szCs w:val="21"/>
              </w:rPr>
              <w:t>先由招标人在开标现场随机抽取确定企业信誉实力分分值权重后，报价分分值权重= 商务标分值权重 - 企业信誉实力分分值权重</w:t>
            </w:r>
          </w:p>
          <w:p>
            <w:pPr>
              <w:spacing w:line="360" w:lineRule="auto"/>
              <w:jc w:val="left"/>
              <w:rPr>
                <w:rFonts w:hint="eastAsia"/>
                <w:color w:val="000000"/>
                <w:szCs w:val="21"/>
              </w:rPr>
            </w:pPr>
            <w:r>
              <w:rPr>
                <w:rFonts w:hint="eastAsia"/>
                <w:color w:val="000000"/>
                <w:szCs w:val="21"/>
              </w:rPr>
              <w:t>企业信誉实力</w:t>
            </w:r>
            <w:r>
              <w:rPr>
                <w:rFonts w:hint="eastAsia"/>
                <w:szCs w:val="21"/>
              </w:rPr>
              <w:t>分分值权重按0%-1</w:t>
            </w:r>
            <w:r>
              <w:rPr>
                <w:szCs w:val="21"/>
              </w:rPr>
              <w:t>3</w:t>
            </w:r>
            <w:r>
              <w:rPr>
                <w:rFonts w:hint="eastAsia"/>
                <w:szCs w:val="21"/>
              </w:rPr>
              <w:t>%记入投标总分，具体按工程规模大小随机抽取。原则小型工程从0%、1%、2%、3%中抽取一个，中型工程从5</w:t>
            </w:r>
            <w:r>
              <w:rPr>
                <w:szCs w:val="21"/>
              </w:rPr>
              <w:t>%</w:t>
            </w:r>
            <w:r>
              <w:rPr>
                <w:rFonts w:hint="eastAsia"/>
                <w:szCs w:val="21"/>
              </w:rPr>
              <w:t>、6%、7%、8%中抽取一个，大型工程从取10%、</w:t>
            </w:r>
            <w:r>
              <w:rPr>
                <w:szCs w:val="21"/>
              </w:rPr>
              <w:t>1</w:t>
            </w:r>
            <w:r>
              <w:rPr>
                <w:rFonts w:hint="eastAsia"/>
                <w:szCs w:val="21"/>
              </w:rPr>
              <w:t>1%、12%、</w:t>
            </w:r>
            <w:r>
              <w:rPr>
                <w:szCs w:val="21"/>
              </w:rPr>
              <w:t>13%</w:t>
            </w:r>
            <w:r>
              <w:rPr>
                <w:rFonts w:hint="eastAsia"/>
                <w:szCs w:val="21"/>
              </w:rPr>
              <w:t>中抽取一个</w:t>
            </w:r>
            <w:r>
              <w:rPr>
                <w:rFonts w:hint="eastAsia"/>
                <w:color w:val="FF0000"/>
                <w:szCs w:val="21"/>
              </w:rPr>
              <w:t>，</w:t>
            </w:r>
            <w:r>
              <w:rPr>
                <w:rFonts w:hint="eastAsia"/>
                <w:color w:val="000000"/>
                <w:szCs w:val="21"/>
              </w:rPr>
              <w:t>以随机抽取的比例乘以根据《广西壮族自治区建筑企业诚信综合评价办法》（试行)评价得到的企业诚信综合评价分计入投标总分。</w:t>
            </w:r>
          </w:p>
          <w:p>
            <w:pPr>
              <w:spacing w:line="360" w:lineRule="auto"/>
              <w:rPr>
                <w:color w:val="000000"/>
                <w:szCs w:val="21"/>
              </w:rPr>
            </w:pPr>
            <w:r>
              <w:rPr>
                <w:rFonts w:hint="eastAsia"/>
                <w:color w:val="000000"/>
                <w:szCs w:val="21"/>
              </w:rPr>
              <w:t>【例如：若商务标分值权重为</w:t>
            </w:r>
            <w:r>
              <w:rPr>
                <w:color w:val="000000"/>
                <w:szCs w:val="21"/>
              </w:rPr>
              <w:t>5</w:t>
            </w:r>
            <w:r>
              <w:rPr>
                <w:rFonts w:hint="eastAsia"/>
                <w:color w:val="000000"/>
                <w:szCs w:val="21"/>
              </w:rPr>
              <w:t>0%，若在开标现场随机抽取的中型工程企业信誉实力分分值权重为7%，则报价分分值权重应为</w:t>
            </w:r>
            <w:r>
              <w:rPr>
                <w:color w:val="000000"/>
                <w:szCs w:val="21"/>
              </w:rPr>
              <w:t>4</w:t>
            </w:r>
            <w:r>
              <w:rPr>
                <w:rFonts w:hint="eastAsia"/>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07" w:hRule="atLeast"/>
          <w:jc w:val="center"/>
        </w:trPr>
        <w:tc>
          <w:tcPr>
            <w:tcW w:w="1952" w:type="dxa"/>
            <w:gridSpan w:val="2"/>
            <w:noWrap w:val="0"/>
            <w:vAlign w:val="center"/>
          </w:tcPr>
          <w:p>
            <w:pPr>
              <w:spacing w:line="360" w:lineRule="auto"/>
              <w:jc w:val="center"/>
              <w:rPr>
                <w:rFonts w:hint="eastAsia"/>
                <w:color w:val="000000"/>
                <w:szCs w:val="21"/>
              </w:rPr>
            </w:pPr>
            <w:r>
              <w:rPr>
                <w:rFonts w:hint="eastAsia"/>
                <w:color w:val="000000"/>
                <w:szCs w:val="21"/>
              </w:rPr>
              <w:t>2.2.2</w:t>
            </w:r>
          </w:p>
        </w:tc>
        <w:tc>
          <w:tcPr>
            <w:tcW w:w="2126" w:type="dxa"/>
            <w:gridSpan w:val="3"/>
            <w:noWrap w:val="0"/>
            <w:vAlign w:val="center"/>
          </w:tcPr>
          <w:p>
            <w:pPr>
              <w:spacing w:line="360" w:lineRule="auto"/>
              <w:jc w:val="center"/>
              <w:rPr>
                <w:rFonts w:hint="eastAsia"/>
                <w:color w:val="000000"/>
                <w:szCs w:val="21"/>
              </w:rPr>
            </w:pPr>
            <w:r>
              <w:rPr>
                <w:rFonts w:hint="eastAsia"/>
                <w:color w:val="000000"/>
                <w:szCs w:val="21"/>
              </w:rPr>
              <w:t>评标基准价计算方法</w:t>
            </w:r>
          </w:p>
        </w:tc>
        <w:tc>
          <w:tcPr>
            <w:tcW w:w="6627" w:type="dxa"/>
            <w:gridSpan w:val="4"/>
            <w:noWrap w:val="0"/>
            <w:vAlign w:val="top"/>
          </w:tcPr>
          <w:p>
            <w:pPr>
              <w:spacing w:line="440" w:lineRule="exact"/>
              <w:rPr>
                <w:rFonts w:hint="eastAsia"/>
                <w:color w:val="000000"/>
                <w:szCs w:val="21"/>
              </w:rPr>
            </w:pPr>
            <w:r>
              <w:rPr>
                <w:rFonts w:hint="eastAsia"/>
                <w:color w:val="000000"/>
                <w:szCs w:val="21"/>
              </w:rPr>
              <w:t>（1）有效报价范围：为投标总价低于或等于招标控制价，通过资格评审、形式评审、响应性评审、技术标（含工程总承包工作大纲、施工组织设计）、</w:t>
            </w:r>
            <w:r>
              <w:rPr>
                <w:color w:val="000000"/>
                <w:szCs w:val="21"/>
              </w:rPr>
              <w:t>设计标</w:t>
            </w:r>
            <w:r>
              <w:rPr>
                <w:rFonts w:hint="eastAsia"/>
                <w:color w:val="000000"/>
                <w:szCs w:val="21"/>
              </w:rPr>
              <w:t>评审合格、经评标委员会审定不存在严重不平衡、不合理、不低于其企业成本的投标人投标总价。</w:t>
            </w:r>
          </w:p>
          <w:p>
            <w:pPr>
              <w:spacing w:line="440" w:lineRule="exact"/>
              <w:rPr>
                <w:rFonts w:hint="eastAsia"/>
                <w:color w:val="000000"/>
                <w:szCs w:val="21"/>
              </w:rPr>
            </w:pPr>
            <w:r>
              <w:rPr>
                <w:rFonts w:hint="eastAsia"/>
                <w:color w:val="000000"/>
                <w:szCs w:val="21"/>
              </w:rPr>
              <w:t>（2）将有效报价范围内的投标总价，按由低到高的顺序依次排出名次。</w:t>
            </w:r>
          </w:p>
          <w:p>
            <w:pPr>
              <w:spacing w:line="440" w:lineRule="exact"/>
              <w:rPr>
                <w:rFonts w:hint="eastAsia"/>
                <w:color w:val="000000"/>
                <w:szCs w:val="21"/>
              </w:rPr>
            </w:pPr>
            <w:r>
              <w:rPr>
                <w:rFonts w:hint="eastAsia"/>
                <w:color w:val="000000"/>
                <w:szCs w:val="21"/>
              </w:rPr>
              <w:t>（3）评标基准</w:t>
            </w:r>
            <w:r>
              <w:rPr>
                <w:rFonts w:hint="eastAsia" w:cs="宋体"/>
                <w:color w:val="000000"/>
                <w:szCs w:val="21"/>
              </w:rPr>
              <w:t>价</w:t>
            </w:r>
            <w:r>
              <w:rPr>
                <w:rFonts w:hint="eastAsia"/>
                <w:color w:val="000000"/>
                <w:szCs w:val="21"/>
              </w:rPr>
              <w:t>=K*（A1+A2+A3…+An）/n，An为在有效报价范围内且与所有有效报价平均值偏差率在±15%（含）以内的报价（当所有报价偏差均超±15%时，全部报价参与基准</w:t>
            </w:r>
            <w:r>
              <w:rPr>
                <w:rFonts w:hint="eastAsia" w:cs="宋体"/>
                <w:color w:val="000000"/>
                <w:szCs w:val="21"/>
              </w:rPr>
              <w:t>价</w:t>
            </w:r>
            <w:r>
              <w:rPr>
                <w:rFonts w:hint="eastAsia"/>
                <w:color w:val="000000"/>
                <w:szCs w:val="21"/>
              </w:rPr>
              <w:t>计算），n为参与评标基准价计算的有效投标报价数量。K为开标时由招标人从0.97、0.98、0.99、</w:t>
            </w:r>
            <w:r>
              <w:rPr>
                <w:color w:val="000000"/>
                <w:szCs w:val="21"/>
              </w:rPr>
              <w:t>1</w:t>
            </w:r>
            <w:r>
              <w:rPr>
                <w:rFonts w:hint="eastAsia"/>
                <w:color w:val="000000"/>
                <w:szCs w:val="21"/>
              </w:rPr>
              <w:t>.</w:t>
            </w:r>
            <w:r>
              <w:rPr>
                <w:color w:val="000000"/>
                <w:szCs w:val="21"/>
              </w:rPr>
              <w:t>0</w:t>
            </w:r>
            <w:r>
              <w:rPr>
                <w:rFonts w:hint="eastAsia"/>
                <w:color w:val="000000"/>
                <w:szCs w:val="21"/>
              </w:rPr>
              <w:t>0、</w:t>
            </w:r>
            <w:r>
              <w:rPr>
                <w:color w:val="000000"/>
                <w:szCs w:val="21"/>
              </w:rPr>
              <w:t>1</w:t>
            </w:r>
            <w:r>
              <w:rPr>
                <w:rFonts w:hint="eastAsia"/>
                <w:color w:val="000000"/>
                <w:szCs w:val="21"/>
              </w:rPr>
              <w:t>.</w:t>
            </w:r>
            <w:r>
              <w:rPr>
                <w:color w:val="000000"/>
                <w:szCs w:val="21"/>
              </w:rPr>
              <w:t>0</w:t>
            </w:r>
            <w:r>
              <w:rPr>
                <w:rFonts w:hint="eastAsia"/>
                <w:color w:val="000000"/>
                <w:szCs w:val="21"/>
              </w:rPr>
              <w:t>1中随机抽取的其中一个系数。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07" w:hRule="atLeast"/>
          <w:jc w:val="center"/>
        </w:trPr>
        <w:tc>
          <w:tcPr>
            <w:tcW w:w="1952" w:type="dxa"/>
            <w:gridSpan w:val="2"/>
            <w:noWrap w:val="0"/>
            <w:vAlign w:val="center"/>
          </w:tcPr>
          <w:p>
            <w:pPr>
              <w:spacing w:line="360" w:lineRule="auto"/>
              <w:jc w:val="center"/>
              <w:rPr>
                <w:rFonts w:hint="eastAsia"/>
                <w:color w:val="000000"/>
                <w:szCs w:val="21"/>
              </w:rPr>
            </w:pPr>
            <w:r>
              <w:rPr>
                <w:rFonts w:hint="eastAsia"/>
                <w:color w:val="000000"/>
                <w:szCs w:val="21"/>
              </w:rPr>
              <w:t>2.2.3</w:t>
            </w:r>
          </w:p>
        </w:tc>
        <w:tc>
          <w:tcPr>
            <w:tcW w:w="2126" w:type="dxa"/>
            <w:gridSpan w:val="3"/>
            <w:noWrap w:val="0"/>
            <w:vAlign w:val="center"/>
          </w:tcPr>
          <w:p>
            <w:pPr>
              <w:spacing w:line="360" w:lineRule="auto"/>
              <w:jc w:val="center"/>
              <w:rPr>
                <w:rFonts w:hint="eastAsia"/>
                <w:color w:val="000000"/>
                <w:szCs w:val="21"/>
              </w:rPr>
            </w:pPr>
            <w:r>
              <w:rPr>
                <w:rFonts w:hint="eastAsia"/>
                <w:color w:val="000000"/>
                <w:szCs w:val="21"/>
              </w:rPr>
              <w:t>投标报价的偏差率计算方式</w:t>
            </w:r>
          </w:p>
        </w:tc>
        <w:tc>
          <w:tcPr>
            <w:tcW w:w="6627" w:type="dxa"/>
            <w:gridSpan w:val="4"/>
            <w:noWrap w:val="0"/>
            <w:vAlign w:val="top"/>
          </w:tcPr>
          <w:p>
            <w:pPr>
              <w:spacing w:line="440" w:lineRule="exact"/>
              <w:rPr>
                <w:color w:val="000000"/>
                <w:szCs w:val="21"/>
              </w:rPr>
            </w:pPr>
            <w:r>
              <w:rPr>
                <w:rFonts w:hint="eastAsia"/>
                <w:color w:val="000000"/>
                <w:szCs w:val="21"/>
              </w:rPr>
              <w:t>偏差率</w:t>
            </w:r>
            <w:r>
              <w:rPr>
                <w:color w:val="000000"/>
                <w:szCs w:val="21"/>
              </w:rPr>
              <w:t>=100% ×（投标人报</w:t>
            </w:r>
            <w:r>
              <w:rPr>
                <w:rFonts w:ascii="宋体" w:hAnsi="宋体"/>
                <w:color w:val="000000"/>
                <w:szCs w:val="21"/>
              </w:rPr>
              <w:t>价</w:t>
            </w:r>
            <w:r>
              <w:rPr>
                <w:rFonts w:hint="eastAsia" w:ascii="宋体" w:hAnsi="宋体"/>
                <w:color w:val="000000"/>
                <w:szCs w:val="21"/>
              </w:rPr>
              <w:t>－</w:t>
            </w:r>
            <w:r>
              <w:rPr>
                <w:color w:val="000000"/>
                <w:szCs w:val="21"/>
              </w:rPr>
              <w:t>评标基准</w:t>
            </w:r>
            <w:r>
              <w:rPr>
                <w:rFonts w:hint="eastAsia" w:cs="宋体"/>
                <w:color w:val="000000"/>
                <w:szCs w:val="21"/>
              </w:rPr>
              <w:t>价</w:t>
            </w:r>
            <w:r>
              <w:rPr>
                <w:color w:val="000000"/>
                <w:szCs w:val="21"/>
              </w:rPr>
              <w:t>）/评标基准</w:t>
            </w:r>
            <w:r>
              <w:rPr>
                <w:rFonts w:hint="eastAsia" w:cs="宋体"/>
                <w:color w:val="000000"/>
                <w:szCs w:val="21"/>
              </w:rPr>
              <w:t>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07" w:hRule="atLeast"/>
          <w:jc w:val="center"/>
        </w:trPr>
        <w:tc>
          <w:tcPr>
            <w:tcW w:w="1952" w:type="dxa"/>
            <w:gridSpan w:val="2"/>
            <w:noWrap w:val="0"/>
            <w:vAlign w:val="center"/>
          </w:tcPr>
          <w:p>
            <w:pPr>
              <w:spacing w:line="360" w:lineRule="auto"/>
              <w:jc w:val="center"/>
              <w:rPr>
                <w:rFonts w:hint="eastAsia"/>
                <w:b/>
                <w:color w:val="000000"/>
                <w:szCs w:val="21"/>
              </w:rPr>
            </w:pPr>
            <w:r>
              <w:rPr>
                <w:rFonts w:hint="eastAsia"/>
                <w:b/>
                <w:color w:val="000000"/>
                <w:szCs w:val="21"/>
              </w:rPr>
              <w:t>条款号</w:t>
            </w:r>
          </w:p>
        </w:tc>
        <w:tc>
          <w:tcPr>
            <w:tcW w:w="2126" w:type="dxa"/>
            <w:gridSpan w:val="3"/>
            <w:noWrap w:val="0"/>
            <w:vAlign w:val="center"/>
          </w:tcPr>
          <w:p>
            <w:pPr>
              <w:spacing w:line="360" w:lineRule="auto"/>
              <w:jc w:val="center"/>
              <w:rPr>
                <w:rFonts w:hint="eastAsia"/>
                <w:b/>
                <w:color w:val="000000"/>
                <w:szCs w:val="21"/>
              </w:rPr>
            </w:pPr>
            <w:r>
              <w:rPr>
                <w:rFonts w:hint="eastAsia"/>
                <w:b/>
                <w:color w:val="000000"/>
                <w:szCs w:val="21"/>
              </w:rPr>
              <w:t>评分因素（偏差率）</w:t>
            </w:r>
          </w:p>
        </w:tc>
        <w:tc>
          <w:tcPr>
            <w:tcW w:w="6627" w:type="dxa"/>
            <w:gridSpan w:val="4"/>
            <w:noWrap w:val="0"/>
            <w:vAlign w:val="top"/>
          </w:tcPr>
          <w:p>
            <w:pPr>
              <w:spacing w:line="440" w:lineRule="exact"/>
              <w:rPr>
                <w:rFonts w:hint="eastAsia"/>
                <w:b/>
                <w:color w:val="000000"/>
                <w:szCs w:val="21"/>
              </w:rPr>
            </w:pPr>
            <w:r>
              <w:rPr>
                <w:rFonts w:hint="eastAsia"/>
                <w:b/>
                <w:color w:val="000000"/>
                <w:szCs w:val="21"/>
              </w:rPr>
              <w:t>合格标准：工程总承包工作大纲、施工组织设计、设计标任</w:t>
            </w:r>
            <w:r>
              <w:rPr>
                <w:b/>
                <w:color w:val="000000"/>
                <w:szCs w:val="21"/>
              </w:rPr>
              <w:t>一项</w:t>
            </w:r>
            <w:r>
              <w:rPr>
                <w:rFonts w:hint="eastAsia"/>
                <w:b/>
                <w:color w:val="000000"/>
                <w:szCs w:val="21"/>
              </w:rPr>
              <w:t>评</w:t>
            </w:r>
            <w:r>
              <w:rPr>
                <w:b/>
                <w:color w:val="000000"/>
                <w:szCs w:val="21"/>
              </w:rPr>
              <w:t>审不</w:t>
            </w:r>
            <w:r>
              <w:rPr>
                <w:rFonts w:hint="eastAsia"/>
                <w:b/>
                <w:color w:val="000000"/>
                <w:szCs w:val="21"/>
              </w:rPr>
              <w:t>合格</w:t>
            </w:r>
            <w:r>
              <w:rPr>
                <w:b/>
                <w:color w:val="000000"/>
                <w:szCs w:val="21"/>
              </w:rPr>
              <w:t>的，</w:t>
            </w:r>
            <w:r>
              <w:rPr>
                <w:rFonts w:hint="eastAsia"/>
                <w:b/>
                <w:color w:val="000000"/>
                <w:szCs w:val="21"/>
              </w:rPr>
              <w:t>投标</w:t>
            </w:r>
            <w:r>
              <w:rPr>
                <w:b/>
                <w:color w:val="000000"/>
                <w:szCs w:val="21"/>
              </w:rPr>
              <w:t>人不</w:t>
            </w:r>
            <w:r>
              <w:rPr>
                <w:rFonts w:hint="eastAsia"/>
                <w:b/>
                <w:color w:val="000000"/>
                <w:szCs w:val="21"/>
              </w:rPr>
              <w:t>能</w:t>
            </w:r>
            <w:r>
              <w:rPr>
                <w:b/>
                <w:color w:val="000000"/>
                <w:szCs w:val="21"/>
              </w:rPr>
              <w:t>参与商务标的评分</w:t>
            </w:r>
            <w:r>
              <w:rPr>
                <w:rFonts w:hint="eastAsia"/>
                <w:b/>
                <w:color w:val="000000"/>
                <w:szCs w:val="21"/>
              </w:rPr>
              <w:t>，</w:t>
            </w:r>
            <w:r>
              <w:rPr>
                <w:b/>
                <w:color w:val="000000"/>
                <w:szCs w:val="21"/>
              </w:rPr>
              <w:t>不能作为中标候选</w:t>
            </w:r>
            <w:r>
              <w:rPr>
                <w:rFonts w:hint="eastAsia"/>
                <w:b/>
                <w:color w:val="000000"/>
                <w:szCs w:val="21"/>
              </w:rPr>
              <w:t>人</w:t>
            </w:r>
            <w:r>
              <w:rPr>
                <w:b/>
                <w:color w:val="000000"/>
                <w:szCs w:val="21"/>
              </w:rPr>
              <w:t>。</w:t>
            </w:r>
          </w:p>
          <w:p>
            <w:pPr>
              <w:spacing w:line="440" w:lineRule="exact"/>
              <w:rPr>
                <w:b/>
                <w:color w:val="000000"/>
                <w:szCs w:val="21"/>
              </w:rPr>
            </w:pPr>
            <w:r>
              <w:rPr>
                <w:rFonts w:hint="eastAsia"/>
                <w:b/>
                <w:color w:val="000000"/>
                <w:szCs w:val="21"/>
              </w:rPr>
              <w:t>1、工程总承包工作大纲得分低于工程总承包工作大纲满分的60%的，工程总承包工作大纲评审不合格。</w:t>
            </w:r>
          </w:p>
          <w:p>
            <w:pPr>
              <w:spacing w:line="440" w:lineRule="exact"/>
              <w:rPr>
                <w:rFonts w:hint="eastAsia"/>
                <w:b/>
                <w:color w:val="000000"/>
                <w:szCs w:val="21"/>
              </w:rPr>
            </w:pPr>
            <w:r>
              <w:rPr>
                <w:rFonts w:hint="eastAsia"/>
                <w:b/>
                <w:color w:val="000000"/>
                <w:szCs w:val="21"/>
              </w:rPr>
              <w:t>2、施工组织设计得分低于施工组织设计满分的60%的，施工组织设计评审不合格。</w:t>
            </w:r>
          </w:p>
          <w:p>
            <w:pPr>
              <w:spacing w:line="440" w:lineRule="exact"/>
              <w:rPr>
                <w:rFonts w:hint="eastAsia"/>
                <w:b/>
                <w:color w:val="000000"/>
                <w:szCs w:val="21"/>
              </w:rPr>
            </w:pPr>
            <w:r>
              <w:rPr>
                <w:b/>
                <w:color w:val="000000"/>
                <w:szCs w:val="21"/>
              </w:rPr>
              <w:t>3</w:t>
            </w:r>
            <w:r>
              <w:rPr>
                <w:rFonts w:hint="eastAsia"/>
                <w:b/>
                <w:color w:val="000000"/>
                <w:szCs w:val="21"/>
              </w:rPr>
              <w:t>、设计标得分低于设计标满分的60%的，设计标评审不合格。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2" w:hRule="atLeast"/>
          <w:jc w:val="center"/>
        </w:trPr>
        <w:tc>
          <w:tcPr>
            <w:tcW w:w="960" w:type="dxa"/>
            <w:vMerge w:val="restart"/>
            <w:noWrap w:val="0"/>
            <w:vAlign w:val="center"/>
          </w:tcPr>
          <w:p>
            <w:pPr>
              <w:spacing w:line="360" w:lineRule="auto"/>
              <w:jc w:val="center"/>
              <w:rPr>
                <w:rFonts w:hint="eastAsia"/>
                <w:color w:val="000000"/>
                <w:szCs w:val="21"/>
              </w:rPr>
            </w:pPr>
            <w:r>
              <w:rPr>
                <w:rFonts w:hint="eastAsia"/>
                <w:color w:val="000000"/>
                <w:szCs w:val="21"/>
              </w:rPr>
              <w:t>2.2.4（1）</w:t>
            </w:r>
          </w:p>
        </w:tc>
        <w:tc>
          <w:tcPr>
            <w:tcW w:w="992" w:type="dxa"/>
            <w:vMerge w:val="restart"/>
            <w:noWrap w:val="0"/>
            <w:vAlign w:val="center"/>
          </w:tcPr>
          <w:p>
            <w:pPr>
              <w:spacing w:line="360" w:lineRule="auto"/>
              <w:jc w:val="center"/>
              <w:rPr>
                <w:rFonts w:hint="eastAsia"/>
                <w:color w:val="000000"/>
                <w:szCs w:val="21"/>
              </w:rPr>
            </w:pPr>
            <w:r>
              <w:rPr>
                <w:rFonts w:hint="eastAsia"/>
                <w:color w:val="000000"/>
                <w:szCs w:val="21"/>
              </w:rPr>
              <w:t>工程总承包工作大纲评分标准（满分分值权重</w:t>
            </w:r>
            <w:r>
              <w:rPr>
                <w:color w:val="000000"/>
                <w:szCs w:val="21"/>
                <w:u w:val="single"/>
              </w:rPr>
              <w:t xml:space="preserve">   </w:t>
            </w:r>
            <w:r>
              <w:rPr>
                <w:rFonts w:ascii="宋体" w:hAnsi="宋体"/>
                <w:color w:val="000000"/>
                <w:szCs w:val="21"/>
              </w:rPr>
              <w:t>%</w:t>
            </w:r>
            <w:r>
              <w:rPr>
                <w:rFonts w:hint="eastAsia" w:ascii="宋体" w:hAnsi="宋体"/>
                <w:color w:val="000000"/>
                <w:szCs w:val="21"/>
              </w:rPr>
              <w:t>）(</w:t>
            </w:r>
            <w:r>
              <w:rPr>
                <w:rFonts w:ascii="宋体" w:hAnsi="宋体"/>
                <w:color w:val="000000"/>
                <w:szCs w:val="21"/>
              </w:rPr>
              <w:t>暗标）</w:t>
            </w:r>
          </w:p>
        </w:tc>
        <w:tc>
          <w:tcPr>
            <w:tcW w:w="2126" w:type="dxa"/>
            <w:gridSpan w:val="3"/>
            <w:noWrap w:val="0"/>
            <w:vAlign w:val="center"/>
          </w:tcPr>
          <w:p>
            <w:pPr>
              <w:spacing w:line="360" w:lineRule="exact"/>
              <w:jc w:val="center"/>
              <w:rPr>
                <w:rFonts w:hint="eastAsia"/>
                <w:color w:val="000000"/>
                <w:szCs w:val="21"/>
              </w:rPr>
            </w:pPr>
            <w:r>
              <w:rPr>
                <w:rFonts w:hint="eastAsia"/>
                <w:color w:val="000000"/>
                <w:szCs w:val="21"/>
              </w:rPr>
              <w:t>总体实施方案</w:t>
            </w:r>
            <w:r>
              <w:rPr>
                <w:rFonts w:hint="eastAsia"/>
                <w:color w:val="000000"/>
              </w:rPr>
              <w:t>（</w:t>
            </w:r>
            <w:r>
              <w:rPr>
                <w:color w:val="000000"/>
              </w:rPr>
              <w:t>15</w:t>
            </w:r>
            <w:r>
              <w:rPr>
                <w:rFonts w:hint="eastAsia"/>
                <w:color w:val="000000"/>
              </w:rPr>
              <w:t>-</w:t>
            </w:r>
            <w:r>
              <w:rPr>
                <w:color w:val="000000"/>
              </w:rPr>
              <w:t>20</w:t>
            </w:r>
            <w:r>
              <w:rPr>
                <w:rFonts w:hint="eastAsia"/>
                <w:color w:val="000000"/>
              </w:rPr>
              <w:t>分）</w:t>
            </w:r>
          </w:p>
        </w:tc>
        <w:tc>
          <w:tcPr>
            <w:tcW w:w="6627" w:type="dxa"/>
            <w:gridSpan w:val="4"/>
            <w:noWrap w:val="0"/>
            <w:vAlign w:val="center"/>
          </w:tcPr>
          <w:p>
            <w:pPr>
              <w:spacing w:line="360" w:lineRule="exact"/>
              <w:rPr>
                <w:rFonts w:hint="eastAsia"/>
                <w:color w:val="000000"/>
                <w:szCs w:val="21"/>
              </w:rPr>
            </w:pPr>
            <w:r>
              <w:rPr>
                <w:rFonts w:hint="eastAsia"/>
                <w:color w:val="000000"/>
                <w:szCs w:val="21"/>
              </w:rPr>
              <w:t>主要结合投标人提供的总体实施方案是否能够满足本项目的总体建设要求，各目标切实是否可行，科学合理进行评定。</w:t>
            </w:r>
            <w:r>
              <w:rPr>
                <w:rFonts w:hint="eastAsia" w:cs="宋体"/>
                <w:color w:val="000000"/>
                <w:kern w:val="0"/>
              </w:rPr>
              <w:t>（注:设优、良、中、差，</w:t>
            </w:r>
            <w:r>
              <w:rPr>
                <w:rFonts w:cs="宋体"/>
                <w:color w:val="000000"/>
                <w:kern w:val="0"/>
              </w:rPr>
              <w:t>并对</w:t>
            </w:r>
            <w:r>
              <w:rPr>
                <w:rFonts w:hint="eastAsia" w:cs="宋体"/>
                <w:color w:val="000000"/>
                <w:kern w:val="0"/>
              </w:rPr>
              <w:t>各评分等级设置一个具体分值，</w:t>
            </w:r>
            <w:r>
              <w:rPr>
                <w:rFonts w:cs="宋体"/>
                <w:color w:val="000000"/>
                <w:kern w:val="0"/>
              </w:rPr>
              <w:t>不设评分区间</w:t>
            </w:r>
            <w:r>
              <w:rPr>
                <w:rFonts w:hint="eastAsia"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2" w:hRule="atLeast"/>
          <w:jc w:val="center"/>
        </w:trPr>
        <w:tc>
          <w:tcPr>
            <w:tcW w:w="960" w:type="dxa"/>
            <w:vMerge w:val="continue"/>
            <w:noWrap w:val="0"/>
            <w:vAlign w:val="center"/>
          </w:tcPr>
          <w:p>
            <w:pPr>
              <w:spacing w:line="360" w:lineRule="auto"/>
              <w:jc w:val="center"/>
              <w:rPr>
                <w:color w:val="000000"/>
                <w:szCs w:val="21"/>
              </w:rPr>
            </w:pPr>
          </w:p>
        </w:tc>
        <w:tc>
          <w:tcPr>
            <w:tcW w:w="992" w:type="dxa"/>
            <w:vMerge w:val="continue"/>
            <w:noWrap w:val="0"/>
            <w:vAlign w:val="center"/>
          </w:tcPr>
          <w:p>
            <w:pPr>
              <w:spacing w:line="360" w:lineRule="auto"/>
              <w:jc w:val="center"/>
              <w:rPr>
                <w:color w:val="000000"/>
                <w:szCs w:val="21"/>
              </w:rPr>
            </w:pPr>
          </w:p>
        </w:tc>
        <w:tc>
          <w:tcPr>
            <w:tcW w:w="2126" w:type="dxa"/>
            <w:gridSpan w:val="3"/>
            <w:noWrap w:val="0"/>
            <w:vAlign w:val="center"/>
          </w:tcPr>
          <w:p>
            <w:pPr>
              <w:spacing w:line="360" w:lineRule="exact"/>
              <w:jc w:val="center"/>
              <w:rPr>
                <w:color w:val="000000"/>
                <w:szCs w:val="21"/>
              </w:rPr>
            </w:pPr>
            <w:r>
              <w:rPr>
                <w:rFonts w:hint="eastAsia"/>
                <w:color w:val="000000"/>
                <w:szCs w:val="21"/>
              </w:rPr>
              <w:t>项目实施要点</w:t>
            </w:r>
            <w:r>
              <w:rPr>
                <w:rFonts w:hint="eastAsia"/>
                <w:color w:val="000000"/>
              </w:rPr>
              <w:t>（</w:t>
            </w:r>
            <w:r>
              <w:rPr>
                <w:color w:val="000000"/>
              </w:rPr>
              <w:t>25</w:t>
            </w:r>
            <w:r>
              <w:rPr>
                <w:rFonts w:hint="eastAsia"/>
                <w:color w:val="000000"/>
              </w:rPr>
              <w:t>-</w:t>
            </w:r>
            <w:r>
              <w:rPr>
                <w:color w:val="000000"/>
              </w:rPr>
              <w:t>4</w:t>
            </w:r>
            <w:r>
              <w:rPr>
                <w:rFonts w:hint="eastAsia"/>
                <w:color w:val="000000"/>
              </w:rPr>
              <w:t>0分）</w:t>
            </w:r>
          </w:p>
        </w:tc>
        <w:tc>
          <w:tcPr>
            <w:tcW w:w="6627" w:type="dxa"/>
            <w:gridSpan w:val="4"/>
            <w:noWrap w:val="0"/>
            <w:vAlign w:val="center"/>
          </w:tcPr>
          <w:p>
            <w:pPr>
              <w:spacing w:line="360" w:lineRule="exact"/>
              <w:rPr>
                <w:color w:val="000000"/>
                <w:szCs w:val="21"/>
              </w:rPr>
            </w:pPr>
            <w:r>
              <w:rPr>
                <w:rFonts w:hint="eastAsia"/>
                <w:color w:val="000000"/>
                <w:szCs w:val="21"/>
              </w:rPr>
              <w:t>根据实施要点，包括勘察设计实施要点、采购实施要点、施工实施要点、试运行实施要点等。结合本项目特点，切合实际，先进可行，具有可操作性进行评定</w:t>
            </w:r>
            <w:r>
              <w:rPr>
                <w:rFonts w:hint="eastAsia" w:cs="宋体"/>
                <w:color w:val="000000"/>
                <w:kern w:val="0"/>
              </w:rPr>
              <w:t>（注:设优、良、中、差，</w:t>
            </w:r>
            <w:r>
              <w:rPr>
                <w:rFonts w:cs="宋体"/>
                <w:color w:val="000000"/>
                <w:kern w:val="0"/>
              </w:rPr>
              <w:t>并对</w:t>
            </w:r>
            <w:r>
              <w:rPr>
                <w:rFonts w:hint="eastAsia" w:cs="宋体"/>
                <w:color w:val="000000"/>
                <w:kern w:val="0"/>
              </w:rPr>
              <w:t>各评分等级设置一个具体分值，</w:t>
            </w:r>
            <w:r>
              <w:rPr>
                <w:rFonts w:cs="宋体"/>
                <w:color w:val="000000"/>
                <w:kern w:val="0"/>
              </w:rPr>
              <w:t>不设评分区间</w:t>
            </w:r>
            <w:r>
              <w:rPr>
                <w:rFonts w:hint="eastAsia"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2" w:hRule="atLeast"/>
          <w:jc w:val="center"/>
        </w:trPr>
        <w:tc>
          <w:tcPr>
            <w:tcW w:w="960" w:type="dxa"/>
            <w:vMerge w:val="continue"/>
            <w:noWrap w:val="0"/>
            <w:vAlign w:val="center"/>
          </w:tcPr>
          <w:p>
            <w:pPr>
              <w:spacing w:line="360" w:lineRule="auto"/>
              <w:jc w:val="center"/>
              <w:rPr>
                <w:color w:val="000000"/>
                <w:szCs w:val="21"/>
              </w:rPr>
            </w:pPr>
          </w:p>
        </w:tc>
        <w:tc>
          <w:tcPr>
            <w:tcW w:w="992" w:type="dxa"/>
            <w:vMerge w:val="continue"/>
            <w:noWrap w:val="0"/>
            <w:vAlign w:val="center"/>
          </w:tcPr>
          <w:p>
            <w:pPr>
              <w:spacing w:line="360" w:lineRule="auto"/>
              <w:jc w:val="center"/>
              <w:rPr>
                <w:color w:val="000000"/>
                <w:szCs w:val="21"/>
              </w:rPr>
            </w:pPr>
          </w:p>
        </w:tc>
        <w:tc>
          <w:tcPr>
            <w:tcW w:w="2126" w:type="dxa"/>
            <w:gridSpan w:val="3"/>
            <w:noWrap w:val="0"/>
            <w:vAlign w:val="center"/>
          </w:tcPr>
          <w:p>
            <w:pPr>
              <w:spacing w:line="360" w:lineRule="exact"/>
              <w:jc w:val="center"/>
              <w:rPr>
                <w:color w:val="000000"/>
                <w:szCs w:val="21"/>
              </w:rPr>
            </w:pPr>
            <w:r>
              <w:rPr>
                <w:rFonts w:hint="eastAsia"/>
                <w:color w:val="000000"/>
                <w:szCs w:val="21"/>
              </w:rPr>
              <w:t>项目管理要点</w:t>
            </w:r>
            <w:r>
              <w:rPr>
                <w:rFonts w:hint="eastAsia"/>
                <w:color w:val="000000"/>
              </w:rPr>
              <w:t>（</w:t>
            </w:r>
            <w:r>
              <w:rPr>
                <w:color w:val="000000"/>
              </w:rPr>
              <w:t>25-40</w:t>
            </w:r>
            <w:r>
              <w:rPr>
                <w:rFonts w:hint="eastAsia"/>
                <w:color w:val="000000"/>
              </w:rPr>
              <w:t>分）</w:t>
            </w:r>
          </w:p>
        </w:tc>
        <w:tc>
          <w:tcPr>
            <w:tcW w:w="6627" w:type="dxa"/>
            <w:gridSpan w:val="4"/>
            <w:noWrap w:val="0"/>
            <w:vAlign w:val="center"/>
          </w:tcPr>
          <w:p>
            <w:pPr>
              <w:spacing w:line="360" w:lineRule="exact"/>
              <w:rPr>
                <w:color w:val="000000"/>
                <w:szCs w:val="21"/>
              </w:rPr>
            </w:pPr>
            <w:r>
              <w:rPr>
                <w:rFonts w:hint="eastAsia"/>
                <w:color w:val="000000"/>
                <w:szCs w:val="21"/>
              </w:rPr>
              <w:t>根据管理目标是否明确，切合实际，先进可行，具有可操作性。包括：合同管理要点、资源管理要点、质量控制要点、进度控制要点、费用估算及控制要点、安全管理要点、职业健康管理要点、环境管理要点、沟通和协调管理要点、财务管理要点、风险管理要点、文件及信息管理要点、报告制度等进行评定。</w:t>
            </w:r>
            <w:r>
              <w:rPr>
                <w:rFonts w:hint="eastAsia" w:cs="宋体"/>
                <w:color w:val="000000"/>
                <w:kern w:val="0"/>
              </w:rPr>
              <w:t>（注:设优、良、中、差，</w:t>
            </w:r>
            <w:r>
              <w:rPr>
                <w:rFonts w:cs="宋体"/>
                <w:color w:val="000000"/>
                <w:kern w:val="0"/>
              </w:rPr>
              <w:t>并对</w:t>
            </w:r>
            <w:r>
              <w:rPr>
                <w:rFonts w:hint="eastAsia" w:cs="宋体"/>
                <w:color w:val="000000"/>
                <w:kern w:val="0"/>
              </w:rPr>
              <w:t>各评分等级设置一个具体分值，</w:t>
            </w:r>
            <w:r>
              <w:rPr>
                <w:rFonts w:cs="宋体"/>
                <w:color w:val="000000"/>
                <w:kern w:val="0"/>
              </w:rPr>
              <w:t>不设评分区间</w:t>
            </w:r>
            <w:r>
              <w:rPr>
                <w:rFonts w:hint="eastAsia"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2" w:hRule="atLeast"/>
          <w:jc w:val="center"/>
        </w:trPr>
        <w:tc>
          <w:tcPr>
            <w:tcW w:w="960" w:type="dxa"/>
            <w:vMerge w:val="continue"/>
            <w:noWrap w:val="0"/>
            <w:vAlign w:val="center"/>
          </w:tcPr>
          <w:p>
            <w:pPr>
              <w:spacing w:line="360" w:lineRule="auto"/>
              <w:jc w:val="center"/>
              <w:rPr>
                <w:color w:val="000000"/>
                <w:szCs w:val="21"/>
              </w:rPr>
            </w:pPr>
          </w:p>
        </w:tc>
        <w:tc>
          <w:tcPr>
            <w:tcW w:w="992" w:type="dxa"/>
            <w:vMerge w:val="continue"/>
            <w:noWrap w:val="0"/>
            <w:vAlign w:val="center"/>
          </w:tcPr>
          <w:p>
            <w:pPr>
              <w:spacing w:line="360" w:lineRule="auto"/>
              <w:jc w:val="center"/>
              <w:rPr>
                <w:color w:val="000000"/>
                <w:szCs w:val="21"/>
              </w:rPr>
            </w:pPr>
          </w:p>
        </w:tc>
        <w:tc>
          <w:tcPr>
            <w:tcW w:w="2126" w:type="dxa"/>
            <w:gridSpan w:val="3"/>
            <w:noWrap w:val="0"/>
            <w:vAlign w:val="center"/>
          </w:tcPr>
          <w:p>
            <w:pPr>
              <w:spacing w:line="360" w:lineRule="exact"/>
              <w:jc w:val="center"/>
              <w:rPr>
                <w:color w:val="000000"/>
                <w:szCs w:val="21"/>
              </w:rPr>
            </w:pPr>
            <w:r>
              <w:rPr>
                <w:rFonts w:hint="eastAsia" w:ascii="宋体" w:hAnsi="宋体"/>
                <w:color w:val="000000"/>
                <w:szCs w:val="21"/>
              </w:rPr>
              <w:t>设计及施工的配合</w:t>
            </w:r>
            <w:r>
              <w:rPr>
                <w:rFonts w:hint="eastAsia"/>
                <w:color w:val="000000"/>
              </w:rPr>
              <w:t>（</w:t>
            </w:r>
            <w:r>
              <w:rPr>
                <w:color w:val="000000"/>
              </w:rPr>
              <w:t>15-20</w:t>
            </w:r>
            <w:r>
              <w:rPr>
                <w:rFonts w:hint="eastAsia"/>
                <w:color w:val="000000"/>
              </w:rPr>
              <w:t>分）</w:t>
            </w:r>
          </w:p>
        </w:tc>
        <w:tc>
          <w:tcPr>
            <w:tcW w:w="6627" w:type="dxa"/>
            <w:gridSpan w:val="4"/>
            <w:noWrap w:val="0"/>
            <w:vAlign w:val="center"/>
          </w:tcPr>
          <w:p>
            <w:pPr>
              <w:spacing w:line="360" w:lineRule="exact"/>
              <w:rPr>
                <w:color w:val="000000"/>
                <w:szCs w:val="21"/>
              </w:rPr>
            </w:pPr>
            <w:r>
              <w:rPr>
                <w:rFonts w:hint="eastAsia" w:ascii="宋体" w:hAnsi="宋体" w:cs="Arial"/>
                <w:color w:val="000000"/>
                <w:szCs w:val="21"/>
              </w:rPr>
              <w:t>根据协调配合计划</w:t>
            </w:r>
            <w:r>
              <w:rPr>
                <w:rFonts w:hint="eastAsia" w:ascii="宋体" w:hAnsi="宋体"/>
                <w:color w:val="000000"/>
                <w:szCs w:val="21"/>
              </w:rPr>
              <w:t>切合实际，满足项目实施需要，</w:t>
            </w:r>
            <w:r>
              <w:rPr>
                <w:rFonts w:hint="eastAsia" w:ascii="宋体" w:hAnsi="宋体" w:cs="Arial"/>
                <w:color w:val="000000"/>
                <w:szCs w:val="21"/>
              </w:rPr>
              <w:t>协调配合计划的</w:t>
            </w:r>
            <w:r>
              <w:rPr>
                <w:rFonts w:hint="eastAsia" w:ascii="宋体" w:hAnsi="宋体"/>
                <w:color w:val="000000"/>
                <w:szCs w:val="21"/>
              </w:rPr>
              <w:t>可操作性</w:t>
            </w:r>
            <w:r>
              <w:rPr>
                <w:rFonts w:hint="eastAsia"/>
                <w:color w:val="000000"/>
                <w:szCs w:val="21"/>
              </w:rPr>
              <w:t>等进行评定。</w:t>
            </w:r>
            <w:r>
              <w:rPr>
                <w:rFonts w:hint="eastAsia" w:cs="宋体"/>
                <w:color w:val="000000"/>
                <w:kern w:val="0"/>
              </w:rPr>
              <w:t>（注:设优、良、中、差，</w:t>
            </w:r>
            <w:r>
              <w:rPr>
                <w:rFonts w:cs="宋体"/>
                <w:color w:val="000000"/>
                <w:kern w:val="0"/>
              </w:rPr>
              <w:t>并对</w:t>
            </w:r>
            <w:r>
              <w:rPr>
                <w:rFonts w:hint="eastAsia" w:cs="宋体"/>
                <w:color w:val="000000"/>
                <w:kern w:val="0"/>
              </w:rPr>
              <w:t>各评分等级设置一个具体分值，</w:t>
            </w:r>
            <w:r>
              <w:rPr>
                <w:rFonts w:cs="宋体"/>
                <w:color w:val="000000"/>
                <w:kern w:val="0"/>
              </w:rPr>
              <w:t>不设评分区间</w:t>
            </w:r>
            <w:r>
              <w:rPr>
                <w:rFonts w:hint="eastAsia"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63" w:hRule="atLeast"/>
          <w:jc w:val="center"/>
        </w:trPr>
        <w:tc>
          <w:tcPr>
            <w:tcW w:w="960" w:type="dxa"/>
            <w:vMerge w:val="restart"/>
            <w:noWrap w:val="0"/>
            <w:vAlign w:val="center"/>
          </w:tcPr>
          <w:p>
            <w:pPr>
              <w:spacing w:line="360" w:lineRule="auto"/>
              <w:jc w:val="center"/>
              <w:rPr>
                <w:color w:val="000000"/>
                <w:szCs w:val="21"/>
              </w:rPr>
            </w:pPr>
            <w:r>
              <w:rPr>
                <w:rFonts w:hint="eastAsia"/>
                <w:color w:val="000000"/>
                <w:szCs w:val="21"/>
              </w:rPr>
              <w:t>2.2.4（2）</w:t>
            </w:r>
          </w:p>
        </w:tc>
        <w:tc>
          <w:tcPr>
            <w:tcW w:w="992" w:type="dxa"/>
            <w:vMerge w:val="restart"/>
            <w:noWrap w:val="0"/>
            <w:vAlign w:val="center"/>
          </w:tcPr>
          <w:p>
            <w:pPr>
              <w:spacing w:line="360" w:lineRule="auto"/>
              <w:jc w:val="center"/>
              <w:rPr>
                <w:color w:val="000000"/>
                <w:szCs w:val="21"/>
              </w:rPr>
            </w:pPr>
            <w:r>
              <w:rPr>
                <w:rFonts w:hint="eastAsia" w:ascii="宋体" w:hAnsi="宋体"/>
                <w:color w:val="000000"/>
                <w:szCs w:val="21"/>
              </w:rPr>
              <w:t>施工组织设计评分标准</w:t>
            </w:r>
            <w:r>
              <w:rPr>
                <w:rFonts w:hint="eastAsia"/>
                <w:color w:val="000000"/>
                <w:szCs w:val="21"/>
              </w:rPr>
              <w:t>（满分分值权重</w:t>
            </w:r>
            <w:r>
              <w:rPr>
                <w:color w:val="000000"/>
                <w:szCs w:val="21"/>
                <w:u w:val="single"/>
              </w:rPr>
              <w:t xml:space="preserve">   </w:t>
            </w:r>
            <w:r>
              <w:rPr>
                <w:color w:val="000000"/>
                <w:szCs w:val="21"/>
              </w:rPr>
              <w:t>%</w:t>
            </w:r>
            <w:r>
              <w:rPr>
                <w:rFonts w:hint="eastAsia"/>
                <w:color w:val="000000"/>
                <w:szCs w:val="21"/>
              </w:rPr>
              <w:t>）(暗标）</w:t>
            </w:r>
          </w:p>
        </w:tc>
        <w:tc>
          <w:tcPr>
            <w:tcW w:w="2126" w:type="dxa"/>
            <w:gridSpan w:val="3"/>
            <w:noWrap w:val="0"/>
            <w:vAlign w:val="center"/>
          </w:tcPr>
          <w:p>
            <w:pPr>
              <w:spacing w:line="360" w:lineRule="exact"/>
              <w:rPr>
                <w:color w:val="000000"/>
                <w:kern w:val="0"/>
                <w:szCs w:val="21"/>
              </w:rPr>
            </w:pPr>
            <w:r>
              <w:rPr>
                <w:color w:val="000000"/>
                <w:kern w:val="0"/>
                <w:szCs w:val="21"/>
              </w:rPr>
              <w:t>主要施工方法</w:t>
            </w:r>
          </w:p>
          <w:p>
            <w:pPr>
              <w:spacing w:line="360" w:lineRule="exact"/>
              <w:rPr>
                <w:color w:val="000000"/>
              </w:rPr>
            </w:pPr>
            <w:r>
              <w:rPr>
                <w:rFonts w:hint="eastAsia"/>
                <w:color w:val="000000"/>
              </w:rPr>
              <w:t>（</w:t>
            </w:r>
            <w:r>
              <w:rPr>
                <w:color w:val="000000"/>
              </w:rPr>
              <w:t>9</w:t>
            </w:r>
            <w:r>
              <w:rPr>
                <w:rFonts w:hint="eastAsia"/>
                <w:color w:val="000000"/>
              </w:rPr>
              <w:t>-</w:t>
            </w:r>
            <w:r>
              <w:rPr>
                <w:color w:val="000000"/>
              </w:rPr>
              <w:t>15</w:t>
            </w:r>
            <w:r>
              <w:rPr>
                <w:rFonts w:hint="eastAsia"/>
                <w:color w:val="000000"/>
              </w:rPr>
              <w:t>分）</w:t>
            </w:r>
          </w:p>
        </w:tc>
        <w:tc>
          <w:tcPr>
            <w:tcW w:w="6627" w:type="dxa"/>
            <w:gridSpan w:val="4"/>
            <w:noWrap w:val="0"/>
            <w:vAlign w:val="center"/>
          </w:tcPr>
          <w:p>
            <w:pPr>
              <w:widowControl/>
              <w:spacing w:line="360" w:lineRule="exact"/>
              <w:rPr>
                <w:color w:val="000000"/>
              </w:rPr>
            </w:pPr>
            <w:r>
              <w:rPr>
                <w:color w:val="000000"/>
                <w:kern w:val="0"/>
                <w:szCs w:val="21"/>
              </w:rPr>
              <w:t>各主要分部施工方法符合项目实际，须有详尽的施工技术方案，工艺先进、方法科学合理、可行，能指导具体施工并确保安全。</w:t>
            </w:r>
            <w:r>
              <w:rPr>
                <w:rFonts w:hint="eastAsia" w:cs="宋体"/>
                <w:color w:val="000000"/>
                <w:kern w:val="0"/>
              </w:rPr>
              <w:t>（注:设优、良、中、差，</w:t>
            </w:r>
            <w:r>
              <w:rPr>
                <w:rFonts w:cs="宋体"/>
                <w:color w:val="000000"/>
                <w:kern w:val="0"/>
              </w:rPr>
              <w:t>并对</w:t>
            </w:r>
            <w:r>
              <w:rPr>
                <w:rFonts w:hint="eastAsia" w:cs="宋体"/>
                <w:color w:val="000000"/>
                <w:kern w:val="0"/>
              </w:rPr>
              <w:t>各评分等级设置一个具体分值，</w:t>
            </w:r>
            <w:r>
              <w:rPr>
                <w:rFonts w:cs="宋体"/>
                <w:color w:val="000000"/>
                <w:kern w:val="0"/>
              </w:rPr>
              <w:t>不设评分区间</w:t>
            </w:r>
            <w:r>
              <w:rPr>
                <w:rFonts w:hint="eastAsia"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63" w:hRule="atLeast"/>
          <w:jc w:val="center"/>
        </w:trPr>
        <w:tc>
          <w:tcPr>
            <w:tcW w:w="960" w:type="dxa"/>
            <w:vMerge w:val="continue"/>
            <w:noWrap w:val="0"/>
            <w:vAlign w:val="center"/>
          </w:tcPr>
          <w:p>
            <w:pPr>
              <w:spacing w:line="360" w:lineRule="auto"/>
              <w:jc w:val="center"/>
              <w:rPr>
                <w:color w:val="000000"/>
                <w:szCs w:val="21"/>
              </w:rPr>
            </w:pPr>
          </w:p>
        </w:tc>
        <w:tc>
          <w:tcPr>
            <w:tcW w:w="992" w:type="dxa"/>
            <w:vMerge w:val="continue"/>
            <w:noWrap w:val="0"/>
            <w:vAlign w:val="center"/>
          </w:tcPr>
          <w:p>
            <w:pPr>
              <w:spacing w:line="360" w:lineRule="auto"/>
              <w:jc w:val="center"/>
              <w:rPr>
                <w:color w:val="000000"/>
                <w:szCs w:val="21"/>
              </w:rPr>
            </w:pPr>
          </w:p>
        </w:tc>
        <w:tc>
          <w:tcPr>
            <w:tcW w:w="2126" w:type="dxa"/>
            <w:gridSpan w:val="3"/>
            <w:noWrap w:val="0"/>
            <w:vAlign w:val="center"/>
          </w:tcPr>
          <w:p>
            <w:pPr>
              <w:widowControl/>
              <w:spacing w:line="360" w:lineRule="exact"/>
              <w:rPr>
                <w:color w:val="000000"/>
                <w:szCs w:val="21"/>
              </w:rPr>
            </w:pPr>
            <w:r>
              <w:rPr>
                <w:color w:val="000000"/>
                <w:kern w:val="0"/>
                <w:szCs w:val="21"/>
              </w:rPr>
              <w:t>拟投入的主要物资计划</w:t>
            </w:r>
            <w:r>
              <w:rPr>
                <w:rFonts w:hint="eastAsia"/>
                <w:color w:val="000000"/>
              </w:rPr>
              <w:t>（</w:t>
            </w:r>
            <w:r>
              <w:rPr>
                <w:color w:val="000000"/>
              </w:rPr>
              <w:t>9</w:t>
            </w:r>
            <w:r>
              <w:rPr>
                <w:rFonts w:hint="eastAsia"/>
                <w:color w:val="000000"/>
              </w:rPr>
              <w:t>-</w:t>
            </w:r>
            <w:r>
              <w:rPr>
                <w:color w:val="000000"/>
              </w:rPr>
              <w:t>15</w:t>
            </w:r>
            <w:r>
              <w:rPr>
                <w:rFonts w:hint="eastAsia"/>
                <w:color w:val="000000"/>
              </w:rPr>
              <w:t>分）</w:t>
            </w:r>
          </w:p>
        </w:tc>
        <w:tc>
          <w:tcPr>
            <w:tcW w:w="6627" w:type="dxa"/>
            <w:gridSpan w:val="4"/>
            <w:noWrap w:val="0"/>
            <w:vAlign w:val="center"/>
          </w:tcPr>
          <w:p>
            <w:pPr>
              <w:widowControl/>
              <w:spacing w:line="360" w:lineRule="exact"/>
              <w:rPr>
                <w:color w:val="000000"/>
                <w:szCs w:val="21"/>
              </w:rPr>
            </w:pPr>
            <w:r>
              <w:rPr>
                <w:color w:val="000000"/>
                <w:kern w:val="0"/>
                <w:szCs w:val="21"/>
              </w:rPr>
              <w:t>投入的施工材料有详细的组织计划且计划周密，数量、选型配置、进场时间安排合理，满足施工需要。</w:t>
            </w:r>
            <w:r>
              <w:rPr>
                <w:rFonts w:hint="eastAsia" w:cs="宋体"/>
                <w:color w:val="000000"/>
                <w:kern w:val="0"/>
              </w:rPr>
              <w:t>（注:设优、良、中、差，</w:t>
            </w:r>
            <w:r>
              <w:rPr>
                <w:rFonts w:cs="宋体"/>
                <w:color w:val="000000"/>
                <w:kern w:val="0"/>
              </w:rPr>
              <w:t>并对</w:t>
            </w:r>
            <w:r>
              <w:rPr>
                <w:rFonts w:hint="eastAsia" w:cs="宋体"/>
                <w:color w:val="000000"/>
                <w:kern w:val="0"/>
              </w:rPr>
              <w:t>各评分等级设置一个具体分值，</w:t>
            </w:r>
            <w:r>
              <w:rPr>
                <w:rFonts w:cs="宋体"/>
                <w:color w:val="000000"/>
                <w:kern w:val="0"/>
              </w:rPr>
              <w:t>不设评分区间</w:t>
            </w:r>
            <w:r>
              <w:rPr>
                <w:rFonts w:hint="eastAsia"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2" w:hRule="atLeast"/>
          <w:jc w:val="center"/>
        </w:trPr>
        <w:tc>
          <w:tcPr>
            <w:tcW w:w="960" w:type="dxa"/>
            <w:vMerge w:val="continue"/>
            <w:noWrap w:val="0"/>
            <w:vAlign w:val="center"/>
          </w:tcPr>
          <w:p>
            <w:pPr>
              <w:spacing w:line="360" w:lineRule="auto"/>
              <w:jc w:val="center"/>
              <w:rPr>
                <w:color w:val="000000"/>
                <w:szCs w:val="21"/>
              </w:rPr>
            </w:pPr>
          </w:p>
        </w:tc>
        <w:tc>
          <w:tcPr>
            <w:tcW w:w="992" w:type="dxa"/>
            <w:vMerge w:val="continue"/>
            <w:noWrap w:val="0"/>
            <w:vAlign w:val="center"/>
          </w:tcPr>
          <w:p>
            <w:pPr>
              <w:spacing w:line="360" w:lineRule="auto"/>
              <w:jc w:val="center"/>
              <w:rPr>
                <w:color w:val="000000"/>
                <w:szCs w:val="21"/>
              </w:rPr>
            </w:pPr>
          </w:p>
        </w:tc>
        <w:tc>
          <w:tcPr>
            <w:tcW w:w="2126" w:type="dxa"/>
            <w:gridSpan w:val="3"/>
            <w:noWrap w:val="0"/>
            <w:vAlign w:val="center"/>
          </w:tcPr>
          <w:p>
            <w:pPr>
              <w:widowControl/>
              <w:spacing w:line="360" w:lineRule="exact"/>
              <w:rPr>
                <w:color w:val="000000"/>
                <w:szCs w:val="21"/>
              </w:rPr>
            </w:pPr>
            <w:r>
              <w:rPr>
                <w:color w:val="000000"/>
                <w:kern w:val="0"/>
                <w:szCs w:val="21"/>
              </w:rPr>
              <w:t>劳动力安排计划</w:t>
            </w:r>
            <w:r>
              <w:rPr>
                <w:rFonts w:hint="eastAsia"/>
                <w:color w:val="000000"/>
              </w:rPr>
              <w:t>（</w:t>
            </w:r>
            <w:r>
              <w:rPr>
                <w:color w:val="000000"/>
              </w:rPr>
              <w:t>9</w:t>
            </w:r>
            <w:r>
              <w:rPr>
                <w:rFonts w:hint="eastAsia"/>
                <w:color w:val="000000"/>
              </w:rPr>
              <w:t>-</w:t>
            </w:r>
            <w:r>
              <w:rPr>
                <w:color w:val="000000"/>
              </w:rPr>
              <w:t>15</w:t>
            </w:r>
            <w:r>
              <w:rPr>
                <w:rFonts w:hint="eastAsia"/>
                <w:color w:val="000000"/>
              </w:rPr>
              <w:t>分）</w:t>
            </w:r>
          </w:p>
        </w:tc>
        <w:tc>
          <w:tcPr>
            <w:tcW w:w="6627" w:type="dxa"/>
            <w:gridSpan w:val="4"/>
            <w:noWrap w:val="0"/>
            <w:vAlign w:val="center"/>
          </w:tcPr>
          <w:p>
            <w:pPr>
              <w:widowControl/>
              <w:spacing w:line="360" w:lineRule="exact"/>
              <w:rPr>
                <w:color w:val="000000"/>
                <w:szCs w:val="21"/>
              </w:rPr>
            </w:pPr>
            <w:r>
              <w:rPr>
                <w:color w:val="000000"/>
                <w:kern w:val="0"/>
                <w:szCs w:val="21"/>
              </w:rPr>
              <w:t>各主要施工工序应有详细周密的劳动力安排计划，有各工种劳动力安排计划，劳动力投入合理，满足施工需要。</w:t>
            </w:r>
            <w:r>
              <w:rPr>
                <w:rFonts w:hint="eastAsia" w:cs="宋体"/>
                <w:color w:val="000000"/>
                <w:kern w:val="0"/>
              </w:rPr>
              <w:t>（注:设优、良、中、差，</w:t>
            </w:r>
            <w:r>
              <w:rPr>
                <w:rFonts w:cs="宋体"/>
                <w:color w:val="000000"/>
                <w:kern w:val="0"/>
              </w:rPr>
              <w:t>并对</w:t>
            </w:r>
            <w:r>
              <w:rPr>
                <w:rFonts w:hint="eastAsia" w:cs="宋体"/>
                <w:color w:val="000000"/>
                <w:kern w:val="0"/>
              </w:rPr>
              <w:t>各评分等级设置一个具体分值，</w:t>
            </w:r>
            <w:r>
              <w:rPr>
                <w:rFonts w:cs="宋体"/>
                <w:color w:val="000000"/>
                <w:kern w:val="0"/>
              </w:rPr>
              <w:t>不设评分区间</w:t>
            </w:r>
            <w:r>
              <w:rPr>
                <w:rFonts w:hint="eastAsia"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2" w:hRule="atLeast"/>
          <w:jc w:val="center"/>
        </w:trPr>
        <w:tc>
          <w:tcPr>
            <w:tcW w:w="960" w:type="dxa"/>
            <w:vMerge w:val="continue"/>
            <w:noWrap w:val="0"/>
            <w:vAlign w:val="center"/>
          </w:tcPr>
          <w:p>
            <w:pPr>
              <w:spacing w:line="360" w:lineRule="auto"/>
              <w:jc w:val="center"/>
              <w:rPr>
                <w:color w:val="000000"/>
                <w:szCs w:val="21"/>
              </w:rPr>
            </w:pPr>
          </w:p>
        </w:tc>
        <w:tc>
          <w:tcPr>
            <w:tcW w:w="992" w:type="dxa"/>
            <w:vMerge w:val="continue"/>
            <w:noWrap w:val="0"/>
            <w:vAlign w:val="center"/>
          </w:tcPr>
          <w:p>
            <w:pPr>
              <w:spacing w:line="360" w:lineRule="auto"/>
              <w:jc w:val="center"/>
              <w:rPr>
                <w:color w:val="000000"/>
                <w:szCs w:val="21"/>
              </w:rPr>
            </w:pPr>
          </w:p>
        </w:tc>
        <w:tc>
          <w:tcPr>
            <w:tcW w:w="2126" w:type="dxa"/>
            <w:gridSpan w:val="3"/>
            <w:noWrap w:val="0"/>
            <w:vAlign w:val="center"/>
          </w:tcPr>
          <w:p>
            <w:pPr>
              <w:widowControl/>
              <w:spacing w:line="360" w:lineRule="exact"/>
              <w:rPr>
                <w:color w:val="000000"/>
                <w:kern w:val="0"/>
                <w:szCs w:val="21"/>
              </w:rPr>
            </w:pPr>
            <w:r>
              <w:rPr>
                <w:color w:val="000000"/>
                <w:kern w:val="0"/>
                <w:szCs w:val="21"/>
              </w:rPr>
              <w:t>确保工程质量的技术组织措施</w:t>
            </w:r>
            <w:r>
              <w:rPr>
                <w:rFonts w:hint="eastAsia"/>
                <w:color w:val="000000"/>
              </w:rPr>
              <w:t>（</w:t>
            </w:r>
            <w:r>
              <w:rPr>
                <w:color w:val="000000"/>
              </w:rPr>
              <w:t>9</w:t>
            </w:r>
            <w:r>
              <w:rPr>
                <w:rFonts w:hint="eastAsia"/>
                <w:color w:val="000000"/>
              </w:rPr>
              <w:t>-</w:t>
            </w:r>
            <w:r>
              <w:rPr>
                <w:color w:val="000000"/>
              </w:rPr>
              <w:t>15</w:t>
            </w:r>
            <w:r>
              <w:rPr>
                <w:rFonts w:hint="eastAsia"/>
                <w:color w:val="000000"/>
              </w:rPr>
              <w:t>分）</w:t>
            </w:r>
          </w:p>
        </w:tc>
        <w:tc>
          <w:tcPr>
            <w:tcW w:w="6627" w:type="dxa"/>
            <w:gridSpan w:val="4"/>
            <w:noWrap w:val="0"/>
            <w:vAlign w:val="center"/>
          </w:tcPr>
          <w:p>
            <w:pPr>
              <w:widowControl/>
              <w:spacing w:line="360" w:lineRule="exact"/>
              <w:rPr>
                <w:color w:val="000000"/>
                <w:szCs w:val="21"/>
              </w:rPr>
            </w:pPr>
            <w:r>
              <w:rPr>
                <w:color w:val="000000"/>
                <w:kern w:val="0"/>
                <w:szCs w:val="21"/>
              </w:rPr>
              <w:t>应有专门的质量技术管理班子和制度，且人员配备合理，制度健全。主要工序应有质量技术保证措施和手段，自控体系完整，能有效保证技术质量，达到承诺的质量标准。</w:t>
            </w:r>
            <w:r>
              <w:rPr>
                <w:rFonts w:hint="eastAsia" w:cs="宋体"/>
                <w:color w:val="000000"/>
                <w:kern w:val="0"/>
              </w:rPr>
              <w:t>（注:设优、良、中、差，</w:t>
            </w:r>
            <w:r>
              <w:rPr>
                <w:rFonts w:cs="宋体"/>
                <w:color w:val="000000"/>
                <w:kern w:val="0"/>
              </w:rPr>
              <w:t>并对</w:t>
            </w:r>
            <w:r>
              <w:rPr>
                <w:rFonts w:hint="eastAsia" w:cs="宋体"/>
                <w:color w:val="000000"/>
                <w:kern w:val="0"/>
              </w:rPr>
              <w:t>各评分等级设置一个具体分值，</w:t>
            </w:r>
            <w:r>
              <w:rPr>
                <w:rFonts w:cs="宋体"/>
                <w:color w:val="000000"/>
                <w:kern w:val="0"/>
              </w:rPr>
              <w:t>不设评分区间</w:t>
            </w:r>
            <w:r>
              <w:rPr>
                <w:rFonts w:hint="eastAsia"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2" w:hRule="atLeast"/>
          <w:jc w:val="center"/>
        </w:trPr>
        <w:tc>
          <w:tcPr>
            <w:tcW w:w="960" w:type="dxa"/>
            <w:vMerge w:val="continue"/>
            <w:noWrap w:val="0"/>
            <w:vAlign w:val="center"/>
          </w:tcPr>
          <w:p>
            <w:pPr>
              <w:spacing w:line="360" w:lineRule="auto"/>
              <w:jc w:val="center"/>
              <w:rPr>
                <w:color w:val="000000"/>
                <w:szCs w:val="21"/>
              </w:rPr>
            </w:pPr>
          </w:p>
        </w:tc>
        <w:tc>
          <w:tcPr>
            <w:tcW w:w="992" w:type="dxa"/>
            <w:vMerge w:val="continue"/>
            <w:noWrap w:val="0"/>
            <w:vAlign w:val="center"/>
          </w:tcPr>
          <w:p>
            <w:pPr>
              <w:spacing w:line="360" w:lineRule="auto"/>
              <w:jc w:val="center"/>
              <w:rPr>
                <w:color w:val="000000"/>
                <w:szCs w:val="21"/>
              </w:rPr>
            </w:pPr>
          </w:p>
        </w:tc>
        <w:tc>
          <w:tcPr>
            <w:tcW w:w="2126" w:type="dxa"/>
            <w:gridSpan w:val="3"/>
            <w:noWrap w:val="0"/>
            <w:vAlign w:val="center"/>
          </w:tcPr>
          <w:p>
            <w:pPr>
              <w:widowControl/>
              <w:spacing w:line="360" w:lineRule="exact"/>
              <w:rPr>
                <w:color w:val="000000"/>
                <w:kern w:val="0"/>
                <w:szCs w:val="21"/>
              </w:rPr>
            </w:pPr>
            <w:r>
              <w:rPr>
                <w:color w:val="000000"/>
                <w:kern w:val="0"/>
                <w:szCs w:val="21"/>
              </w:rPr>
              <w:t>确保安全生产的技术组织措施</w:t>
            </w:r>
            <w:r>
              <w:rPr>
                <w:rFonts w:hint="eastAsia"/>
                <w:color w:val="000000"/>
              </w:rPr>
              <w:t>（</w:t>
            </w:r>
            <w:r>
              <w:rPr>
                <w:color w:val="000000"/>
              </w:rPr>
              <w:t>9</w:t>
            </w:r>
            <w:r>
              <w:rPr>
                <w:rFonts w:hint="eastAsia"/>
                <w:color w:val="000000"/>
              </w:rPr>
              <w:t>-</w:t>
            </w:r>
            <w:r>
              <w:rPr>
                <w:color w:val="000000"/>
              </w:rPr>
              <w:t>15</w:t>
            </w:r>
            <w:r>
              <w:rPr>
                <w:rFonts w:hint="eastAsia"/>
                <w:color w:val="000000"/>
              </w:rPr>
              <w:t>分）</w:t>
            </w:r>
          </w:p>
        </w:tc>
        <w:tc>
          <w:tcPr>
            <w:tcW w:w="6627" w:type="dxa"/>
            <w:gridSpan w:val="4"/>
            <w:noWrap w:val="0"/>
            <w:vAlign w:val="center"/>
          </w:tcPr>
          <w:p>
            <w:pPr>
              <w:widowControl/>
              <w:spacing w:line="360" w:lineRule="exact"/>
              <w:rPr>
                <w:color w:val="000000"/>
                <w:szCs w:val="21"/>
              </w:rPr>
            </w:pPr>
            <w:r>
              <w:rPr>
                <w:color w:val="000000"/>
                <w:kern w:val="0"/>
                <w:szCs w:val="21"/>
              </w:rPr>
              <w:t>应有专门的安全管理人员和制度，且人员配备合理，制度健全，各道工序安全技术措施针对性强，符合实际且满足有关安全技术标准要求。现场防火、应急救援、社会治安安全措施得力。</w:t>
            </w:r>
            <w:r>
              <w:rPr>
                <w:rFonts w:hint="eastAsia" w:cs="宋体"/>
                <w:color w:val="000000"/>
                <w:kern w:val="0"/>
              </w:rPr>
              <w:t>（注:设优、良、中、差，</w:t>
            </w:r>
            <w:r>
              <w:rPr>
                <w:rFonts w:cs="宋体"/>
                <w:color w:val="000000"/>
                <w:kern w:val="0"/>
              </w:rPr>
              <w:t>并对</w:t>
            </w:r>
            <w:r>
              <w:rPr>
                <w:rFonts w:hint="eastAsia" w:cs="宋体"/>
                <w:color w:val="000000"/>
                <w:kern w:val="0"/>
              </w:rPr>
              <w:t>各评分等级设置一个具体分值，</w:t>
            </w:r>
            <w:r>
              <w:rPr>
                <w:rFonts w:cs="宋体"/>
                <w:color w:val="000000"/>
                <w:kern w:val="0"/>
              </w:rPr>
              <w:t>不设评分区间</w:t>
            </w:r>
            <w:r>
              <w:rPr>
                <w:rFonts w:hint="eastAsia"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15" w:hRule="atLeast"/>
          <w:jc w:val="center"/>
        </w:trPr>
        <w:tc>
          <w:tcPr>
            <w:tcW w:w="960" w:type="dxa"/>
            <w:vMerge w:val="continue"/>
            <w:noWrap w:val="0"/>
            <w:vAlign w:val="center"/>
          </w:tcPr>
          <w:p>
            <w:pPr>
              <w:spacing w:line="360" w:lineRule="auto"/>
              <w:jc w:val="center"/>
              <w:rPr>
                <w:color w:val="000000"/>
                <w:szCs w:val="21"/>
              </w:rPr>
            </w:pPr>
          </w:p>
        </w:tc>
        <w:tc>
          <w:tcPr>
            <w:tcW w:w="992" w:type="dxa"/>
            <w:vMerge w:val="continue"/>
            <w:noWrap w:val="0"/>
            <w:vAlign w:val="center"/>
          </w:tcPr>
          <w:p>
            <w:pPr>
              <w:spacing w:line="360" w:lineRule="auto"/>
              <w:jc w:val="center"/>
              <w:rPr>
                <w:color w:val="000000"/>
                <w:szCs w:val="21"/>
              </w:rPr>
            </w:pPr>
          </w:p>
        </w:tc>
        <w:tc>
          <w:tcPr>
            <w:tcW w:w="2126" w:type="dxa"/>
            <w:gridSpan w:val="3"/>
            <w:noWrap w:val="0"/>
            <w:vAlign w:val="center"/>
          </w:tcPr>
          <w:p>
            <w:pPr>
              <w:widowControl/>
              <w:spacing w:line="360" w:lineRule="exact"/>
              <w:rPr>
                <w:color w:val="000000"/>
                <w:szCs w:val="21"/>
              </w:rPr>
            </w:pPr>
            <w:r>
              <w:rPr>
                <w:color w:val="000000"/>
                <w:kern w:val="0"/>
                <w:szCs w:val="21"/>
              </w:rPr>
              <w:t>确保工期的技术组织措施</w:t>
            </w:r>
            <w:r>
              <w:rPr>
                <w:rFonts w:hint="eastAsia"/>
                <w:color w:val="000000"/>
              </w:rPr>
              <w:t>（</w:t>
            </w:r>
            <w:r>
              <w:rPr>
                <w:color w:val="000000"/>
              </w:rPr>
              <w:t>9</w:t>
            </w:r>
            <w:r>
              <w:rPr>
                <w:rFonts w:hint="eastAsia"/>
                <w:color w:val="000000"/>
              </w:rPr>
              <w:t>-</w:t>
            </w:r>
            <w:r>
              <w:rPr>
                <w:color w:val="000000"/>
              </w:rPr>
              <w:t>15</w:t>
            </w:r>
            <w:r>
              <w:rPr>
                <w:rFonts w:hint="eastAsia"/>
                <w:color w:val="000000"/>
              </w:rPr>
              <w:t>分）</w:t>
            </w:r>
          </w:p>
        </w:tc>
        <w:tc>
          <w:tcPr>
            <w:tcW w:w="6627" w:type="dxa"/>
            <w:gridSpan w:val="4"/>
            <w:noWrap w:val="0"/>
            <w:vAlign w:val="center"/>
          </w:tcPr>
          <w:p>
            <w:pPr>
              <w:widowControl/>
              <w:spacing w:line="360" w:lineRule="exact"/>
              <w:rPr>
                <w:color w:val="000000"/>
                <w:szCs w:val="21"/>
              </w:rPr>
            </w:pPr>
            <w:r>
              <w:rPr>
                <w:color w:val="000000"/>
                <w:kern w:val="0"/>
                <w:szCs w:val="21"/>
              </w:rPr>
              <w:t>在施工工艺、施工方法、材料选用、劳动力安排、技术等方面有保证工期的具体措施且措施得当。有控制工期的施工进度计划。应有施工总进度表或施工网络图，各项计划图表编制完善，安排科学合理，符合本项目施工实际要求。</w:t>
            </w:r>
            <w:r>
              <w:rPr>
                <w:rFonts w:hint="eastAsia" w:cs="宋体"/>
                <w:color w:val="000000"/>
                <w:kern w:val="0"/>
              </w:rPr>
              <w:t>（注:设优、良、中、差，</w:t>
            </w:r>
            <w:r>
              <w:rPr>
                <w:rFonts w:cs="宋体"/>
                <w:color w:val="000000"/>
                <w:kern w:val="0"/>
              </w:rPr>
              <w:t>并对</w:t>
            </w:r>
            <w:r>
              <w:rPr>
                <w:rFonts w:hint="eastAsia" w:cs="宋体"/>
                <w:color w:val="000000"/>
                <w:kern w:val="0"/>
              </w:rPr>
              <w:t>各评分等级设置一个具体分值，</w:t>
            </w:r>
            <w:r>
              <w:rPr>
                <w:rFonts w:cs="宋体"/>
                <w:color w:val="000000"/>
                <w:kern w:val="0"/>
              </w:rPr>
              <w:t>不设评分区间</w:t>
            </w:r>
            <w:r>
              <w:rPr>
                <w:rFonts w:hint="eastAsia"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51" w:hRule="atLeast"/>
          <w:jc w:val="center"/>
        </w:trPr>
        <w:tc>
          <w:tcPr>
            <w:tcW w:w="960" w:type="dxa"/>
            <w:vMerge w:val="continue"/>
            <w:noWrap w:val="0"/>
            <w:vAlign w:val="center"/>
          </w:tcPr>
          <w:p>
            <w:pPr>
              <w:spacing w:line="360" w:lineRule="auto"/>
              <w:jc w:val="center"/>
              <w:rPr>
                <w:color w:val="000000"/>
                <w:szCs w:val="21"/>
              </w:rPr>
            </w:pPr>
          </w:p>
        </w:tc>
        <w:tc>
          <w:tcPr>
            <w:tcW w:w="992" w:type="dxa"/>
            <w:vMerge w:val="continue"/>
            <w:noWrap w:val="0"/>
            <w:vAlign w:val="center"/>
          </w:tcPr>
          <w:p>
            <w:pPr>
              <w:spacing w:line="360" w:lineRule="auto"/>
              <w:jc w:val="center"/>
              <w:rPr>
                <w:color w:val="000000"/>
                <w:szCs w:val="21"/>
              </w:rPr>
            </w:pPr>
          </w:p>
        </w:tc>
        <w:tc>
          <w:tcPr>
            <w:tcW w:w="2126" w:type="dxa"/>
            <w:gridSpan w:val="3"/>
            <w:noWrap w:val="0"/>
            <w:vAlign w:val="center"/>
          </w:tcPr>
          <w:p>
            <w:pPr>
              <w:widowControl/>
              <w:spacing w:line="360" w:lineRule="exact"/>
              <w:rPr>
                <w:color w:val="000000"/>
                <w:szCs w:val="21"/>
              </w:rPr>
            </w:pPr>
            <w:r>
              <w:rPr>
                <w:color w:val="000000"/>
                <w:kern w:val="0"/>
                <w:szCs w:val="21"/>
              </w:rPr>
              <w:t>确保文明施工的技术组织措施</w:t>
            </w:r>
            <w:r>
              <w:rPr>
                <w:rFonts w:hint="eastAsia"/>
                <w:color w:val="000000"/>
              </w:rPr>
              <w:t>（</w:t>
            </w:r>
            <w:r>
              <w:rPr>
                <w:color w:val="000000"/>
              </w:rPr>
              <w:t>9</w:t>
            </w:r>
            <w:r>
              <w:rPr>
                <w:rFonts w:hint="eastAsia"/>
                <w:color w:val="000000"/>
              </w:rPr>
              <w:t>-</w:t>
            </w:r>
            <w:r>
              <w:rPr>
                <w:color w:val="000000"/>
              </w:rPr>
              <w:t>15</w:t>
            </w:r>
            <w:r>
              <w:rPr>
                <w:rFonts w:hint="eastAsia"/>
                <w:color w:val="000000"/>
              </w:rPr>
              <w:t>分）</w:t>
            </w:r>
          </w:p>
        </w:tc>
        <w:tc>
          <w:tcPr>
            <w:tcW w:w="6627" w:type="dxa"/>
            <w:gridSpan w:val="4"/>
            <w:noWrap w:val="0"/>
            <w:vAlign w:val="center"/>
          </w:tcPr>
          <w:p>
            <w:pPr>
              <w:widowControl/>
              <w:spacing w:line="360" w:lineRule="exact"/>
              <w:rPr>
                <w:color w:val="000000"/>
                <w:szCs w:val="21"/>
              </w:rPr>
            </w:pPr>
            <w:r>
              <w:rPr>
                <w:color w:val="000000"/>
                <w:kern w:val="0"/>
                <w:szCs w:val="21"/>
              </w:rPr>
              <w:t>针对本工程项目特点，应有现场文明施工、环境保护措施，且措施内容应达到《建筑施工安全生产检查标准》（JGJ59-2011）合格标准并符合《广西壮族自治区建筑工程文明施工导则》要求。各项措施周全、具体、有效。有具体实现现场文明施工目标的承诺。</w:t>
            </w:r>
            <w:r>
              <w:rPr>
                <w:rFonts w:hint="eastAsia" w:cs="宋体"/>
                <w:color w:val="000000"/>
                <w:kern w:val="0"/>
              </w:rPr>
              <w:t>（注:设优、良、中、差，</w:t>
            </w:r>
            <w:r>
              <w:rPr>
                <w:rFonts w:cs="宋体"/>
                <w:color w:val="000000"/>
                <w:kern w:val="0"/>
              </w:rPr>
              <w:t>并对</w:t>
            </w:r>
            <w:r>
              <w:rPr>
                <w:rFonts w:hint="eastAsia" w:cs="宋体"/>
                <w:color w:val="000000"/>
                <w:kern w:val="0"/>
              </w:rPr>
              <w:t>各评分等级设置一个具体分值，</w:t>
            </w:r>
            <w:r>
              <w:rPr>
                <w:rFonts w:cs="宋体"/>
                <w:color w:val="000000"/>
                <w:kern w:val="0"/>
              </w:rPr>
              <w:t>不设评分区间</w:t>
            </w:r>
            <w:r>
              <w:rPr>
                <w:rFonts w:hint="eastAsia"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685" w:hRule="atLeast"/>
          <w:jc w:val="center"/>
        </w:trPr>
        <w:tc>
          <w:tcPr>
            <w:tcW w:w="960" w:type="dxa"/>
            <w:vMerge w:val="continue"/>
            <w:noWrap w:val="0"/>
            <w:vAlign w:val="center"/>
          </w:tcPr>
          <w:p>
            <w:pPr>
              <w:spacing w:line="360" w:lineRule="auto"/>
              <w:jc w:val="center"/>
              <w:rPr>
                <w:color w:val="000000"/>
                <w:szCs w:val="21"/>
              </w:rPr>
            </w:pPr>
          </w:p>
        </w:tc>
        <w:tc>
          <w:tcPr>
            <w:tcW w:w="992" w:type="dxa"/>
            <w:vMerge w:val="continue"/>
            <w:noWrap w:val="0"/>
            <w:vAlign w:val="center"/>
          </w:tcPr>
          <w:p>
            <w:pPr>
              <w:spacing w:line="360" w:lineRule="auto"/>
              <w:jc w:val="center"/>
              <w:rPr>
                <w:color w:val="000000"/>
                <w:szCs w:val="21"/>
              </w:rPr>
            </w:pPr>
          </w:p>
        </w:tc>
        <w:tc>
          <w:tcPr>
            <w:tcW w:w="2126" w:type="dxa"/>
            <w:gridSpan w:val="3"/>
            <w:noWrap w:val="0"/>
            <w:vAlign w:val="center"/>
          </w:tcPr>
          <w:p>
            <w:pPr>
              <w:widowControl/>
              <w:spacing w:line="360" w:lineRule="exact"/>
              <w:rPr>
                <w:color w:val="000000"/>
                <w:szCs w:val="21"/>
              </w:rPr>
            </w:pPr>
            <w:r>
              <w:rPr>
                <w:color w:val="000000"/>
                <w:kern w:val="0"/>
                <w:szCs w:val="21"/>
              </w:rPr>
              <w:t>工程施工的重点和难点及保证措施</w:t>
            </w:r>
            <w:r>
              <w:rPr>
                <w:rFonts w:hint="eastAsia"/>
                <w:color w:val="000000"/>
              </w:rPr>
              <w:t>（</w:t>
            </w:r>
            <w:r>
              <w:rPr>
                <w:color w:val="000000"/>
              </w:rPr>
              <w:t>9</w:t>
            </w:r>
            <w:r>
              <w:rPr>
                <w:rFonts w:hint="eastAsia"/>
                <w:color w:val="000000"/>
              </w:rPr>
              <w:t>-</w:t>
            </w:r>
            <w:r>
              <w:rPr>
                <w:color w:val="000000"/>
              </w:rPr>
              <w:t>15</w:t>
            </w:r>
            <w:r>
              <w:rPr>
                <w:rFonts w:hint="eastAsia"/>
                <w:color w:val="000000"/>
              </w:rPr>
              <w:t>分）</w:t>
            </w:r>
          </w:p>
        </w:tc>
        <w:tc>
          <w:tcPr>
            <w:tcW w:w="6627" w:type="dxa"/>
            <w:gridSpan w:val="4"/>
            <w:noWrap w:val="0"/>
            <w:vAlign w:val="center"/>
          </w:tcPr>
          <w:p>
            <w:pPr>
              <w:widowControl/>
              <w:spacing w:line="360" w:lineRule="exact"/>
              <w:rPr>
                <w:color w:val="000000"/>
                <w:szCs w:val="21"/>
              </w:rPr>
            </w:pPr>
            <w:r>
              <w:rPr>
                <w:color w:val="000000"/>
                <w:kern w:val="0"/>
                <w:szCs w:val="21"/>
              </w:rPr>
              <w:t>针对本工程的特点，阐述本工程的重点和难点，解决重点和难点问题的方法是否合理。</w:t>
            </w:r>
            <w:r>
              <w:rPr>
                <w:rFonts w:hint="eastAsia" w:cs="宋体"/>
                <w:color w:val="000000"/>
                <w:kern w:val="0"/>
              </w:rPr>
              <w:t>（注:设优、良、中、差，</w:t>
            </w:r>
            <w:r>
              <w:rPr>
                <w:rFonts w:cs="宋体"/>
                <w:color w:val="000000"/>
                <w:kern w:val="0"/>
              </w:rPr>
              <w:t>并对</w:t>
            </w:r>
            <w:r>
              <w:rPr>
                <w:rFonts w:hint="eastAsia" w:cs="宋体"/>
                <w:color w:val="000000"/>
                <w:kern w:val="0"/>
              </w:rPr>
              <w:t>各评分等级设置一个具体分值，</w:t>
            </w:r>
            <w:r>
              <w:rPr>
                <w:rFonts w:cs="宋体"/>
                <w:color w:val="000000"/>
                <w:kern w:val="0"/>
              </w:rPr>
              <w:t>不设评分区间</w:t>
            </w:r>
            <w:r>
              <w:rPr>
                <w:rFonts w:hint="eastAsia"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685" w:hRule="atLeast"/>
          <w:jc w:val="center"/>
        </w:trPr>
        <w:tc>
          <w:tcPr>
            <w:tcW w:w="960" w:type="dxa"/>
            <w:vMerge w:val="continue"/>
            <w:noWrap w:val="0"/>
            <w:vAlign w:val="center"/>
          </w:tcPr>
          <w:p>
            <w:pPr>
              <w:spacing w:line="360" w:lineRule="auto"/>
              <w:jc w:val="center"/>
              <w:rPr>
                <w:color w:val="000000"/>
                <w:szCs w:val="21"/>
              </w:rPr>
            </w:pPr>
          </w:p>
        </w:tc>
        <w:tc>
          <w:tcPr>
            <w:tcW w:w="992" w:type="dxa"/>
            <w:vMerge w:val="continue"/>
            <w:noWrap w:val="0"/>
            <w:vAlign w:val="center"/>
          </w:tcPr>
          <w:p>
            <w:pPr>
              <w:spacing w:line="360" w:lineRule="auto"/>
              <w:jc w:val="center"/>
              <w:rPr>
                <w:color w:val="000000"/>
                <w:szCs w:val="21"/>
              </w:rPr>
            </w:pPr>
          </w:p>
        </w:tc>
        <w:tc>
          <w:tcPr>
            <w:tcW w:w="2126" w:type="dxa"/>
            <w:gridSpan w:val="3"/>
            <w:noWrap w:val="0"/>
            <w:vAlign w:val="center"/>
          </w:tcPr>
          <w:p>
            <w:pPr>
              <w:widowControl/>
              <w:spacing w:line="360" w:lineRule="exact"/>
              <w:rPr>
                <w:color w:val="000000"/>
                <w:kern w:val="0"/>
                <w:szCs w:val="21"/>
              </w:rPr>
            </w:pPr>
            <w:r>
              <w:rPr>
                <w:color w:val="000000"/>
                <w:kern w:val="0"/>
                <w:szCs w:val="21"/>
              </w:rPr>
              <w:t>施工总平面布置图</w:t>
            </w:r>
            <w:r>
              <w:rPr>
                <w:rFonts w:hint="eastAsia"/>
                <w:color w:val="000000"/>
              </w:rPr>
              <w:t>（</w:t>
            </w:r>
            <w:r>
              <w:rPr>
                <w:color w:val="000000"/>
              </w:rPr>
              <w:t>9</w:t>
            </w:r>
            <w:r>
              <w:rPr>
                <w:rFonts w:hint="eastAsia"/>
                <w:color w:val="000000"/>
              </w:rPr>
              <w:t>-</w:t>
            </w:r>
            <w:r>
              <w:rPr>
                <w:color w:val="000000"/>
              </w:rPr>
              <w:t>15</w:t>
            </w:r>
            <w:r>
              <w:rPr>
                <w:rFonts w:hint="eastAsia"/>
                <w:color w:val="000000"/>
              </w:rPr>
              <w:t>分）</w:t>
            </w:r>
          </w:p>
        </w:tc>
        <w:tc>
          <w:tcPr>
            <w:tcW w:w="6627" w:type="dxa"/>
            <w:gridSpan w:val="4"/>
            <w:noWrap w:val="0"/>
            <w:vAlign w:val="center"/>
          </w:tcPr>
          <w:p>
            <w:pPr>
              <w:widowControl/>
              <w:spacing w:line="360" w:lineRule="exact"/>
              <w:rPr>
                <w:color w:val="000000"/>
                <w:kern w:val="0"/>
                <w:szCs w:val="21"/>
              </w:rPr>
            </w:pPr>
            <w:r>
              <w:rPr>
                <w:color w:val="000000"/>
                <w:kern w:val="0"/>
                <w:szCs w:val="21"/>
              </w:rPr>
              <w:t>应有施工总平面布置图，安排科学合理，符合本项目施工实际要求。</w:t>
            </w:r>
            <w:r>
              <w:rPr>
                <w:rFonts w:hint="eastAsia" w:cs="宋体"/>
                <w:color w:val="000000"/>
                <w:kern w:val="0"/>
              </w:rPr>
              <w:t>（注:设优、良、中、差，</w:t>
            </w:r>
            <w:r>
              <w:rPr>
                <w:rFonts w:cs="宋体"/>
                <w:color w:val="000000"/>
                <w:kern w:val="0"/>
              </w:rPr>
              <w:t>并对</w:t>
            </w:r>
            <w:r>
              <w:rPr>
                <w:rFonts w:hint="eastAsia" w:cs="宋体"/>
                <w:color w:val="000000"/>
                <w:kern w:val="0"/>
              </w:rPr>
              <w:t>各评分等级设置一个具体分值，</w:t>
            </w:r>
            <w:r>
              <w:rPr>
                <w:rFonts w:cs="宋体"/>
                <w:color w:val="000000"/>
                <w:kern w:val="0"/>
              </w:rPr>
              <w:t>不设评分区间</w:t>
            </w:r>
            <w:r>
              <w:rPr>
                <w:rFonts w:hint="eastAsia"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685" w:hRule="atLeast"/>
          <w:jc w:val="center"/>
        </w:trPr>
        <w:tc>
          <w:tcPr>
            <w:tcW w:w="960" w:type="dxa"/>
            <w:vMerge w:val="continue"/>
            <w:noWrap w:val="0"/>
            <w:vAlign w:val="center"/>
          </w:tcPr>
          <w:p>
            <w:pPr>
              <w:spacing w:line="360" w:lineRule="auto"/>
              <w:jc w:val="center"/>
              <w:rPr>
                <w:color w:val="000000"/>
                <w:szCs w:val="21"/>
              </w:rPr>
            </w:pPr>
          </w:p>
        </w:tc>
        <w:tc>
          <w:tcPr>
            <w:tcW w:w="992" w:type="dxa"/>
            <w:vMerge w:val="continue"/>
            <w:noWrap w:val="0"/>
            <w:vAlign w:val="center"/>
          </w:tcPr>
          <w:p>
            <w:pPr>
              <w:spacing w:line="360" w:lineRule="auto"/>
              <w:jc w:val="center"/>
              <w:rPr>
                <w:color w:val="000000"/>
                <w:szCs w:val="21"/>
              </w:rPr>
            </w:pPr>
          </w:p>
        </w:tc>
        <w:tc>
          <w:tcPr>
            <w:tcW w:w="2126" w:type="dxa"/>
            <w:gridSpan w:val="3"/>
            <w:noWrap w:val="0"/>
            <w:vAlign w:val="center"/>
          </w:tcPr>
          <w:p>
            <w:pPr>
              <w:widowControl/>
              <w:spacing w:line="360" w:lineRule="exact"/>
              <w:rPr>
                <w:color w:val="000000"/>
                <w:szCs w:val="21"/>
              </w:rPr>
            </w:pPr>
            <w:r>
              <w:rPr>
                <w:rFonts w:hint="eastAsia"/>
                <w:color w:val="000000"/>
                <w:kern w:val="0"/>
                <w:szCs w:val="21"/>
              </w:rPr>
              <w:t>装配式技术应用分析（如有）（</w:t>
            </w:r>
            <w:r>
              <w:rPr>
                <w:color w:val="000000"/>
              </w:rPr>
              <w:t>9</w:t>
            </w:r>
            <w:r>
              <w:rPr>
                <w:rFonts w:hint="eastAsia"/>
                <w:color w:val="000000"/>
              </w:rPr>
              <w:t>-</w:t>
            </w:r>
            <w:r>
              <w:rPr>
                <w:color w:val="000000"/>
              </w:rPr>
              <w:t>15</w:t>
            </w:r>
            <w:r>
              <w:rPr>
                <w:rFonts w:hint="eastAsia"/>
                <w:color w:val="000000"/>
                <w:kern w:val="0"/>
                <w:szCs w:val="21"/>
              </w:rPr>
              <w:t>分）</w:t>
            </w:r>
          </w:p>
        </w:tc>
        <w:tc>
          <w:tcPr>
            <w:tcW w:w="6627" w:type="dxa"/>
            <w:gridSpan w:val="4"/>
            <w:noWrap w:val="0"/>
            <w:vAlign w:val="center"/>
          </w:tcPr>
          <w:p>
            <w:pPr>
              <w:widowControl/>
              <w:spacing w:line="360" w:lineRule="exact"/>
              <w:rPr>
                <w:color w:val="000000"/>
                <w:szCs w:val="21"/>
              </w:rPr>
            </w:pPr>
            <w:r>
              <w:rPr>
                <w:rFonts w:hint="eastAsia"/>
                <w:color w:val="000000"/>
                <w:kern w:val="0"/>
                <w:szCs w:val="21"/>
              </w:rPr>
              <w:t>应有装配式技术在本项目中的应用分析</w:t>
            </w:r>
            <w:r>
              <w:rPr>
                <w:rFonts w:hint="eastAsia" w:cs="宋体"/>
                <w:color w:val="000000"/>
                <w:kern w:val="0"/>
              </w:rPr>
              <w:t>（注:设优、良、中、差，</w:t>
            </w:r>
            <w:r>
              <w:rPr>
                <w:rFonts w:cs="宋体"/>
                <w:color w:val="000000"/>
                <w:kern w:val="0"/>
              </w:rPr>
              <w:t>并对</w:t>
            </w:r>
            <w:r>
              <w:rPr>
                <w:rFonts w:hint="eastAsia" w:cs="宋体"/>
                <w:color w:val="000000"/>
                <w:kern w:val="0"/>
              </w:rPr>
              <w:t>各评分等级设置一个具体分值，</w:t>
            </w:r>
            <w:r>
              <w:rPr>
                <w:rFonts w:cs="宋体"/>
                <w:color w:val="000000"/>
                <w:kern w:val="0"/>
              </w:rPr>
              <w:t>不设评分区间</w:t>
            </w:r>
            <w:r>
              <w:rPr>
                <w:rFonts w:hint="eastAsia" w:cs="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2" w:hRule="atLeast"/>
          <w:jc w:val="center"/>
        </w:trPr>
        <w:tc>
          <w:tcPr>
            <w:tcW w:w="960" w:type="dxa"/>
            <w:vMerge w:val="continue"/>
            <w:noWrap w:val="0"/>
            <w:vAlign w:val="center"/>
          </w:tcPr>
          <w:p>
            <w:pPr>
              <w:spacing w:line="360" w:lineRule="auto"/>
              <w:jc w:val="center"/>
              <w:rPr>
                <w:color w:val="000000"/>
                <w:szCs w:val="21"/>
              </w:rPr>
            </w:pPr>
          </w:p>
        </w:tc>
        <w:tc>
          <w:tcPr>
            <w:tcW w:w="992" w:type="dxa"/>
            <w:vMerge w:val="continue"/>
            <w:noWrap w:val="0"/>
            <w:vAlign w:val="center"/>
          </w:tcPr>
          <w:p>
            <w:pPr>
              <w:spacing w:line="360" w:lineRule="auto"/>
              <w:jc w:val="center"/>
              <w:rPr>
                <w:color w:val="000000"/>
                <w:szCs w:val="21"/>
              </w:rPr>
            </w:pPr>
          </w:p>
        </w:tc>
        <w:tc>
          <w:tcPr>
            <w:tcW w:w="2126" w:type="dxa"/>
            <w:gridSpan w:val="3"/>
            <w:noWrap w:val="0"/>
            <w:vAlign w:val="center"/>
          </w:tcPr>
          <w:p>
            <w:pPr>
              <w:widowControl/>
              <w:spacing w:line="360" w:lineRule="exact"/>
              <w:rPr>
                <w:color w:val="000000"/>
                <w:szCs w:val="21"/>
              </w:rPr>
            </w:pPr>
            <w:r>
              <w:rPr>
                <w:rFonts w:hint="eastAsia"/>
                <w:color w:val="000000"/>
                <w:kern w:val="0"/>
                <w:szCs w:val="21"/>
              </w:rPr>
              <w:t>BIM技术应用分析（如有）（</w:t>
            </w:r>
            <w:r>
              <w:rPr>
                <w:color w:val="000000"/>
                <w:kern w:val="0"/>
                <w:szCs w:val="21"/>
              </w:rPr>
              <w:t>9</w:t>
            </w:r>
            <w:r>
              <w:rPr>
                <w:rFonts w:hint="eastAsia"/>
                <w:color w:val="000000"/>
                <w:kern w:val="0"/>
                <w:szCs w:val="21"/>
              </w:rPr>
              <w:t>-</w:t>
            </w:r>
            <w:r>
              <w:rPr>
                <w:color w:val="000000"/>
                <w:kern w:val="0"/>
                <w:szCs w:val="21"/>
              </w:rPr>
              <w:t>15</w:t>
            </w:r>
            <w:r>
              <w:rPr>
                <w:rFonts w:hint="eastAsia"/>
                <w:color w:val="000000"/>
                <w:kern w:val="0"/>
                <w:szCs w:val="21"/>
              </w:rPr>
              <w:t>分）</w:t>
            </w:r>
          </w:p>
        </w:tc>
        <w:tc>
          <w:tcPr>
            <w:tcW w:w="6627" w:type="dxa"/>
            <w:gridSpan w:val="4"/>
            <w:noWrap w:val="0"/>
            <w:vAlign w:val="center"/>
          </w:tcPr>
          <w:p>
            <w:pPr>
              <w:widowControl/>
              <w:spacing w:line="360" w:lineRule="exact"/>
              <w:rPr>
                <w:color w:val="000000"/>
                <w:szCs w:val="21"/>
              </w:rPr>
            </w:pPr>
            <w:r>
              <w:rPr>
                <w:rFonts w:hint="eastAsia"/>
                <w:color w:val="000000"/>
                <w:kern w:val="0"/>
                <w:szCs w:val="21"/>
              </w:rPr>
              <w:t>BIM技术在本项目中的应用分析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2" w:hRule="atLeast"/>
          <w:jc w:val="center"/>
        </w:trPr>
        <w:tc>
          <w:tcPr>
            <w:tcW w:w="960" w:type="dxa"/>
            <w:vMerge w:val="restart"/>
            <w:noWrap w:val="0"/>
            <w:vAlign w:val="center"/>
          </w:tcPr>
          <w:p>
            <w:pPr>
              <w:spacing w:line="360" w:lineRule="auto"/>
              <w:jc w:val="center"/>
              <w:rPr>
                <w:color w:val="000000"/>
                <w:szCs w:val="21"/>
              </w:rPr>
            </w:pPr>
            <w:r>
              <w:rPr>
                <w:color w:val="000000"/>
                <w:szCs w:val="21"/>
              </w:rPr>
              <w:t>2.2.4</w:t>
            </w:r>
            <w:r>
              <w:rPr>
                <w:rFonts w:hint="eastAsia"/>
                <w:color w:val="000000"/>
                <w:szCs w:val="21"/>
              </w:rPr>
              <w:t>（3）</w:t>
            </w:r>
          </w:p>
        </w:tc>
        <w:tc>
          <w:tcPr>
            <w:tcW w:w="992" w:type="dxa"/>
            <w:vMerge w:val="restart"/>
            <w:noWrap w:val="0"/>
            <w:vAlign w:val="center"/>
          </w:tcPr>
          <w:p>
            <w:pPr>
              <w:spacing w:line="360" w:lineRule="auto"/>
              <w:jc w:val="center"/>
              <w:rPr>
                <w:color w:val="000000"/>
                <w:szCs w:val="21"/>
              </w:rPr>
            </w:pPr>
            <w:r>
              <w:rPr>
                <w:rFonts w:hint="eastAsia"/>
                <w:color w:val="000000"/>
                <w:szCs w:val="21"/>
              </w:rPr>
              <w:t>资信业绩（满分分值权重</w:t>
            </w:r>
            <w:r>
              <w:rPr>
                <w:color w:val="000000"/>
                <w:szCs w:val="21"/>
                <w:u w:val="single"/>
              </w:rPr>
              <w:t xml:space="preserve">      </w:t>
            </w:r>
            <w:r>
              <w:rPr>
                <w:rFonts w:hint="eastAsia"/>
                <w:color w:val="000000"/>
                <w:szCs w:val="21"/>
              </w:rPr>
              <w:t>%）</w:t>
            </w:r>
          </w:p>
        </w:tc>
        <w:tc>
          <w:tcPr>
            <w:tcW w:w="2126" w:type="dxa"/>
            <w:gridSpan w:val="3"/>
            <w:noWrap w:val="0"/>
            <w:vAlign w:val="center"/>
          </w:tcPr>
          <w:p>
            <w:pPr>
              <w:spacing w:line="440" w:lineRule="exact"/>
              <w:rPr>
                <w:rFonts w:hint="eastAsia"/>
                <w:color w:val="000000"/>
                <w:szCs w:val="21"/>
              </w:rPr>
            </w:pPr>
            <w:r>
              <w:rPr>
                <w:rFonts w:hint="eastAsia"/>
                <w:color w:val="000000"/>
                <w:szCs w:val="21"/>
              </w:rPr>
              <w:t>项目业绩（30~</w:t>
            </w:r>
            <w:r>
              <w:rPr>
                <w:color w:val="000000"/>
                <w:szCs w:val="21"/>
              </w:rPr>
              <w:t>60</w:t>
            </w:r>
            <w:r>
              <w:rPr>
                <w:rFonts w:hint="eastAsia"/>
                <w:color w:val="000000"/>
                <w:kern w:val="0"/>
                <w:szCs w:val="21"/>
              </w:rPr>
              <w:t>分</w:t>
            </w:r>
            <w:r>
              <w:rPr>
                <w:rFonts w:hint="eastAsia"/>
                <w:color w:val="000000"/>
                <w:szCs w:val="21"/>
              </w:rPr>
              <w:t>）</w:t>
            </w:r>
          </w:p>
        </w:tc>
        <w:tc>
          <w:tcPr>
            <w:tcW w:w="6627" w:type="dxa"/>
            <w:gridSpan w:val="4"/>
            <w:noWrap w:val="0"/>
            <w:vAlign w:val="center"/>
          </w:tcPr>
          <w:p>
            <w:pPr>
              <w:spacing w:line="440" w:lineRule="exact"/>
              <w:rPr>
                <w:color w:val="000000"/>
                <w:szCs w:val="21"/>
              </w:rPr>
            </w:pPr>
            <w:r>
              <w:rPr>
                <w:rFonts w:hint="eastAsia"/>
                <w:b/>
                <w:color w:val="000000"/>
                <w:szCs w:val="21"/>
              </w:rPr>
              <w:t>（备注</w:t>
            </w:r>
            <w:r>
              <w:rPr>
                <w:b/>
                <w:color w:val="000000"/>
                <w:szCs w:val="21"/>
              </w:rPr>
              <w:t>：</w:t>
            </w:r>
            <w:r>
              <w:rPr>
                <w:rFonts w:hint="eastAsia"/>
                <w:b/>
                <w:color w:val="000000"/>
                <w:szCs w:val="21"/>
              </w:rPr>
              <w:t>必须</w:t>
            </w:r>
            <w:r>
              <w:rPr>
                <w:b/>
                <w:color w:val="000000"/>
                <w:szCs w:val="21"/>
              </w:rPr>
              <w:t>同时</w:t>
            </w:r>
            <w:r>
              <w:rPr>
                <w:rFonts w:hint="eastAsia"/>
                <w:b/>
                <w:color w:val="000000"/>
                <w:szCs w:val="21"/>
              </w:rPr>
              <w:t>要求</w:t>
            </w:r>
            <w:r>
              <w:rPr>
                <w:b/>
                <w:color w:val="000000"/>
                <w:szCs w:val="21"/>
              </w:rPr>
              <w:t>总承包、设计、施工类的业绩</w:t>
            </w:r>
            <w:r>
              <w:rPr>
                <w:rFonts w:hint="eastAsia"/>
                <w:b/>
                <w:color w:val="000000"/>
                <w:szCs w:val="21"/>
              </w:rPr>
              <w:t>）</w:t>
            </w: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2" w:hRule="atLeast"/>
          <w:jc w:val="center"/>
        </w:trPr>
        <w:tc>
          <w:tcPr>
            <w:tcW w:w="960" w:type="dxa"/>
            <w:vMerge w:val="continue"/>
            <w:noWrap w:val="0"/>
            <w:vAlign w:val="center"/>
          </w:tcPr>
          <w:p>
            <w:pPr>
              <w:spacing w:line="360" w:lineRule="auto"/>
              <w:jc w:val="center"/>
              <w:rPr>
                <w:color w:val="000000"/>
                <w:szCs w:val="21"/>
              </w:rPr>
            </w:pPr>
          </w:p>
        </w:tc>
        <w:tc>
          <w:tcPr>
            <w:tcW w:w="992" w:type="dxa"/>
            <w:vMerge w:val="continue"/>
            <w:noWrap w:val="0"/>
            <w:vAlign w:val="center"/>
          </w:tcPr>
          <w:p>
            <w:pPr>
              <w:spacing w:line="360" w:lineRule="auto"/>
              <w:jc w:val="center"/>
              <w:rPr>
                <w:color w:val="000000"/>
                <w:szCs w:val="21"/>
              </w:rPr>
            </w:pPr>
          </w:p>
        </w:tc>
        <w:tc>
          <w:tcPr>
            <w:tcW w:w="2126" w:type="dxa"/>
            <w:gridSpan w:val="3"/>
            <w:noWrap w:val="0"/>
            <w:vAlign w:val="center"/>
          </w:tcPr>
          <w:p>
            <w:pPr>
              <w:spacing w:line="360" w:lineRule="auto"/>
              <w:rPr>
                <w:rFonts w:hint="eastAsia"/>
                <w:color w:val="000000"/>
                <w:szCs w:val="21"/>
              </w:rPr>
            </w:pPr>
            <w:r>
              <w:rPr>
                <w:rFonts w:hint="eastAsia"/>
                <w:color w:val="000000"/>
                <w:szCs w:val="21"/>
              </w:rPr>
              <w:t>拟投入本项目管理人员配备情况（30~</w:t>
            </w:r>
            <w:r>
              <w:rPr>
                <w:color w:val="000000"/>
                <w:szCs w:val="21"/>
              </w:rPr>
              <w:t>60</w:t>
            </w:r>
            <w:r>
              <w:rPr>
                <w:rFonts w:hint="eastAsia"/>
                <w:color w:val="000000"/>
                <w:kern w:val="0"/>
                <w:szCs w:val="21"/>
              </w:rPr>
              <w:t>分</w:t>
            </w:r>
            <w:r>
              <w:rPr>
                <w:rFonts w:hint="eastAsia"/>
                <w:color w:val="000000"/>
                <w:szCs w:val="21"/>
              </w:rPr>
              <w:t>）</w:t>
            </w:r>
          </w:p>
        </w:tc>
        <w:tc>
          <w:tcPr>
            <w:tcW w:w="6627" w:type="dxa"/>
            <w:gridSpan w:val="4"/>
            <w:noWrap w:val="0"/>
            <w:vAlign w:val="center"/>
          </w:tcPr>
          <w:p>
            <w:pPr>
              <w:spacing w:line="360" w:lineRule="auto"/>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2" w:hRule="atLeast"/>
          <w:jc w:val="center"/>
        </w:trPr>
        <w:tc>
          <w:tcPr>
            <w:tcW w:w="960" w:type="dxa"/>
            <w:vMerge w:val="continue"/>
            <w:noWrap w:val="0"/>
            <w:vAlign w:val="center"/>
          </w:tcPr>
          <w:p>
            <w:pPr>
              <w:spacing w:line="360" w:lineRule="auto"/>
              <w:jc w:val="center"/>
              <w:rPr>
                <w:color w:val="000000"/>
                <w:szCs w:val="21"/>
              </w:rPr>
            </w:pPr>
          </w:p>
        </w:tc>
        <w:tc>
          <w:tcPr>
            <w:tcW w:w="992" w:type="dxa"/>
            <w:vMerge w:val="continue"/>
            <w:noWrap w:val="0"/>
            <w:vAlign w:val="center"/>
          </w:tcPr>
          <w:p>
            <w:pPr>
              <w:spacing w:line="360" w:lineRule="auto"/>
              <w:jc w:val="center"/>
              <w:rPr>
                <w:color w:val="000000"/>
                <w:szCs w:val="21"/>
              </w:rPr>
            </w:pPr>
          </w:p>
        </w:tc>
        <w:tc>
          <w:tcPr>
            <w:tcW w:w="2126" w:type="dxa"/>
            <w:gridSpan w:val="3"/>
            <w:noWrap w:val="0"/>
            <w:vAlign w:val="center"/>
          </w:tcPr>
          <w:p>
            <w:pPr>
              <w:spacing w:line="360" w:lineRule="auto"/>
              <w:rPr>
                <w:color w:val="000000"/>
                <w:szCs w:val="21"/>
              </w:rPr>
            </w:pPr>
            <w:r>
              <w:rPr>
                <w:rFonts w:hint="eastAsia"/>
                <w:color w:val="000000"/>
                <w:szCs w:val="21"/>
              </w:rPr>
              <w:t>采用建筑信息模型（BIM）技术的项目业绩（如有）：（</w:t>
            </w:r>
            <w:r>
              <w:rPr>
                <w:color w:val="000000"/>
                <w:szCs w:val="21"/>
              </w:rPr>
              <w:t>2</w:t>
            </w:r>
            <w:r>
              <w:rPr>
                <w:rFonts w:hint="eastAsia"/>
                <w:color w:val="000000"/>
                <w:szCs w:val="21"/>
              </w:rPr>
              <w:t>0~</w:t>
            </w:r>
            <w:r>
              <w:rPr>
                <w:color w:val="000000"/>
                <w:szCs w:val="21"/>
              </w:rPr>
              <w:t>35</w:t>
            </w:r>
            <w:r>
              <w:rPr>
                <w:rFonts w:hint="eastAsia"/>
                <w:color w:val="000000"/>
                <w:kern w:val="0"/>
                <w:szCs w:val="21"/>
              </w:rPr>
              <w:t>分</w:t>
            </w:r>
            <w:r>
              <w:rPr>
                <w:rFonts w:hint="eastAsia"/>
                <w:color w:val="000000"/>
                <w:szCs w:val="21"/>
              </w:rPr>
              <w:t>）</w:t>
            </w:r>
          </w:p>
        </w:tc>
        <w:tc>
          <w:tcPr>
            <w:tcW w:w="6627" w:type="dxa"/>
            <w:gridSpan w:val="4"/>
            <w:noWrap w:val="0"/>
            <w:vAlign w:val="center"/>
          </w:tcPr>
          <w:p>
            <w:pPr>
              <w:spacing w:line="440" w:lineRule="exact"/>
              <w:rPr>
                <w:color w:val="000000"/>
                <w:szCs w:val="21"/>
              </w:rPr>
            </w:pPr>
            <w:r>
              <w:rPr>
                <w:rFonts w:hint="eastAsia" w:ascii="宋体" w:hAnsi="宋体" w:cs="宋体"/>
                <w:color w:val="000000"/>
              </w:rPr>
              <w:t>BIM奖项包括：中国图学学会“龙图杯”全国BIM大赛奖项；“科创杯”中国BIM技术交流会暨优秀BIM案例作品展示会大赛奖项；广西壮族自治区“八桂杯”BIM技术应用大赛奖项。（</w:t>
            </w:r>
            <w:r>
              <w:rPr>
                <w:rFonts w:hint="eastAsia" w:ascii="宋体" w:hAnsi="宋体" w:cs="宋体"/>
                <w:b/>
                <w:color w:val="000000"/>
              </w:rPr>
              <w:t>备注：招标人如考核BIM奖项时，应将以上奖项全部列入考核内容。）</w:t>
            </w:r>
          </w:p>
          <w:p>
            <w:pPr>
              <w:spacing w:line="360" w:lineRule="auto"/>
              <w:rPr>
                <w:color w:val="000000"/>
                <w:szCs w:val="21"/>
              </w:rPr>
            </w:pPr>
            <w:r>
              <w:rPr>
                <w:rFonts w:hint="eastAsia"/>
                <w:color w:val="000000"/>
                <w:szCs w:val="21"/>
              </w:rPr>
              <w:t>可要求提供BIM技术获奖证明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2" w:hRule="atLeast"/>
          <w:jc w:val="center"/>
        </w:trPr>
        <w:tc>
          <w:tcPr>
            <w:tcW w:w="960" w:type="dxa"/>
            <w:vMerge w:val="restart"/>
            <w:noWrap w:val="0"/>
            <w:vAlign w:val="center"/>
          </w:tcPr>
          <w:p>
            <w:pPr>
              <w:spacing w:line="440" w:lineRule="exact"/>
              <w:jc w:val="center"/>
              <w:rPr>
                <w:rFonts w:hint="eastAsia"/>
                <w:color w:val="000000"/>
                <w:szCs w:val="21"/>
              </w:rPr>
            </w:pPr>
            <w:r>
              <w:rPr>
                <w:color w:val="000000"/>
                <w:szCs w:val="21"/>
              </w:rPr>
              <w:t>2.2.4</w:t>
            </w:r>
            <w:r>
              <w:rPr>
                <w:rFonts w:hint="eastAsia"/>
                <w:color w:val="000000"/>
                <w:szCs w:val="21"/>
              </w:rPr>
              <w:t>（4）</w:t>
            </w:r>
          </w:p>
        </w:tc>
        <w:tc>
          <w:tcPr>
            <w:tcW w:w="992" w:type="dxa"/>
            <w:vMerge w:val="restart"/>
            <w:noWrap w:val="0"/>
            <w:vAlign w:val="center"/>
          </w:tcPr>
          <w:p>
            <w:pPr>
              <w:spacing w:line="440" w:lineRule="exact"/>
              <w:jc w:val="left"/>
              <w:rPr>
                <w:rFonts w:hint="eastAsia"/>
                <w:color w:val="000000"/>
                <w:szCs w:val="21"/>
              </w:rPr>
            </w:pPr>
            <w:r>
              <w:rPr>
                <w:rFonts w:hint="eastAsia"/>
                <w:color w:val="000000"/>
                <w:szCs w:val="21"/>
              </w:rPr>
              <w:t>商务标（满分分值权重</w:t>
            </w:r>
            <w:r>
              <w:rPr>
                <w:color w:val="000000"/>
                <w:szCs w:val="21"/>
                <w:u w:val="single"/>
              </w:rPr>
              <w:t xml:space="preserve">    </w:t>
            </w:r>
            <w:r>
              <w:rPr>
                <w:rFonts w:hint="eastAsia"/>
                <w:color w:val="000000"/>
                <w:szCs w:val="21"/>
              </w:rPr>
              <w:t>%）</w:t>
            </w:r>
          </w:p>
        </w:tc>
        <w:tc>
          <w:tcPr>
            <w:tcW w:w="2126" w:type="dxa"/>
            <w:gridSpan w:val="3"/>
            <w:noWrap w:val="0"/>
            <w:vAlign w:val="center"/>
          </w:tcPr>
          <w:p>
            <w:pPr>
              <w:spacing w:line="440" w:lineRule="exact"/>
              <w:jc w:val="left"/>
              <w:rPr>
                <w:rFonts w:hint="eastAsia"/>
                <w:color w:val="000000"/>
                <w:szCs w:val="21"/>
              </w:rPr>
            </w:pPr>
            <w:r>
              <w:rPr>
                <w:rFonts w:hint="eastAsia"/>
                <w:color w:val="000000"/>
                <w:szCs w:val="21"/>
              </w:rPr>
              <w:t>企业信誉实力分评分标准【满分分值权重□小型工程（</w:t>
            </w:r>
            <w:r>
              <w:rPr>
                <w:rFonts w:hint="eastAsia"/>
                <w:szCs w:val="21"/>
              </w:rPr>
              <w:t>0%、1%、2%、3%</w:t>
            </w:r>
            <w:r>
              <w:rPr>
                <w:rFonts w:hint="eastAsia"/>
                <w:color w:val="000000"/>
                <w:szCs w:val="21"/>
              </w:rPr>
              <w:t>）</w:t>
            </w:r>
          </w:p>
          <w:p>
            <w:pPr>
              <w:spacing w:line="440" w:lineRule="exact"/>
              <w:jc w:val="left"/>
              <w:rPr>
                <w:rFonts w:hint="eastAsia"/>
                <w:color w:val="000000"/>
                <w:szCs w:val="21"/>
              </w:rPr>
            </w:pPr>
            <w:r>
              <w:rPr>
                <w:rFonts w:hint="eastAsia"/>
                <w:color w:val="000000"/>
                <w:szCs w:val="21"/>
              </w:rPr>
              <w:t>□中型工程（5%或6%或7%或8%）□大型工程（10%或11%或12%或13%）】【备注：招标项目如为国有投资（含国有投资占主导或控股地位）项目则须计入此分，其他工程由招标人自行决定是否参照执行。】</w:t>
            </w:r>
          </w:p>
        </w:tc>
        <w:tc>
          <w:tcPr>
            <w:tcW w:w="6627" w:type="dxa"/>
            <w:gridSpan w:val="4"/>
            <w:noWrap w:val="0"/>
            <w:vAlign w:val="top"/>
          </w:tcPr>
          <w:p>
            <w:pPr>
              <w:spacing w:line="440" w:lineRule="exact"/>
              <w:jc w:val="left"/>
              <w:rPr>
                <w:rFonts w:hint="eastAsia"/>
                <w:color w:val="000000"/>
                <w:szCs w:val="21"/>
              </w:rPr>
            </w:pPr>
            <w:r>
              <w:rPr>
                <w:rFonts w:hint="eastAsia"/>
                <w:color w:val="000000"/>
                <w:szCs w:val="21"/>
              </w:rPr>
              <w:t>一、施工单位企业信誉实力：</w:t>
            </w:r>
          </w:p>
          <w:p>
            <w:pPr>
              <w:spacing w:line="440" w:lineRule="exact"/>
              <w:jc w:val="left"/>
              <w:rPr>
                <w:rFonts w:hint="eastAsia"/>
                <w:color w:val="000000"/>
                <w:szCs w:val="21"/>
              </w:rPr>
            </w:pPr>
            <w:r>
              <w:rPr>
                <w:rFonts w:hint="eastAsia"/>
                <w:color w:val="000000"/>
                <w:szCs w:val="21"/>
              </w:rPr>
              <w:t>企业信誉实力得分的确定（联合体参与投标的，联合体的信誉实力分按联合体成员中负责本</w:t>
            </w:r>
            <w:r>
              <w:rPr>
                <w:color w:val="000000"/>
                <w:szCs w:val="21"/>
              </w:rPr>
              <w:t>项目</w:t>
            </w:r>
            <w:r>
              <w:rPr>
                <w:rFonts w:hint="eastAsia"/>
                <w:color w:val="000000"/>
                <w:szCs w:val="21"/>
              </w:rPr>
              <w:t>房</w:t>
            </w:r>
            <w:r>
              <w:rPr>
                <w:color w:val="000000"/>
                <w:szCs w:val="21"/>
              </w:rPr>
              <w:t>建、市政内容施工的</w:t>
            </w:r>
            <w:r>
              <w:rPr>
                <w:rFonts w:hint="eastAsia"/>
                <w:color w:val="000000"/>
                <w:szCs w:val="21"/>
              </w:rPr>
              <w:t>施工企业诚信综合评价分最低的企业认定）：</w:t>
            </w:r>
          </w:p>
          <w:p>
            <w:pPr>
              <w:spacing w:line="440" w:lineRule="exact"/>
              <w:jc w:val="left"/>
              <w:rPr>
                <w:color w:val="000000"/>
                <w:szCs w:val="21"/>
              </w:rPr>
            </w:pPr>
          </w:p>
          <w:p>
            <w:pPr>
              <w:spacing w:line="440" w:lineRule="exact"/>
              <w:jc w:val="left"/>
              <w:rPr>
                <w:rFonts w:hint="eastAsia"/>
                <w:color w:val="000000"/>
                <w:szCs w:val="21"/>
              </w:rPr>
            </w:pPr>
            <w:r>
              <w:rPr>
                <w:rFonts w:hint="eastAsia"/>
                <w:color w:val="000000"/>
                <w:szCs w:val="21"/>
              </w:rPr>
              <w:t>施工企业信誉实力加权得分=根据实时公布的自治区级诚信综合评价分（百分制）×</w:t>
            </w:r>
            <w:r>
              <w:rPr>
                <w:rFonts w:hint="eastAsia"/>
                <w:color w:val="000000"/>
                <w:szCs w:val="21"/>
                <w:u w:val="single"/>
              </w:rPr>
              <w:t xml:space="preserve">    </w:t>
            </w:r>
            <w:r>
              <w:rPr>
                <w:rFonts w:hint="eastAsia"/>
                <w:color w:val="000000"/>
                <w:szCs w:val="21"/>
              </w:rPr>
              <w:t>%（取</w:t>
            </w:r>
            <w:r>
              <w:rPr>
                <w:color w:val="000000"/>
                <w:szCs w:val="21"/>
              </w:rPr>
              <w:t>5</w:t>
            </w:r>
            <w:r>
              <w:rPr>
                <w:rFonts w:hint="eastAsia"/>
                <w:color w:val="000000"/>
                <w:szCs w:val="21"/>
              </w:rPr>
              <w:t>0%-100%）×企业信誉实力分分值权重+根据实时公布的项目所在地设区市级诚信综合评价分（百分制）×</w:t>
            </w:r>
            <w:r>
              <w:rPr>
                <w:rFonts w:hint="eastAsia"/>
                <w:color w:val="000000"/>
                <w:szCs w:val="21"/>
                <w:u w:val="single"/>
              </w:rPr>
              <w:t xml:space="preserve">    </w:t>
            </w:r>
            <w:r>
              <w:rPr>
                <w:rFonts w:hint="eastAsia"/>
                <w:color w:val="000000"/>
                <w:szCs w:val="21"/>
              </w:rPr>
              <w:t>%（取</w:t>
            </w:r>
            <w:r>
              <w:rPr>
                <w:color w:val="000000"/>
                <w:szCs w:val="21"/>
              </w:rPr>
              <w:t>5</w:t>
            </w:r>
            <w:r>
              <w:rPr>
                <w:rFonts w:hint="eastAsia"/>
                <w:color w:val="000000"/>
                <w:szCs w:val="21"/>
              </w:rPr>
              <w:t>0%-0）×企业信誉实力分分值权重</w:t>
            </w:r>
          </w:p>
          <w:p>
            <w:pPr>
              <w:spacing w:line="440" w:lineRule="exact"/>
              <w:jc w:val="left"/>
              <w:rPr>
                <w:rFonts w:hint="eastAsia"/>
                <w:color w:val="000000"/>
                <w:szCs w:val="21"/>
              </w:rPr>
            </w:pPr>
            <w:r>
              <w:rPr>
                <w:rFonts w:hint="eastAsia"/>
                <w:color w:val="000000"/>
                <w:szCs w:val="21"/>
              </w:rPr>
              <w:t>【备注：自治区级诚信综合评价分占比与项目所在地设区市级诚信综合评价分占比之和为100%，具体权重由各设区市在比例范围内在发出招标文件前自行决定，把确定后的比例填入招标文件内】</w:t>
            </w:r>
          </w:p>
          <w:p>
            <w:pPr>
              <w:spacing w:line="440" w:lineRule="exact"/>
              <w:jc w:val="left"/>
              <w:rPr>
                <w:color w:val="000000"/>
                <w:szCs w:val="21"/>
              </w:rPr>
            </w:pPr>
          </w:p>
          <w:p>
            <w:pPr>
              <w:spacing w:line="440" w:lineRule="exact"/>
              <w:jc w:val="left"/>
              <w:rPr>
                <w:rFonts w:hint="eastAsia"/>
                <w:color w:val="000000"/>
                <w:szCs w:val="21"/>
              </w:rPr>
            </w:pPr>
            <w:r>
              <w:rPr>
                <w:rFonts w:hint="eastAsia"/>
                <w:color w:val="000000"/>
                <w:szCs w:val="21"/>
              </w:rPr>
              <w:t>注：自治区级诚信综合评价分由评委在广西建筑市场监管与诚信信息一体化平台信息发布的诚信评分公示栏目中查询。</w:t>
            </w:r>
          </w:p>
          <w:p>
            <w:pPr>
              <w:spacing w:line="440" w:lineRule="exact"/>
              <w:rPr>
                <w:color w:val="000000"/>
                <w:szCs w:val="21"/>
              </w:rPr>
            </w:pPr>
            <w:r>
              <w:rPr>
                <w:rFonts w:hint="eastAsia"/>
                <w:color w:val="000000"/>
                <w:szCs w:val="21"/>
              </w:rPr>
              <w:t>项目所在地设区市级诚信综合评价分由评委在</w:t>
            </w:r>
            <w:r>
              <w:rPr>
                <w:rFonts w:hint="eastAsia"/>
                <w:color w:val="000000"/>
                <w:szCs w:val="21"/>
                <w:u w:val="single"/>
              </w:rPr>
              <w:t xml:space="preserve">               中查询</w:t>
            </w:r>
            <w:r>
              <w:rPr>
                <w:rFonts w:hint="eastAsia"/>
                <w:color w:val="000000"/>
                <w:szCs w:val="21"/>
              </w:rPr>
              <w:t>。</w:t>
            </w:r>
          </w:p>
          <w:p>
            <w:pPr>
              <w:spacing w:line="440" w:lineRule="exact"/>
              <w:rPr>
                <w:rFonts w:hint="eastAsia"/>
                <w:color w:val="000000"/>
                <w:szCs w:val="21"/>
              </w:rPr>
            </w:pPr>
            <w:r>
              <w:rPr>
                <w:rFonts w:hint="eastAsia"/>
                <w:color w:val="000000"/>
                <w:szCs w:val="21"/>
              </w:rPr>
              <w:t>二、设计企业信誉实力（设计获奖情况）：</w:t>
            </w:r>
          </w:p>
          <w:p>
            <w:pPr>
              <w:spacing w:line="440" w:lineRule="exact"/>
              <w:rPr>
                <w:color w:val="000000"/>
                <w:szCs w:val="21"/>
              </w:rPr>
            </w:pPr>
            <w:r>
              <w:rPr>
                <w:rFonts w:hint="eastAsia"/>
                <w:color w:val="000000"/>
                <w:szCs w:val="21"/>
              </w:rPr>
              <w:t>企业信誉实力得分的确定（联合体参与投标的，联合体的信誉实力分按联合体成员中负责设计的设计企业获奖</w:t>
            </w:r>
            <w:r>
              <w:rPr>
                <w:color w:val="000000"/>
                <w:szCs w:val="21"/>
              </w:rPr>
              <w:t>分</w:t>
            </w:r>
            <w:r>
              <w:rPr>
                <w:rFonts w:hint="eastAsia"/>
                <w:color w:val="000000"/>
                <w:szCs w:val="21"/>
              </w:rPr>
              <w:t>最低的企业认定）：</w:t>
            </w:r>
          </w:p>
          <w:p>
            <w:pPr>
              <w:spacing w:line="440" w:lineRule="exact"/>
              <w:rPr>
                <w:rFonts w:hint="eastAsia"/>
                <w:color w:val="000000"/>
                <w:szCs w:val="21"/>
              </w:rPr>
            </w:pPr>
            <w:r>
              <w:rPr>
                <w:rFonts w:hint="eastAsia"/>
                <w:color w:val="000000"/>
                <w:szCs w:val="21"/>
              </w:rPr>
              <w:t>设计获奖情况：</w:t>
            </w:r>
          </w:p>
          <w:p>
            <w:pPr>
              <w:spacing w:line="440" w:lineRule="exact"/>
              <w:rPr>
                <w:color w:val="000000"/>
                <w:szCs w:val="21"/>
              </w:rPr>
            </w:pPr>
            <w:r>
              <w:rPr>
                <w:rFonts w:hint="eastAsia"/>
                <w:color w:val="000000"/>
                <w:szCs w:val="21"/>
              </w:rPr>
              <w:t>“优秀工程勘察设计成果奖”，是指由各级住房城乡建设主管部门评定的优秀工程勘察设计成果奖项，其他奖项均不计分，全国的每个得</w:t>
            </w:r>
            <w:r>
              <w:rPr>
                <w:color w:val="000000"/>
                <w:szCs w:val="21"/>
              </w:rPr>
              <w:t>5</w:t>
            </w:r>
            <w:r>
              <w:rPr>
                <w:rFonts w:hint="eastAsia"/>
                <w:color w:val="000000"/>
                <w:szCs w:val="21"/>
              </w:rPr>
              <w:t>分，省级的每个得</w:t>
            </w:r>
            <w:r>
              <w:rPr>
                <w:color w:val="000000"/>
                <w:szCs w:val="21"/>
              </w:rPr>
              <w:t>3</w:t>
            </w:r>
            <w:r>
              <w:rPr>
                <w:rFonts w:hint="eastAsia"/>
                <w:color w:val="000000"/>
                <w:szCs w:val="21"/>
              </w:rPr>
              <w:t>分，设区市级的每个得</w:t>
            </w:r>
            <w:r>
              <w:rPr>
                <w:color w:val="000000"/>
                <w:szCs w:val="21"/>
              </w:rPr>
              <w:t>1</w:t>
            </w:r>
            <w:r>
              <w:rPr>
                <w:rFonts w:hint="eastAsia"/>
                <w:color w:val="000000"/>
                <w:szCs w:val="21"/>
              </w:rPr>
              <w:t>分。其中“国家级”，指“全国优秀工程勘察设计金（银、铜）奖或全国优秀工程勘察设计一、二、三等奖”。</w:t>
            </w:r>
          </w:p>
          <w:p>
            <w:pPr>
              <w:spacing w:line="440" w:lineRule="exact"/>
              <w:rPr>
                <w:rFonts w:hint="eastAsia"/>
                <w:color w:val="000000"/>
                <w:szCs w:val="21"/>
              </w:rPr>
            </w:pPr>
            <w:r>
              <w:rPr>
                <w:rFonts w:hint="eastAsia"/>
                <w:color w:val="000000"/>
                <w:szCs w:val="21"/>
              </w:rPr>
              <w:t>设计企业信誉实力加权得分=设计获奖总</w:t>
            </w:r>
            <w:r>
              <w:rPr>
                <w:color w:val="000000"/>
                <w:szCs w:val="21"/>
              </w:rPr>
              <w:t>得分（</w:t>
            </w:r>
            <w:r>
              <w:rPr>
                <w:rFonts w:hint="eastAsia"/>
                <w:color w:val="000000"/>
                <w:szCs w:val="21"/>
              </w:rPr>
              <w:t>满</w:t>
            </w:r>
            <w:r>
              <w:rPr>
                <w:color w:val="000000"/>
                <w:szCs w:val="21"/>
              </w:rPr>
              <w:t>分为</w:t>
            </w:r>
            <w:r>
              <w:rPr>
                <w:rFonts w:hint="eastAsia"/>
                <w:color w:val="000000"/>
                <w:szCs w:val="21"/>
              </w:rPr>
              <w:t>100分</w:t>
            </w:r>
            <w:r>
              <w:rPr>
                <w:color w:val="000000"/>
                <w:szCs w:val="21"/>
              </w:rPr>
              <w:t>）</w:t>
            </w:r>
            <w:r>
              <w:rPr>
                <w:rFonts w:hint="eastAsia"/>
                <w:color w:val="000000"/>
                <w:szCs w:val="21"/>
              </w:rPr>
              <w:t>×企业信誉实力分分值权重</w:t>
            </w:r>
          </w:p>
          <w:p>
            <w:pPr>
              <w:spacing w:line="440" w:lineRule="exact"/>
              <w:rPr>
                <w:rFonts w:hint="eastAsia"/>
                <w:color w:val="000000"/>
                <w:szCs w:val="21"/>
              </w:rPr>
            </w:pPr>
            <w:r>
              <w:rPr>
                <w:rFonts w:hint="eastAsia"/>
                <w:color w:val="000000"/>
                <w:szCs w:val="21"/>
              </w:rPr>
              <w:t>□企业信誉实力加权得分=8</w:t>
            </w:r>
            <w:r>
              <w:rPr>
                <w:color w:val="000000"/>
                <w:szCs w:val="21"/>
              </w:rPr>
              <w:t>0%</w:t>
            </w:r>
            <w:r>
              <w:rPr>
                <w:rFonts w:hint="eastAsia"/>
                <w:color w:val="000000"/>
                <w:szCs w:val="21"/>
              </w:rPr>
              <w:t>×施工企业信誉实力加权得分+</w:t>
            </w:r>
            <w:r>
              <w:rPr>
                <w:color w:val="000000"/>
                <w:szCs w:val="21"/>
              </w:rPr>
              <w:t>20%</w:t>
            </w:r>
            <w:r>
              <w:rPr>
                <w:rFonts w:hint="eastAsia"/>
                <w:color w:val="000000"/>
                <w:szCs w:val="21"/>
              </w:rPr>
              <w:t>×设计企业信誉实力加权得分(由</w:t>
            </w:r>
            <w:r>
              <w:rPr>
                <w:color w:val="000000"/>
                <w:szCs w:val="21"/>
              </w:rPr>
              <w:t>招</w:t>
            </w:r>
            <w:r>
              <w:rPr>
                <w:rFonts w:hint="eastAsia"/>
                <w:color w:val="000000"/>
                <w:szCs w:val="21"/>
              </w:rPr>
              <w:t>标</w:t>
            </w:r>
            <w:r>
              <w:rPr>
                <w:color w:val="000000"/>
                <w:szCs w:val="21"/>
              </w:rPr>
              <w:t>人</w:t>
            </w:r>
            <w:r>
              <w:rPr>
                <w:rFonts w:hint="eastAsia"/>
                <w:color w:val="000000"/>
                <w:szCs w:val="21"/>
              </w:rPr>
              <w:t>勾选)</w:t>
            </w:r>
          </w:p>
          <w:p>
            <w:pPr>
              <w:spacing w:line="440" w:lineRule="exact"/>
              <w:rPr>
                <w:rFonts w:hint="eastAsia"/>
                <w:color w:val="000000"/>
                <w:szCs w:val="21"/>
              </w:rPr>
            </w:pPr>
            <w:r>
              <w:rPr>
                <w:rFonts w:hint="eastAsia"/>
                <w:color w:val="000000"/>
                <w:szCs w:val="21"/>
              </w:rPr>
              <w:t>□企业信誉实力加权得分=70%×施工企业信誉实力加权得分+30%×设计企业信誉实力加权得分(由招标人勾选)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2" w:hRule="atLeast"/>
          <w:jc w:val="center"/>
        </w:trPr>
        <w:tc>
          <w:tcPr>
            <w:tcW w:w="960" w:type="dxa"/>
            <w:vMerge w:val="continue"/>
            <w:noWrap w:val="0"/>
            <w:vAlign w:val="center"/>
          </w:tcPr>
          <w:p>
            <w:pPr>
              <w:spacing w:line="440" w:lineRule="exact"/>
              <w:jc w:val="center"/>
              <w:rPr>
                <w:rFonts w:hint="eastAsia"/>
                <w:color w:val="000000"/>
                <w:szCs w:val="21"/>
              </w:rPr>
            </w:pPr>
          </w:p>
        </w:tc>
        <w:tc>
          <w:tcPr>
            <w:tcW w:w="992" w:type="dxa"/>
            <w:vMerge w:val="continue"/>
            <w:noWrap w:val="0"/>
            <w:vAlign w:val="center"/>
          </w:tcPr>
          <w:p>
            <w:pPr>
              <w:spacing w:line="440" w:lineRule="exact"/>
              <w:jc w:val="left"/>
              <w:rPr>
                <w:rFonts w:hint="eastAsia"/>
                <w:color w:val="000000"/>
                <w:szCs w:val="21"/>
              </w:rPr>
            </w:pPr>
          </w:p>
        </w:tc>
        <w:tc>
          <w:tcPr>
            <w:tcW w:w="2126" w:type="dxa"/>
            <w:gridSpan w:val="3"/>
            <w:noWrap w:val="0"/>
            <w:vAlign w:val="center"/>
          </w:tcPr>
          <w:p>
            <w:pPr>
              <w:spacing w:line="440" w:lineRule="exact"/>
              <w:jc w:val="center"/>
              <w:rPr>
                <w:rFonts w:hint="eastAsia"/>
                <w:color w:val="000000"/>
                <w:szCs w:val="21"/>
              </w:rPr>
            </w:pPr>
            <w:r>
              <w:rPr>
                <w:rFonts w:hint="eastAsia"/>
                <w:color w:val="000000"/>
                <w:szCs w:val="21"/>
              </w:rPr>
              <w:t>报价分评分标准</w:t>
            </w:r>
          </w:p>
          <w:p>
            <w:pPr>
              <w:spacing w:line="440" w:lineRule="exact"/>
              <w:jc w:val="left"/>
              <w:rPr>
                <w:rFonts w:hint="eastAsia"/>
                <w:color w:val="000000"/>
                <w:szCs w:val="21"/>
              </w:rPr>
            </w:pPr>
            <w:r>
              <w:rPr>
                <w:rFonts w:hint="eastAsia"/>
                <w:color w:val="000000"/>
                <w:szCs w:val="21"/>
              </w:rPr>
              <w:t>（报价分分值权重 =商务标分值权重-企业信誉实力分分值权重 ）【备注：右侧评分标准不得修改，但招标人可以选择评分方法】</w:t>
            </w:r>
          </w:p>
        </w:tc>
        <w:tc>
          <w:tcPr>
            <w:tcW w:w="6627" w:type="dxa"/>
            <w:gridSpan w:val="4"/>
            <w:noWrap w:val="0"/>
            <w:vAlign w:val="top"/>
          </w:tcPr>
          <w:p>
            <w:pPr>
              <w:spacing w:line="440" w:lineRule="exact"/>
              <w:rPr>
                <w:color w:val="000000"/>
                <w:szCs w:val="21"/>
              </w:rPr>
            </w:pPr>
            <w:r>
              <w:rPr>
                <w:color w:val="000000"/>
                <w:szCs w:val="21"/>
              </w:rPr>
              <w:t>（1）</w:t>
            </w:r>
            <w:r>
              <w:rPr>
                <w:rFonts w:hint="eastAsia"/>
                <w:color w:val="000000"/>
                <w:szCs w:val="21"/>
              </w:rPr>
              <w:t>报价分评分时，有效投标报价与评标基准价一致的得基础分</w:t>
            </w:r>
            <w:r>
              <w:rPr>
                <w:color w:val="000000"/>
                <w:szCs w:val="21"/>
              </w:rPr>
              <w:t>8</w:t>
            </w:r>
            <w:r>
              <w:rPr>
                <w:rFonts w:hint="eastAsia"/>
                <w:color w:val="000000"/>
                <w:szCs w:val="21"/>
              </w:rPr>
              <w:t>0分，有效投标报价每高于评标基准价1％的扣</w:t>
            </w:r>
            <w:r>
              <w:rPr>
                <w:color w:val="000000"/>
                <w:szCs w:val="21"/>
              </w:rPr>
              <w:t>2</w:t>
            </w:r>
            <w:r>
              <w:rPr>
                <w:rFonts w:hint="eastAsia"/>
                <w:color w:val="000000"/>
                <w:szCs w:val="21"/>
              </w:rPr>
              <w:t>分，最多扣</w:t>
            </w:r>
            <w:r>
              <w:rPr>
                <w:color w:val="000000"/>
                <w:szCs w:val="21"/>
              </w:rPr>
              <w:t>2</w:t>
            </w:r>
            <w:r>
              <w:rPr>
                <w:rFonts w:hint="eastAsia"/>
                <w:color w:val="000000"/>
                <w:szCs w:val="21"/>
              </w:rPr>
              <w:t>0分；每低于评标基准价1％的在基础分基础上加</w:t>
            </w:r>
            <w:r>
              <w:rPr>
                <w:color w:val="000000"/>
                <w:szCs w:val="21"/>
              </w:rPr>
              <w:t>2</w:t>
            </w:r>
            <w:r>
              <w:rPr>
                <w:rFonts w:hint="eastAsia"/>
                <w:color w:val="000000"/>
                <w:szCs w:val="21"/>
              </w:rPr>
              <w:t>分，最多加到投标总价得分满分1</w:t>
            </w:r>
            <w:r>
              <w:rPr>
                <w:color w:val="000000"/>
                <w:szCs w:val="21"/>
              </w:rPr>
              <w:t>00</w:t>
            </w:r>
            <w:r>
              <w:rPr>
                <w:rFonts w:hint="eastAsia"/>
                <w:color w:val="000000"/>
                <w:szCs w:val="21"/>
              </w:rPr>
              <w:t>分为止。</w:t>
            </w:r>
          </w:p>
          <w:p>
            <w:pPr>
              <w:spacing w:line="440" w:lineRule="exact"/>
              <w:rPr>
                <w:color w:val="000000"/>
                <w:szCs w:val="21"/>
              </w:rPr>
            </w:pPr>
            <w:r>
              <w:rPr>
                <w:color w:val="000000"/>
                <w:szCs w:val="21"/>
              </w:rPr>
              <w:t>（2）</w:t>
            </w:r>
            <w:r>
              <w:rPr>
                <w:rFonts w:hint="eastAsia"/>
                <w:color w:val="000000"/>
                <w:szCs w:val="21"/>
              </w:rPr>
              <w:t>报价分加权得分=该投标人的投标总价得分（满分100分）×报价分分值权重</w:t>
            </w:r>
            <w:r>
              <w:rPr>
                <w:color w:val="000000"/>
                <w:szCs w:val="21"/>
              </w:rPr>
              <w:t>。</w:t>
            </w:r>
          </w:p>
          <w:p>
            <w:pPr>
              <w:spacing w:line="440" w:lineRule="exact"/>
              <w:jc w:val="left"/>
              <w:rPr>
                <w:rFonts w:hint="eastAsia"/>
                <w:color w:val="000000"/>
                <w:szCs w:val="21"/>
              </w:rPr>
            </w:pPr>
            <w:r>
              <w:rPr>
                <w:rFonts w:hint="eastAsia" w:cs="宋体"/>
                <w:color w:val="000000"/>
              </w:rPr>
              <w:t>商务标得分= 报价分加权得分 + 企业信誉实力加权得分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2" w:hRule="atLeast"/>
          <w:jc w:val="center"/>
        </w:trPr>
        <w:tc>
          <w:tcPr>
            <w:tcW w:w="960" w:type="dxa"/>
            <w:vMerge w:val="restart"/>
            <w:noWrap w:val="0"/>
            <w:vAlign w:val="top"/>
          </w:tcPr>
          <w:p>
            <w:pPr>
              <w:spacing w:line="440" w:lineRule="exact"/>
              <w:jc w:val="center"/>
              <w:rPr>
                <w:rFonts w:hint="eastAsia"/>
                <w:color w:val="000000"/>
                <w:szCs w:val="21"/>
              </w:rPr>
            </w:pPr>
            <w:r>
              <w:rPr>
                <w:color w:val="000000"/>
                <w:szCs w:val="21"/>
              </w:rPr>
              <w:t>2.2.4</w:t>
            </w:r>
            <w:r>
              <w:rPr>
                <w:rFonts w:hint="eastAsia"/>
                <w:color w:val="000000"/>
                <w:szCs w:val="21"/>
              </w:rPr>
              <w:t>（5）</w:t>
            </w:r>
          </w:p>
        </w:tc>
        <w:tc>
          <w:tcPr>
            <w:tcW w:w="992" w:type="dxa"/>
            <w:vMerge w:val="restart"/>
            <w:noWrap w:val="0"/>
            <w:vAlign w:val="center"/>
          </w:tcPr>
          <w:p>
            <w:pPr>
              <w:spacing w:line="440" w:lineRule="exact"/>
              <w:jc w:val="center"/>
              <w:rPr>
                <w:rFonts w:hint="eastAsia"/>
                <w:color w:val="000000"/>
                <w:szCs w:val="21"/>
              </w:rPr>
            </w:pPr>
          </w:p>
          <w:p>
            <w:pPr>
              <w:spacing w:line="440" w:lineRule="exact"/>
              <w:jc w:val="center"/>
              <w:rPr>
                <w:rFonts w:hint="eastAsia"/>
                <w:color w:val="000000"/>
                <w:szCs w:val="21"/>
              </w:rPr>
            </w:pPr>
          </w:p>
          <w:p>
            <w:pPr>
              <w:spacing w:line="440" w:lineRule="exact"/>
              <w:jc w:val="center"/>
              <w:rPr>
                <w:rFonts w:hint="eastAsia"/>
                <w:color w:val="000000"/>
                <w:szCs w:val="21"/>
              </w:rPr>
            </w:pPr>
          </w:p>
          <w:p>
            <w:pPr>
              <w:spacing w:line="440" w:lineRule="exact"/>
              <w:jc w:val="center"/>
              <w:rPr>
                <w:rFonts w:hint="eastAsia"/>
                <w:color w:val="000000"/>
                <w:szCs w:val="21"/>
              </w:rPr>
            </w:pPr>
          </w:p>
          <w:p>
            <w:pPr>
              <w:spacing w:line="440" w:lineRule="exact"/>
              <w:jc w:val="center"/>
              <w:rPr>
                <w:rFonts w:hint="eastAsia"/>
                <w:color w:val="000000"/>
                <w:szCs w:val="21"/>
              </w:rPr>
            </w:pPr>
          </w:p>
          <w:p>
            <w:pPr>
              <w:spacing w:line="440" w:lineRule="exact"/>
              <w:jc w:val="center"/>
              <w:rPr>
                <w:rFonts w:hint="eastAsia"/>
                <w:color w:val="000000"/>
                <w:szCs w:val="21"/>
              </w:rPr>
            </w:pPr>
          </w:p>
          <w:p>
            <w:pPr>
              <w:spacing w:line="440" w:lineRule="exact"/>
              <w:jc w:val="center"/>
              <w:rPr>
                <w:rFonts w:hint="eastAsia"/>
                <w:color w:val="000000"/>
                <w:szCs w:val="21"/>
              </w:rPr>
            </w:pPr>
            <w:r>
              <w:rPr>
                <w:rFonts w:hint="eastAsia"/>
                <w:color w:val="000000"/>
              </w:rPr>
              <w:t>□</w:t>
            </w:r>
            <w:r>
              <w:rPr>
                <w:rFonts w:hint="eastAsia"/>
                <w:color w:val="000000"/>
                <w:szCs w:val="21"/>
              </w:rPr>
              <w:t>设计标评分标准（适用项目方案设计完成后初步设计完成前以初步设计投标）（满分分值权重</w:t>
            </w:r>
            <w:r>
              <w:rPr>
                <w:color w:val="000000"/>
                <w:szCs w:val="21"/>
                <w:u w:val="single"/>
              </w:rPr>
              <w:t xml:space="preserve">   </w:t>
            </w:r>
            <w:r>
              <w:rPr>
                <w:color w:val="000000"/>
                <w:szCs w:val="21"/>
              </w:rPr>
              <w:t xml:space="preserve"> </w:t>
            </w:r>
            <w:r>
              <w:rPr>
                <w:rFonts w:hint="eastAsia"/>
                <w:color w:val="000000"/>
                <w:szCs w:val="21"/>
              </w:rPr>
              <w:t>%）</w:t>
            </w:r>
          </w:p>
        </w:tc>
        <w:tc>
          <w:tcPr>
            <w:tcW w:w="2126" w:type="dxa"/>
            <w:gridSpan w:val="3"/>
            <w:noWrap w:val="0"/>
            <w:vAlign w:val="center"/>
          </w:tcPr>
          <w:p>
            <w:pPr>
              <w:spacing w:line="440" w:lineRule="exact"/>
              <w:jc w:val="center"/>
              <w:rPr>
                <w:rFonts w:hint="eastAsia"/>
                <w:color w:val="000000"/>
                <w:szCs w:val="21"/>
              </w:rPr>
            </w:pPr>
            <w:r>
              <w:rPr>
                <w:rFonts w:hint="eastAsia"/>
                <w:color w:val="000000"/>
              </w:rPr>
              <w:t>深化总平方案设计（</w:t>
            </w:r>
            <w:r>
              <w:rPr>
                <w:color w:val="000000"/>
              </w:rPr>
              <w:t>10~15</w:t>
            </w:r>
            <w:r>
              <w:rPr>
                <w:rFonts w:hint="eastAsia"/>
                <w:color w:val="000000"/>
              </w:rPr>
              <w:t>分）</w:t>
            </w:r>
            <w:r>
              <w:rPr>
                <w:rFonts w:hint="eastAsia" w:ascii="宋体" w:hAnsi="宋体"/>
                <w:color w:val="000000"/>
              </w:rPr>
              <w:t>（适用房建项目）</w:t>
            </w:r>
          </w:p>
        </w:tc>
        <w:tc>
          <w:tcPr>
            <w:tcW w:w="6627" w:type="dxa"/>
            <w:gridSpan w:val="4"/>
            <w:noWrap w:val="0"/>
            <w:vAlign w:val="center"/>
          </w:tcPr>
          <w:p>
            <w:pPr>
              <w:spacing w:line="340" w:lineRule="exact"/>
              <w:rPr>
                <w:rFonts w:hint="eastAsia"/>
                <w:color w:val="000000"/>
              </w:rPr>
            </w:pPr>
            <w:r>
              <w:rPr>
                <w:rFonts w:hint="eastAsia" w:ascii="宋体" w:hAnsi="宋体"/>
                <w:color w:val="000000"/>
                <w:szCs w:val="21"/>
              </w:rPr>
              <w:t>成果要求：</w:t>
            </w:r>
            <w:r>
              <w:rPr>
                <w:rFonts w:hint="eastAsia"/>
                <w:color w:val="000000"/>
              </w:rPr>
              <w:t>深度须达到国家相关文件要求的方案设计深度。（注: 每一分项设优、良、中、差，并对各评分等级设置一个具体分值，不设评分区间）</w:t>
            </w:r>
          </w:p>
          <w:p>
            <w:pPr>
              <w:spacing w:line="340" w:lineRule="exact"/>
              <w:rPr>
                <w:rFonts w:hint="eastAsia"/>
                <w:color w:val="000000"/>
              </w:rPr>
            </w:pPr>
            <w:r>
              <w:rPr>
                <w:rFonts w:hint="eastAsia"/>
                <w:color w:val="000000"/>
              </w:rPr>
              <w:t>评分因素：</w:t>
            </w:r>
          </w:p>
          <w:p>
            <w:pPr>
              <w:spacing w:line="340" w:lineRule="exact"/>
              <w:jc w:val="left"/>
              <w:rPr>
                <w:rFonts w:hint="eastAsia" w:ascii="宋体" w:hAnsi="宋体"/>
                <w:bCs/>
                <w:color w:val="000000"/>
                <w:szCs w:val="21"/>
              </w:rPr>
            </w:pPr>
            <w:r>
              <w:rPr>
                <w:rFonts w:hint="eastAsia"/>
                <w:color w:val="000000"/>
              </w:rPr>
              <w:t>（1）是否按要求对总平进行深化设计</w:t>
            </w:r>
            <w:r>
              <w:rPr>
                <w:rFonts w:hint="eastAsia" w:ascii="宋体" w:hAnsi="宋体"/>
                <w:bCs/>
                <w:color w:val="000000"/>
                <w:szCs w:val="21"/>
              </w:rPr>
              <w:t>。</w:t>
            </w:r>
          </w:p>
          <w:p>
            <w:pPr>
              <w:spacing w:line="340" w:lineRule="exact"/>
              <w:jc w:val="left"/>
              <w:rPr>
                <w:rFonts w:hint="eastAsia" w:ascii="宋体" w:hAnsi="宋体"/>
                <w:bCs/>
                <w:color w:val="000000"/>
                <w:szCs w:val="21"/>
              </w:rPr>
            </w:pPr>
            <w:r>
              <w:rPr>
                <w:rFonts w:hint="eastAsia"/>
                <w:color w:val="000000"/>
                <w:szCs w:val="21"/>
              </w:rPr>
              <w:t>（2）</w:t>
            </w:r>
            <w:r>
              <w:rPr>
                <w:rFonts w:hint="eastAsia" w:ascii="宋体" w:hAnsi="宋体"/>
                <w:bCs/>
                <w:color w:val="000000"/>
                <w:szCs w:val="21"/>
              </w:rPr>
              <w:t>对原总平设计提出合理的优化建议。</w:t>
            </w:r>
          </w:p>
          <w:p>
            <w:pPr>
              <w:spacing w:line="340" w:lineRule="exact"/>
              <w:jc w:val="left"/>
              <w:rPr>
                <w:rFonts w:hint="eastAsia"/>
                <w:color w:val="000000"/>
                <w:szCs w:val="21"/>
              </w:rPr>
            </w:pPr>
            <w:r>
              <w:rPr>
                <w:rFonts w:hint="eastAsia" w:ascii="宋体" w:hAnsi="宋体"/>
                <w:bCs/>
                <w:color w:val="000000"/>
                <w:szCs w:val="21"/>
              </w:rPr>
              <w:t>（3）对初步设计阶段的工作提出目标要求。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2" w:hRule="atLeast"/>
          <w:jc w:val="center"/>
        </w:trPr>
        <w:tc>
          <w:tcPr>
            <w:tcW w:w="960" w:type="dxa"/>
            <w:vMerge w:val="continue"/>
            <w:noWrap w:val="0"/>
            <w:vAlign w:val="top"/>
          </w:tcPr>
          <w:p>
            <w:pPr>
              <w:spacing w:line="440" w:lineRule="exact"/>
              <w:rPr>
                <w:rFonts w:hint="eastAsia"/>
                <w:color w:val="000000"/>
                <w:szCs w:val="21"/>
              </w:rPr>
            </w:pPr>
          </w:p>
        </w:tc>
        <w:tc>
          <w:tcPr>
            <w:tcW w:w="992" w:type="dxa"/>
            <w:vMerge w:val="continue"/>
            <w:noWrap w:val="0"/>
            <w:vAlign w:val="top"/>
          </w:tcPr>
          <w:p>
            <w:pPr>
              <w:spacing w:line="440" w:lineRule="exact"/>
              <w:rPr>
                <w:rFonts w:hint="eastAsia"/>
                <w:color w:val="000000"/>
                <w:szCs w:val="21"/>
              </w:rPr>
            </w:pPr>
          </w:p>
        </w:tc>
        <w:tc>
          <w:tcPr>
            <w:tcW w:w="2126" w:type="dxa"/>
            <w:gridSpan w:val="3"/>
            <w:noWrap w:val="0"/>
            <w:vAlign w:val="center"/>
          </w:tcPr>
          <w:p>
            <w:pPr>
              <w:spacing w:line="440" w:lineRule="exact"/>
              <w:jc w:val="center"/>
              <w:rPr>
                <w:rFonts w:hint="eastAsia" w:ascii="宋体" w:hAnsi="宋体"/>
                <w:bCs/>
                <w:color w:val="000000"/>
                <w:szCs w:val="21"/>
              </w:rPr>
            </w:pPr>
            <w:r>
              <w:rPr>
                <w:rFonts w:hint="eastAsia" w:ascii="宋体" w:hAnsi="宋体"/>
                <w:color w:val="000000"/>
              </w:rPr>
              <w:t>深化单体建筑方案设计（</w:t>
            </w:r>
            <w:r>
              <w:rPr>
                <w:color w:val="000000"/>
              </w:rPr>
              <w:t>10~15</w:t>
            </w:r>
            <w:r>
              <w:rPr>
                <w:rFonts w:hint="eastAsia" w:ascii="宋体" w:hAnsi="宋体"/>
                <w:color w:val="000000"/>
              </w:rPr>
              <w:t>分）（适用房建项目）</w:t>
            </w:r>
          </w:p>
        </w:tc>
        <w:tc>
          <w:tcPr>
            <w:tcW w:w="6627" w:type="dxa"/>
            <w:gridSpan w:val="4"/>
            <w:noWrap w:val="0"/>
            <w:vAlign w:val="center"/>
          </w:tcPr>
          <w:p>
            <w:pPr>
              <w:spacing w:line="340" w:lineRule="exact"/>
              <w:rPr>
                <w:rFonts w:hint="eastAsia"/>
                <w:color w:val="000000"/>
              </w:rPr>
            </w:pPr>
            <w:r>
              <w:rPr>
                <w:rFonts w:hint="eastAsia" w:ascii="宋体" w:hAnsi="宋体"/>
                <w:color w:val="000000"/>
                <w:szCs w:val="21"/>
              </w:rPr>
              <w:t>成果要求：</w:t>
            </w:r>
            <w:r>
              <w:rPr>
                <w:rFonts w:hint="eastAsia"/>
                <w:color w:val="000000"/>
              </w:rPr>
              <w:t>深度须达到国家相关文件要求的方案设计深度。（注: 每一分项设优、良、中、差，并对各评分等级设置一个具体分值，不设评分区间）</w:t>
            </w:r>
          </w:p>
          <w:p>
            <w:pPr>
              <w:spacing w:line="340" w:lineRule="exact"/>
              <w:rPr>
                <w:rFonts w:hint="eastAsia"/>
                <w:color w:val="000000"/>
              </w:rPr>
            </w:pPr>
            <w:r>
              <w:rPr>
                <w:rFonts w:hint="eastAsia"/>
                <w:color w:val="000000"/>
              </w:rPr>
              <w:t>评分因素：</w:t>
            </w:r>
            <w:r>
              <w:rPr>
                <w:rFonts w:hint="eastAsia" w:hAnsi="宋体"/>
                <w:color w:val="000000"/>
                <w:szCs w:val="21"/>
              </w:rPr>
              <w:t>如人防、消防、无障碍设计、车库等建筑布置进行深化设计，深化设计成果的完整性</w:t>
            </w:r>
            <w:r>
              <w:rPr>
                <w:rFonts w:hint="eastAsia" w:hAnsi="宋体"/>
                <w:bCs/>
                <w:color w:val="000000"/>
                <w:szCs w:val="21"/>
              </w:rPr>
              <w:t>。</w:t>
            </w:r>
          </w:p>
          <w:p>
            <w:pPr>
              <w:spacing w:line="340" w:lineRule="exact"/>
              <w:rPr>
                <w:rFonts w:hint="eastAsia" w:ascii="宋体" w:hAnsi="宋体"/>
                <w:bCs/>
                <w:color w:val="000000"/>
                <w:szCs w:val="21"/>
              </w:rPr>
            </w:pPr>
            <w:r>
              <w:rPr>
                <w:rFonts w:hint="eastAsia"/>
                <w:color w:val="000000"/>
              </w:rPr>
              <w:t>（1）设计方案</w:t>
            </w:r>
            <w:r>
              <w:rPr>
                <w:rFonts w:hint="eastAsia" w:ascii="宋体" w:hAnsi="宋体"/>
                <w:bCs/>
                <w:color w:val="000000"/>
                <w:szCs w:val="21"/>
              </w:rPr>
              <w:t xml:space="preserve">建筑空间是否丰富和具有特点。 </w:t>
            </w:r>
          </w:p>
          <w:p>
            <w:pPr>
              <w:spacing w:line="340" w:lineRule="exact"/>
              <w:rPr>
                <w:rFonts w:hint="eastAsia" w:ascii="宋体" w:hAnsi="宋体"/>
                <w:bCs/>
                <w:color w:val="000000"/>
                <w:szCs w:val="21"/>
              </w:rPr>
            </w:pPr>
            <w:r>
              <w:rPr>
                <w:rFonts w:hint="eastAsia" w:ascii="宋体" w:hAnsi="宋体"/>
                <w:bCs/>
                <w:color w:val="000000"/>
                <w:szCs w:val="21"/>
              </w:rPr>
              <w:t>（2）平面布局及功能分区是否合理，是否符合本项目特点。</w:t>
            </w:r>
          </w:p>
          <w:p>
            <w:pPr>
              <w:spacing w:line="340" w:lineRule="exact"/>
              <w:rPr>
                <w:rFonts w:hint="eastAsia" w:ascii="宋体" w:hAnsi="宋体"/>
                <w:bCs/>
                <w:color w:val="000000"/>
                <w:szCs w:val="21"/>
              </w:rPr>
            </w:pPr>
            <w:r>
              <w:rPr>
                <w:rFonts w:hint="eastAsia" w:ascii="宋体" w:hAnsi="宋体"/>
                <w:bCs/>
                <w:color w:val="000000"/>
                <w:szCs w:val="21"/>
              </w:rPr>
              <w:t>（3）人流线组织及竖向交通合理的合理程度。</w:t>
            </w:r>
          </w:p>
          <w:p>
            <w:pPr>
              <w:spacing w:line="340" w:lineRule="exact"/>
              <w:rPr>
                <w:rFonts w:hint="eastAsia"/>
                <w:color w:val="000000"/>
              </w:rPr>
            </w:pPr>
            <w:r>
              <w:rPr>
                <w:rFonts w:hint="eastAsia" w:ascii="宋体" w:hAnsi="宋体"/>
                <w:bCs/>
                <w:color w:val="000000"/>
                <w:szCs w:val="21"/>
              </w:rPr>
              <w:t>（4）成果的完整性。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2" w:hRule="atLeast"/>
          <w:jc w:val="center"/>
        </w:trPr>
        <w:tc>
          <w:tcPr>
            <w:tcW w:w="960" w:type="dxa"/>
            <w:vMerge w:val="continue"/>
            <w:noWrap w:val="0"/>
            <w:vAlign w:val="top"/>
          </w:tcPr>
          <w:p>
            <w:pPr>
              <w:spacing w:line="440" w:lineRule="exact"/>
              <w:rPr>
                <w:rFonts w:hint="eastAsia"/>
                <w:color w:val="000000"/>
                <w:szCs w:val="21"/>
              </w:rPr>
            </w:pPr>
          </w:p>
        </w:tc>
        <w:tc>
          <w:tcPr>
            <w:tcW w:w="992" w:type="dxa"/>
            <w:vMerge w:val="continue"/>
            <w:noWrap w:val="0"/>
            <w:vAlign w:val="top"/>
          </w:tcPr>
          <w:p>
            <w:pPr>
              <w:spacing w:line="440" w:lineRule="exact"/>
              <w:rPr>
                <w:rFonts w:hint="eastAsia"/>
                <w:color w:val="000000"/>
                <w:szCs w:val="21"/>
              </w:rPr>
            </w:pPr>
          </w:p>
        </w:tc>
        <w:tc>
          <w:tcPr>
            <w:tcW w:w="2126" w:type="dxa"/>
            <w:gridSpan w:val="3"/>
            <w:noWrap w:val="0"/>
            <w:vAlign w:val="center"/>
          </w:tcPr>
          <w:p>
            <w:pPr>
              <w:spacing w:line="440" w:lineRule="exact"/>
              <w:jc w:val="center"/>
              <w:rPr>
                <w:rFonts w:hint="eastAsia" w:ascii="宋体" w:hAnsi="宋体"/>
                <w:color w:val="000000"/>
              </w:rPr>
            </w:pPr>
            <w:r>
              <w:rPr>
                <w:rFonts w:hint="eastAsia" w:ascii="宋体" w:hAnsi="宋体"/>
                <w:color w:val="000000"/>
              </w:rPr>
              <w:t>设计说明书 （适用市政项目）</w:t>
            </w:r>
          </w:p>
        </w:tc>
        <w:tc>
          <w:tcPr>
            <w:tcW w:w="6627" w:type="dxa"/>
            <w:gridSpan w:val="4"/>
            <w:noWrap w:val="0"/>
            <w:vAlign w:val="center"/>
          </w:tcPr>
          <w:p>
            <w:pPr>
              <w:spacing w:line="340" w:lineRule="exact"/>
              <w:rPr>
                <w:rFonts w:hint="eastAsia" w:ascii="宋体" w:hAnsi="宋体"/>
                <w:color w:val="000000"/>
              </w:rPr>
            </w:pPr>
            <w:r>
              <w:rPr>
                <w:rFonts w:hint="eastAsia" w:ascii="宋体" w:hAnsi="宋体"/>
                <w:color w:val="000000"/>
              </w:rPr>
              <w:t>主要内容：设计依据、设计要求及主要技术经济指标、总平面设计说明、建筑设计说明、结构设计说明、建筑电气设计说明、给水排水设计说明、建筑节能设计说明等。 评分因素： （注: 每一分项设优、良、中、差，并对各评分等级设置一个具体分值，不设评分区间）</w:t>
            </w:r>
          </w:p>
          <w:p>
            <w:pPr>
              <w:spacing w:line="340" w:lineRule="exact"/>
              <w:rPr>
                <w:rFonts w:hint="eastAsia" w:ascii="宋体" w:hAnsi="宋体"/>
                <w:color w:val="000000"/>
              </w:rPr>
            </w:pPr>
            <w:r>
              <w:rPr>
                <w:rFonts w:hint="eastAsia" w:ascii="宋体" w:hAnsi="宋体"/>
                <w:color w:val="000000"/>
              </w:rPr>
              <w:t>（1）投标人对本项目规划建设条件的熟悉程度，对项目规划建设条件分析论述深入程度，是否能充分考虑到本项目的具体情况并 采取针对性措施。</w:t>
            </w:r>
          </w:p>
          <w:p>
            <w:pPr>
              <w:spacing w:line="340" w:lineRule="exact"/>
              <w:rPr>
                <w:rFonts w:hint="eastAsia" w:ascii="宋体" w:hAnsi="宋体"/>
                <w:color w:val="000000"/>
                <w:szCs w:val="21"/>
              </w:rPr>
            </w:pPr>
            <w:r>
              <w:rPr>
                <w:rFonts w:hint="eastAsia" w:ascii="宋体" w:hAnsi="宋体"/>
                <w:color w:val="000000"/>
              </w:rPr>
              <w:t>（2）提出的设计构想及建议的针对性，方案的特点及可实施性进行评分。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2" w:hRule="atLeast"/>
          <w:jc w:val="center"/>
        </w:trPr>
        <w:tc>
          <w:tcPr>
            <w:tcW w:w="960" w:type="dxa"/>
            <w:vMerge w:val="continue"/>
            <w:noWrap w:val="0"/>
            <w:vAlign w:val="top"/>
          </w:tcPr>
          <w:p>
            <w:pPr>
              <w:spacing w:line="440" w:lineRule="exact"/>
              <w:rPr>
                <w:rFonts w:hint="eastAsia"/>
                <w:color w:val="000000"/>
                <w:szCs w:val="21"/>
              </w:rPr>
            </w:pPr>
          </w:p>
        </w:tc>
        <w:tc>
          <w:tcPr>
            <w:tcW w:w="992" w:type="dxa"/>
            <w:vMerge w:val="continue"/>
            <w:noWrap w:val="0"/>
            <w:vAlign w:val="top"/>
          </w:tcPr>
          <w:p>
            <w:pPr>
              <w:spacing w:line="440" w:lineRule="exact"/>
              <w:rPr>
                <w:rFonts w:hint="eastAsia"/>
                <w:color w:val="000000"/>
                <w:szCs w:val="21"/>
              </w:rPr>
            </w:pPr>
          </w:p>
        </w:tc>
        <w:tc>
          <w:tcPr>
            <w:tcW w:w="2126" w:type="dxa"/>
            <w:gridSpan w:val="3"/>
            <w:noWrap w:val="0"/>
            <w:vAlign w:val="center"/>
          </w:tcPr>
          <w:p>
            <w:pPr>
              <w:spacing w:line="440" w:lineRule="exact"/>
              <w:jc w:val="center"/>
              <w:rPr>
                <w:rFonts w:hint="eastAsia" w:ascii="宋体" w:hAnsi="宋体"/>
                <w:color w:val="000000"/>
              </w:rPr>
            </w:pPr>
            <w:r>
              <w:rPr>
                <w:rFonts w:hint="eastAsia" w:ascii="宋体" w:hAnsi="宋体"/>
                <w:color w:val="000000"/>
              </w:rPr>
              <w:t>深化方案设计（适用市政项目）</w:t>
            </w:r>
          </w:p>
        </w:tc>
        <w:tc>
          <w:tcPr>
            <w:tcW w:w="6627" w:type="dxa"/>
            <w:gridSpan w:val="4"/>
            <w:noWrap w:val="0"/>
            <w:vAlign w:val="center"/>
          </w:tcPr>
          <w:p>
            <w:pPr>
              <w:spacing w:line="340" w:lineRule="exact"/>
              <w:rPr>
                <w:rFonts w:hint="eastAsia" w:ascii="宋体" w:hAnsi="宋体"/>
                <w:color w:val="000000"/>
              </w:rPr>
            </w:pPr>
            <w:r>
              <w:rPr>
                <w:rFonts w:hint="eastAsia" w:ascii="宋体" w:hAnsi="宋体"/>
                <w:color w:val="000000"/>
              </w:rPr>
              <w:t xml:space="preserve">成果要求：道路设计主要平面图或意向图，包括纵断面图或意向 </w:t>
            </w:r>
          </w:p>
          <w:p>
            <w:pPr>
              <w:spacing w:line="340" w:lineRule="exact"/>
              <w:rPr>
                <w:rFonts w:hint="eastAsia" w:ascii="宋体" w:hAnsi="宋体"/>
                <w:color w:val="000000"/>
              </w:rPr>
            </w:pPr>
            <w:r>
              <w:rPr>
                <w:rFonts w:hint="eastAsia" w:ascii="宋体" w:hAnsi="宋体"/>
                <w:color w:val="000000"/>
              </w:rPr>
              <w:t>图、横断面图或意向图、路面结构图或意向图等。 （注: 每一分项设优、良、中、差，并对各评分等级设置一个具体分值，不设评分区间）</w:t>
            </w:r>
          </w:p>
          <w:p>
            <w:pPr>
              <w:spacing w:line="340" w:lineRule="exact"/>
              <w:rPr>
                <w:rFonts w:hint="eastAsia" w:ascii="宋体" w:hAnsi="宋体"/>
                <w:color w:val="000000"/>
              </w:rPr>
            </w:pPr>
            <w:r>
              <w:rPr>
                <w:rFonts w:hint="eastAsia" w:ascii="宋体" w:hAnsi="宋体"/>
                <w:color w:val="000000"/>
              </w:rPr>
              <w:t xml:space="preserve">评分因素： </w:t>
            </w:r>
          </w:p>
          <w:p>
            <w:pPr>
              <w:spacing w:line="340" w:lineRule="exact"/>
              <w:rPr>
                <w:rFonts w:hint="eastAsia" w:ascii="宋体" w:hAnsi="宋体"/>
                <w:color w:val="000000"/>
              </w:rPr>
            </w:pPr>
            <w:r>
              <w:rPr>
                <w:rFonts w:hint="eastAsia" w:ascii="宋体" w:hAnsi="宋体"/>
                <w:color w:val="000000"/>
              </w:rPr>
              <w:t xml:space="preserve">（1）设计方案中道路平面与纵断面设计、道路横断面设计、路面 </w:t>
            </w:r>
          </w:p>
          <w:p>
            <w:pPr>
              <w:spacing w:line="340" w:lineRule="exact"/>
              <w:rPr>
                <w:rFonts w:hint="eastAsia" w:ascii="宋体" w:hAnsi="宋体"/>
                <w:color w:val="000000"/>
              </w:rPr>
            </w:pPr>
            <w:r>
              <w:rPr>
                <w:rFonts w:hint="eastAsia" w:ascii="宋体" w:hAnsi="宋体"/>
                <w:color w:val="000000"/>
              </w:rPr>
              <w:t xml:space="preserve">结构设计的可行性及合理性。 </w:t>
            </w:r>
          </w:p>
          <w:p>
            <w:pPr>
              <w:spacing w:line="340" w:lineRule="exact"/>
              <w:rPr>
                <w:rFonts w:hint="eastAsia" w:ascii="宋体" w:hAnsi="宋体"/>
                <w:color w:val="000000"/>
              </w:rPr>
            </w:pPr>
            <w:r>
              <w:rPr>
                <w:rFonts w:hint="eastAsia" w:ascii="宋体" w:hAnsi="宋体"/>
                <w:color w:val="000000"/>
              </w:rPr>
              <w:t xml:space="preserve">（2）布局是否符合拟定发包人要求，功能分是否明确，是否考 </w:t>
            </w:r>
          </w:p>
          <w:p>
            <w:pPr>
              <w:spacing w:line="340" w:lineRule="exact"/>
              <w:rPr>
                <w:rFonts w:hint="eastAsia" w:ascii="宋体" w:hAnsi="宋体"/>
                <w:color w:val="000000"/>
              </w:rPr>
            </w:pPr>
            <w:r>
              <w:rPr>
                <w:rFonts w:hint="eastAsia" w:ascii="宋体" w:hAnsi="宋体"/>
                <w:color w:val="000000"/>
              </w:rPr>
              <w:t xml:space="preserve">虑到项目未来的使用需求相关技术措施要求。 </w:t>
            </w:r>
          </w:p>
          <w:p>
            <w:pPr>
              <w:spacing w:line="340" w:lineRule="exact"/>
              <w:rPr>
                <w:rFonts w:hint="eastAsia" w:ascii="宋体" w:hAnsi="宋体"/>
                <w:color w:val="000000"/>
              </w:rPr>
            </w:pPr>
            <w:r>
              <w:rPr>
                <w:rFonts w:hint="eastAsia" w:ascii="宋体" w:hAnsi="宋体"/>
                <w:color w:val="000000"/>
              </w:rPr>
              <w:t xml:space="preserve">（3）人流组织及竖向交通合理的合理程度。 </w:t>
            </w:r>
          </w:p>
          <w:p>
            <w:pPr>
              <w:spacing w:line="340" w:lineRule="exact"/>
              <w:rPr>
                <w:rFonts w:hint="eastAsia" w:ascii="宋体" w:hAnsi="宋体"/>
                <w:color w:val="000000"/>
              </w:rPr>
            </w:pPr>
            <w:r>
              <w:rPr>
                <w:rFonts w:hint="eastAsia" w:ascii="宋体" w:hAnsi="宋体"/>
                <w:color w:val="000000"/>
              </w:rPr>
              <w:t xml:space="preserve">（4）结合周边排水现状，合理解决排水走向。 </w:t>
            </w:r>
          </w:p>
          <w:p>
            <w:pPr>
              <w:spacing w:line="340" w:lineRule="exact"/>
              <w:rPr>
                <w:rFonts w:hint="eastAsia" w:ascii="宋体" w:hAnsi="宋体"/>
                <w:color w:val="000000"/>
              </w:rPr>
            </w:pPr>
            <w:r>
              <w:rPr>
                <w:rFonts w:hint="eastAsia" w:ascii="宋体" w:hAnsi="宋体"/>
                <w:color w:val="000000"/>
              </w:rPr>
              <w:t xml:space="preserve">（5）设计方案经济的合理程度。 </w:t>
            </w:r>
          </w:p>
          <w:p>
            <w:pPr>
              <w:spacing w:line="340" w:lineRule="exact"/>
              <w:rPr>
                <w:rFonts w:hint="eastAsia" w:ascii="宋体" w:hAnsi="宋体"/>
                <w:color w:val="000000"/>
              </w:rPr>
            </w:pPr>
            <w:r>
              <w:rPr>
                <w:rFonts w:hint="eastAsia" w:ascii="宋体" w:hAnsi="宋体"/>
                <w:color w:val="000000"/>
              </w:rPr>
              <w:t xml:space="preserve">（6）图纸的完整性。 </w:t>
            </w:r>
          </w:p>
          <w:p>
            <w:pPr>
              <w:spacing w:line="34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2" w:hRule="atLeast"/>
          <w:jc w:val="center"/>
        </w:trPr>
        <w:tc>
          <w:tcPr>
            <w:tcW w:w="960" w:type="dxa"/>
            <w:vMerge w:val="continue"/>
            <w:noWrap w:val="0"/>
            <w:vAlign w:val="top"/>
          </w:tcPr>
          <w:p>
            <w:pPr>
              <w:spacing w:line="440" w:lineRule="exact"/>
              <w:rPr>
                <w:rFonts w:hint="eastAsia"/>
                <w:color w:val="000000"/>
                <w:szCs w:val="21"/>
              </w:rPr>
            </w:pPr>
          </w:p>
        </w:tc>
        <w:tc>
          <w:tcPr>
            <w:tcW w:w="992" w:type="dxa"/>
            <w:vMerge w:val="continue"/>
            <w:noWrap w:val="0"/>
            <w:vAlign w:val="top"/>
          </w:tcPr>
          <w:p>
            <w:pPr>
              <w:spacing w:line="440" w:lineRule="exact"/>
              <w:rPr>
                <w:rFonts w:hint="eastAsia"/>
                <w:color w:val="000000"/>
                <w:szCs w:val="21"/>
              </w:rPr>
            </w:pPr>
          </w:p>
        </w:tc>
        <w:tc>
          <w:tcPr>
            <w:tcW w:w="2126" w:type="dxa"/>
            <w:gridSpan w:val="3"/>
            <w:noWrap w:val="0"/>
            <w:vAlign w:val="center"/>
          </w:tcPr>
          <w:p>
            <w:pPr>
              <w:spacing w:line="360" w:lineRule="auto"/>
              <w:jc w:val="center"/>
              <w:rPr>
                <w:rFonts w:hint="eastAsia" w:ascii="宋体" w:hAnsi="宋体"/>
                <w:bCs/>
                <w:color w:val="000000"/>
                <w:szCs w:val="21"/>
              </w:rPr>
            </w:pPr>
            <w:r>
              <w:rPr>
                <w:rFonts w:hint="eastAsia" w:ascii="宋体" w:hAnsi="宋体"/>
                <w:color w:val="000000"/>
              </w:rPr>
              <w:t>初步设计成果（</w:t>
            </w:r>
            <w:r>
              <w:rPr>
                <w:rFonts w:ascii="宋体" w:hAnsi="宋体"/>
                <w:color w:val="000000"/>
              </w:rPr>
              <w:t>70</w:t>
            </w:r>
            <w:r>
              <w:rPr>
                <w:rFonts w:hint="eastAsia"/>
                <w:color w:val="000000"/>
                <w:szCs w:val="21"/>
              </w:rPr>
              <w:t>~</w:t>
            </w:r>
            <w:r>
              <w:rPr>
                <w:color w:val="000000"/>
                <w:szCs w:val="21"/>
              </w:rPr>
              <w:t>8</w:t>
            </w:r>
            <w:r>
              <w:rPr>
                <w:rFonts w:hint="eastAsia"/>
                <w:color w:val="000000"/>
                <w:szCs w:val="21"/>
              </w:rPr>
              <w:t>0</w:t>
            </w:r>
            <w:r>
              <w:rPr>
                <w:rFonts w:hint="eastAsia" w:ascii="宋体" w:hAnsi="宋体"/>
                <w:color w:val="000000"/>
              </w:rPr>
              <w:t>分）</w:t>
            </w:r>
          </w:p>
        </w:tc>
        <w:tc>
          <w:tcPr>
            <w:tcW w:w="6627" w:type="dxa"/>
            <w:gridSpan w:val="4"/>
            <w:noWrap w:val="0"/>
            <w:vAlign w:val="center"/>
          </w:tcPr>
          <w:p>
            <w:pPr>
              <w:spacing w:line="340" w:lineRule="exact"/>
              <w:rPr>
                <w:rFonts w:hint="eastAsia"/>
                <w:color w:val="000000"/>
              </w:rPr>
            </w:pPr>
            <w:r>
              <w:rPr>
                <w:rFonts w:hint="eastAsia"/>
                <w:color w:val="000000"/>
              </w:rPr>
              <w:t>评分因素：（注:每</w:t>
            </w:r>
            <w:r>
              <w:rPr>
                <w:color w:val="000000"/>
              </w:rPr>
              <w:t>一分项</w:t>
            </w:r>
            <w:r>
              <w:rPr>
                <w:rFonts w:hint="eastAsia"/>
                <w:color w:val="000000"/>
              </w:rPr>
              <w:t>设优、良、中、差，并对各评分等级设置一个具体分值，不设评分区间）</w:t>
            </w:r>
          </w:p>
          <w:p>
            <w:pPr>
              <w:spacing w:line="340" w:lineRule="exact"/>
              <w:rPr>
                <w:rFonts w:hint="eastAsia" w:hAnsi="宋体"/>
                <w:color w:val="000000"/>
                <w:szCs w:val="21"/>
              </w:rPr>
            </w:pPr>
            <w:r>
              <w:rPr>
                <w:rFonts w:hint="eastAsia" w:hAnsi="宋体"/>
                <w:color w:val="000000"/>
                <w:szCs w:val="21"/>
              </w:rPr>
              <w:t>（1）初步设计技术先进性、合理性、实用性、可实施性。</w:t>
            </w:r>
          </w:p>
          <w:p>
            <w:pPr>
              <w:spacing w:line="340" w:lineRule="exact"/>
              <w:rPr>
                <w:rFonts w:hint="eastAsia" w:hAnsi="宋体"/>
                <w:color w:val="000000"/>
                <w:szCs w:val="21"/>
              </w:rPr>
            </w:pPr>
            <w:r>
              <w:rPr>
                <w:rFonts w:hint="eastAsia" w:hAnsi="宋体"/>
                <w:color w:val="000000"/>
                <w:szCs w:val="21"/>
              </w:rPr>
              <w:t>（2）初步设计是否能达到原总平设计、方案设计的效果和目标。</w:t>
            </w:r>
          </w:p>
          <w:p>
            <w:pPr>
              <w:spacing w:line="340" w:lineRule="exact"/>
              <w:rPr>
                <w:rFonts w:hint="eastAsia" w:hAnsi="宋体"/>
                <w:color w:val="000000"/>
                <w:szCs w:val="21"/>
              </w:rPr>
            </w:pPr>
            <w:r>
              <w:rPr>
                <w:rFonts w:hint="eastAsia" w:hAnsi="宋体"/>
                <w:color w:val="000000"/>
                <w:szCs w:val="21"/>
              </w:rPr>
              <w:t>（3）各专业对经济性的控制是否有专项措施，经济性控制良好。</w:t>
            </w:r>
          </w:p>
          <w:p>
            <w:pPr>
              <w:spacing w:line="340" w:lineRule="exact"/>
              <w:rPr>
                <w:rFonts w:hint="eastAsia" w:hAnsi="宋体"/>
                <w:color w:val="000000"/>
                <w:szCs w:val="21"/>
              </w:rPr>
            </w:pPr>
            <w:r>
              <w:rPr>
                <w:rFonts w:hint="eastAsia" w:hAnsi="宋体"/>
                <w:color w:val="000000"/>
                <w:szCs w:val="21"/>
              </w:rPr>
              <w:t>（4）</w:t>
            </w:r>
            <w:r>
              <w:rPr>
                <w:rFonts w:hint="eastAsia" w:hAnsi="宋体"/>
                <w:bCs/>
                <w:color w:val="000000"/>
                <w:szCs w:val="21"/>
              </w:rPr>
              <w:t>对关键技术选用和实施有专篇进行论证。</w:t>
            </w:r>
          </w:p>
          <w:p>
            <w:pPr>
              <w:spacing w:line="340" w:lineRule="exact"/>
              <w:rPr>
                <w:rFonts w:hint="eastAsia" w:hAnsi="宋体"/>
                <w:bCs/>
                <w:color w:val="000000"/>
                <w:szCs w:val="21"/>
              </w:rPr>
            </w:pPr>
            <w:r>
              <w:rPr>
                <w:rFonts w:hint="eastAsia" w:hAnsi="宋体"/>
                <w:color w:val="000000"/>
                <w:szCs w:val="21"/>
              </w:rPr>
              <w:t>（5）初步设计说明的质量、内容和深度符合国家和省、市的有关规定和要求</w:t>
            </w:r>
            <w:r>
              <w:rPr>
                <w:rFonts w:hint="eastAsia" w:hAnsi="宋体"/>
                <w:bCs/>
                <w:color w:val="000000"/>
                <w:szCs w:val="21"/>
              </w:rPr>
              <w:t>。</w:t>
            </w:r>
          </w:p>
          <w:p>
            <w:pPr>
              <w:spacing w:line="340" w:lineRule="exact"/>
              <w:rPr>
                <w:rFonts w:hint="eastAsia" w:hAnsi="宋体"/>
                <w:color w:val="000000"/>
                <w:szCs w:val="21"/>
              </w:rPr>
            </w:pPr>
            <w:r>
              <w:rPr>
                <w:rFonts w:hint="eastAsia" w:hAnsi="宋体"/>
                <w:bCs/>
                <w:color w:val="000000"/>
                <w:szCs w:val="21"/>
              </w:rPr>
              <w:t>（6）</w:t>
            </w:r>
            <w:r>
              <w:rPr>
                <w:rFonts w:hint="eastAsia" w:hAnsi="宋体"/>
                <w:color w:val="000000"/>
                <w:szCs w:val="21"/>
              </w:rPr>
              <w:t>初步设计图纸的质量、内容和深度符合国家和省、市的有关规定和要求。</w:t>
            </w:r>
          </w:p>
          <w:p>
            <w:pPr>
              <w:spacing w:line="340" w:lineRule="exact"/>
              <w:rPr>
                <w:rFonts w:hint="eastAsia" w:ascii="宋体" w:hAnsi="宋体"/>
                <w:bCs/>
                <w:color w:val="000000"/>
                <w:szCs w:val="21"/>
              </w:rPr>
            </w:pPr>
            <w:r>
              <w:rPr>
                <w:rFonts w:hint="eastAsia" w:hAnsi="宋体"/>
                <w:color w:val="000000"/>
                <w:szCs w:val="21"/>
              </w:rPr>
              <w:t>（7）初步设计概算的说明、概算的质量、内容和深度符合国家和省、市的有关规定和要求，取费正确，对投资的控制达到招标文件的要求</w:t>
            </w:r>
            <w:r>
              <w:rPr>
                <w:rFonts w:hint="eastAsia" w:hAnsi="宋体"/>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925" w:hRule="atLeast"/>
          <w:jc w:val="center"/>
        </w:trPr>
        <w:tc>
          <w:tcPr>
            <w:tcW w:w="960" w:type="dxa"/>
            <w:vMerge w:val="restart"/>
            <w:noWrap w:val="0"/>
            <w:vAlign w:val="top"/>
          </w:tcPr>
          <w:p>
            <w:pPr>
              <w:spacing w:line="440" w:lineRule="exact"/>
              <w:rPr>
                <w:rFonts w:hint="eastAsia"/>
                <w:color w:val="000000"/>
                <w:szCs w:val="21"/>
              </w:rPr>
            </w:pPr>
            <w:r>
              <w:rPr>
                <w:rFonts w:hint="eastAsia"/>
                <w:color w:val="000000"/>
                <w:szCs w:val="21"/>
              </w:rPr>
              <w:t>2.2.4（5）</w:t>
            </w:r>
          </w:p>
        </w:tc>
        <w:tc>
          <w:tcPr>
            <w:tcW w:w="992" w:type="dxa"/>
            <w:vMerge w:val="restart"/>
            <w:noWrap w:val="0"/>
            <w:vAlign w:val="top"/>
          </w:tcPr>
          <w:p>
            <w:pPr>
              <w:spacing w:line="440" w:lineRule="exact"/>
              <w:rPr>
                <w:rFonts w:hint="eastAsia"/>
                <w:color w:val="000000"/>
                <w:szCs w:val="21"/>
              </w:rPr>
            </w:pPr>
            <w:r>
              <w:rPr>
                <w:rFonts w:hint="eastAsia"/>
                <w:color w:val="000000"/>
              </w:rPr>
              <w:t>□</w:t>
            </w:r>
            <w:r>
              <w:rPr>
                <w:rFonts w:hint="eastAsia"/>
                <w:color w:val="000000"/>
                <w:szCs w:val="21"/>
              </w:rPr>
              <w:t>设计标评分标准（适用初步设计完成后施工图设计完成前以深化初步设计投标）（满分分值权重</w:t>
            </w:r>
            <w:r>
              <w:rPr>
                <w:color w:val="000000"/>
                <w:szCs w:val="21"/>
                <w:u w:val="single"/>
              </w:rPr>
              <w:t xml:space="preserve">     </w:t>
            </w:r>
            <w:r>
              <w:rPr>
                <w:rFonts w:hint="eastAsia"/>
                <w:color w:val="000000"/>
                <w:szCs w:val="21"/>
              </w:rPr>
              <w:t>%）</w:t>
            </w:r>
          </w:p>
        </w:tc>
        <w:tc>
          <w:tcPr>
            <w:tcW w:w="2126" w:type="dxa"/>
            <w:gridSpan w:val="3"/>
            <w:noWrap w:val="0"/>
            <w:vAlign w:val="center"/>
          </w:tcPr>
          <w:p>
            <w:pPr>
              <w:spacing w:line="360" w:lineRule="auto"/>
              <w:jc w:val="center"/>
              <w:rPr>
                <w:rFonts w:hint="eastAsia" w:ascii="宋体" w:hAnsi="宋体"/>
                <w:bCs/>
                <w:color w:val="000000"/>
                <w:szCs w:val="21"/>
              </w:rPr>
            </w:pPr>
            <w:r>
              <w:rPr>
                <w:rFonts w:hint="eastAsia" w:ascii="宋体" w:hAnsi="宋体"/>
                <w:color w:val="000000"/>
              </w:rPr>
              <w:t>初步设计深化成果（</w:t>
            </w:r>
            <w:r>
              <w:rPr>
                <w:color w:val="000000"/>
                <w:szCs w:val="21"/>
              </w:rPr>
              <w:t>100</w:t>
            </w:r>
            <w:r>
              <w:rPr>
                <w:rFonts w:hint="eastAsia" w:ascii="宋体" w:hAnsi="宋体"/>
                <w:color w:val="000000"/>
              </w:rPr>
              <w:t>分）（适用</w:t>
            </w:r>
            <w:r>
              <w:rPr>
                <w:rFonts w:ascii="宋体" w:hAnsi="宋体"/>
                <w:color w:val="000000"/>
              </w:rPr>
              <w:t>房建</w:t>
            </w:r>
            <w:r>
              <w:rPr>
                <w:rFonts w:hint="eastAsia" w:ascii="宋体" w:hAnsi="宋体"/>
                <w:color w:val="000000"/>
              </w:rPr>
              <w:t>项目）</w:t>
            </w:r>
          </w:p>
        </w:tc>
        <w:tc>
          <w:tcPr>
            <w:tcW w:w="6627" w:type="dxa"/>
            <w:gridSpan w:val="4"/>
            <w:noWrap w:val="0"/>
            <w:vAlign w:val="center"/>
          </w:tcPr>
          <w:p>
            <w:pPr>
              <w:spacing w:line="340" w:lineRule="exact"/>
              <w:rPr>
                <w:rFonts w:hint="eastAsia"/>
                <w:color w:val="000000"/>
              </w:rPr>
            </w:pPr>
            <w:r>
              <w:rPr>
                <w:rFonts w:hint="eastAsia"/>
                <w:color w:val="000000"/>
              </w:rPr>
              <w:t>成果要求：深度须达到国家相关文件要求的初步设计深度（注: 每一分项设优、良、中、差，并对各评分等级设置一个具体分值，不设评分区间）</w:t>
            </w:r>
          </w:p>
          <w:p>
            <w:pPr>
              <w:spacing w:line="340" w:lineRule="exact"/>
              <w:rPr>
                <w:rFonts w:hint="eastAsia"/>
                <w:color w:val="000000"/>
              </w:rPr>
            </w:pPr>
            <w:r>
              <w:rPr>
                <w:rFonts w:hint="eastAsia"/>
                <w:color w:val="000000"/>
              </w:rPr>
              <w:t>评分因素：</w:t>
            </w:r>
          </w:p>
          <w:p>
            <w:pPr>
              <w:spacing w:line="340" w:lineRule="exact"/>
              <w:rPr>
                <w:rFonts w:hint="eastAsia" w:hAnsi="宋体"/>
                <w:color w:val="000000"/>
                <w:szCs w:val="21"/>
              </w:rPr>
            </w:pPr>
            <w:r>
              <w:rPr>
                <w:rFonts w:hint="eastAsia" w:hAnsi="宋体"/>
                <w:color w:val="000000"/>
                <w:szCs w:val="21"/>
              </w:rPr>
              <w:t>（1）初步设计深化文件的先进性、合理性、实用性、可实施性。</w:t>
            </w:r>
          </w:p>
          <w:p>
            <w:pPr>
              <w:spacing w:line="340" w:lineRule="exact"/>
              <w:rPr>
                <w:rFonts w:hint="eastAsia" w:hAnsi="宋体"/>
                <w:bCs/>
                <w:color w:val="000000"/>
                <w:szCs w:val="21"/>
              </w:rPr>
            </w:pPr>
            <w:r>
              <w:rPr>
                <w:rFonts w:hint="eastAsia" w:hAnsi="宋体"/>
                <w:color w:val="000000"/>
                <w:szCs w:val="21"/>
              </w:rPr>
              <w:t>（2）是否对原初步设计提出合理性建议和深化优化建议</w:t>
            </w:r>
            <w:r>
              <w:rPr>
                <w:rFonts w:hint="eastAsia" w:hAnsi="宋体"/>
                <w:bCs/>
                <w:color w:val="000000"/>
                <w:szCs w:val="21"/>
              </w:rPr>
              <w:t>。</w:t>
            </w:r>
          </w:p>
          <w:p>
            <w:pPr>
              <w:spacing w:line="340" w:lineRule="exact"/>
              <w:rPr>
                <w:rFonts w:hint="eastAsia" w:hAnsi="宋体"/>
                <w:bCs/>
                <w:color w:val="000000"/>
                <w:szCs w:val="21"/>
              </w:rPr>
            </w:pPr>
            <w:r>
              <w:rPr>
                <w:rFonts w:hint="eastAsia" w:hAnsi="宋体"/>
                <w:bCs/>
                <w:color w:val="000000"/>
                <w:szCs w:val="21"/>
              </w:rPr>
              <w:t>（3）是否对关键技术选用和实施有专篇进行论证。</w:t>
            </w:r>
          </w:p>
          <w:p>
            <w:pPr>
              <w:spacing w:line="340" w:lineRule="exact"/>
              <w:rPr>
                <w:rFonts w:hint="eastAsia" w:hAnsi="宋体"/>
                <w:color w:val="000000"/>
                <w:szCs w:val="21"/>
              </w:rPr>
            </w:pPr>
            <w:r>
              <w:rPr>
                <w:rFonts w:hint="eastAsia" w:hAnsi="宋体"/>
                <w:color w:val="000000"/>
                <w:szCs w:val="21"/>
              </w:rPr>
              <w:t>（4）各专业对经济性的控制是否有专项措施，经济性控制良好。</w:t>
            </w:r>
          </w:p>
          <w:p>
            <w:pPr>
              <w:spacing w:line="340" w:lineRule="exact"/>
              <w:rPr>
                <w:rFonts w:hint="eastAsia" w:ascii="宋体" w:hAnsi="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923" w:hRule="atLeast"/>
          <w:jc w:val="center"/>
        </w:trPr>
        <w:tc>
          <w:tcPr>
            <w:tcW w:w="960" w:type="dxa"/>
            <w:vMerge w:val="continue"/>
            <w:noWrap w:val="0"/>
            <w:vAlign w:val="top"/>
          </w:tcPr>
          <w:p>
            <w:pPr>
              <w:spacing w:line="440" w:lineRule="exact"/>
              <w:rPr>
                <w:rFonts w:hint="eastAsia"/>
                <w:color w:val="000000"/>
                <w:szCs w:val="21"/>
              </w:rPr>
            </w:pPr>
          </w:p>
        </w:tc>
        <w:tc>
          <w:tcPr>
            <w:tcW w:w="992" w:type="dxa"/>
            <w:vMerge w:val="continue"/>
            <w:noWrap w:val="0"/>
            <w:vAlign w:val="top"/>
          </w:tcPr>
          <w:p>
            <w:pPr>
              <w:spacing w:line="440" w:lineRule="exact"/>
              <w:rPr>
                <w:rFonts w:hint="eastAsia"/>
                <w:color w:val="000000"/>
              </w:rPr>
            </w:pPr>
          </w:p>
        </w:tc>
        <w:tc>
          <w:tcPr>
            <w:tcW w:w="2126" w:type="dxa"/>
            <w:gridSpan w:val="3"/>
            <w:noWrap w:val="0"/>
            <w:vAlign w:val="center"/>
          </w:tcPr>
          <w:p>
            <w:pPr>
              <w:spacing w:line="360" w:lineRule="auto"/>
              <w:jc w:val="center"/>
              <w:rPr>
                <w:rFonts w:hint="eastAsia" w:ascii="宋体" w:hAnsi="宋体"/>
                <w:color w:val="000000"/>
              </w:rPr>
            </w:pPr>
            <w:r>
              <w:rPr>
                <w:rFonts w:hint="eastAsia" w:ascii="宋体" w:hAnsi="宋体"/>
                <w:color w:val="000000"/>
              </w:rPr>
              <w:t>设计说明（</w:t>
            </w:r>
            <w:r>
              <w:rPr>
                <w:rFonts w:ascii="宋体" w:hAnsi="宋体"/>
                <w:color w:val="000000"/>
              </w:rPr>
              <w:t>2</w:t>
            </w:r>
            <w:r>
              <w:rPr>
                <w:rFonts w:hint="eastAsia" w:ascii="宋体" w:hAnsi="宋体"/>
                <w:color w:val="000000"/>
              </w:rPr>
              <w:t>0~</w:t>
            </w:r>
            <w:r>
              <w:rPr>
                <w:rFonts w:ascii="宋体" w:hAnsi="宋体"/>
                <w:color w:val="000000"/>
              </w:rPr>
              <w:t>3</w:t>
            </w:r>
            <w:r>
              <w:rPr>
                <w:rFonts w:hint="eastAsia" w:ascii="宋体" w:hAnsi="宋体"/>
                <w:color w:val="000000"/>
              </w:rPr>
              <w:t>5分）（适用市政项目）</w:t>
            </w:r>
          </w:p>
        </w:tc>
        <w:tc>
          <w:tcPr>
            <w:tcW w:w="6627" w:type="dxa"/>
            <w:gridSpan w:val="4"/>
            <w:noWrap w:val="0"/>
            <w:vAlign w:val="center"/>
          </w:tcPr>
          <w:p>
            <w:pPr>
              <w:spacing w:line="340" w:lineRule="exact"/>
              <w:rPr>
                <w:rFonts w:hint="eastAsia"/>
                <w:color w:val="000000"/>
              </w:rPr>
            </w:pPr>
            <w:r>
              <w:rPr>
                <w:rFonts w:hint="eastAsia" w:ascii="宋体" w:hAnsi="宋体"/>
                <w:bCs/>
                <w:color w:val="000000"/>
                <w:szCs w:val="21"/>
              </w:rPr>
              <w:t>设计说明结合招标文件要求，体现必要设计图纸内容，内容至少包括：相关的设计依据及规范、经济技术指标等。整理评价优秀。（注: 每一分项设优、良、中、差，并对各评分等级设置一个具体分值，不设评分区间）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923" w:hRule="atLeast"/>
          <w:jc w:val="center"/>
        </w:trPr>
        <w:tc>
          <w:tcPr>
            <w:tcW w:w="960" w:type="dxa"/>
            <w:vMerge w:val="continue"/>
            <w:noWrap w:val="0"/>
            <w:vAlign w:val="top"/>
          </w:tcPr>
          <w:p>
            <w:pPr>
              <w:spacing w:line="440" w:lineRule="exact"/>
              <w:rPr>
                <w:rFonts w:hint="eastAsia"/>
                <w:color w:val="000000"/>
                <w:szCs w:val="21"/>
              </w:rPr>
            </w:pPr>
          </w:p>
        </w:tc>
        <w:tc>
          <w:tcPr>
            <w:tcW w:w="992" w:type="dxa"/>
            <w:vMerge w:val="continue"/>
            <w:noWrap w:val="0"/>
            <w:vAlign w:val="top"/>
          </w:tcPr>
          <w:p>
            <w:pPr>
              <w:spacing w:line="440" w:lineRule="exact"/>
              <w:rPr>
                <w:rFonts w:hint="eastAsia"/>
                <w:color w:val="000000"/>
              </w:rPr>
            </w:pPr>
          </w:p>
        </w:tc>
        <w:tc>
          <w:tcPr>
            <w:tcW w:w="2126" w:type="dxa"/>
            <w:gridSpan w:val="3"/>
            <w:noWrap w:val="0"/>
            <w:vAlign w:val="center"/>
          </w:tcPr>
          <w:p>
            <w:pPr>
              <w:spacing w:line="360" w:lineRule="auto"/>
              <w:jc w:val="center"/>
              <w:rPr>
                <w:rFonts w:hint="eastAsia" w:ascii="宋体" w:hAnsi="宋体"/>
                <w:color w:val="000000"/>
              </w:rPr>
            </w:pPr>
            <w:r>
              <w:rPr>
                <w:rFonts w:hint="eastAsia" w:ascii="宋体" w:hAnsi="宋体"/>
                <w:color w:val="000000"/>
              </w:rPr>
              <w:t>设计图纸（</w:t>
            </w:r>
            <w:r>
              <w:rPr>
                <w:color w:val="000000"/>
              </w:rPr>
              <w:t>65~80</w:t>
            </w:r>
            <w:r>
              <w:rPr>
                <w:rFonts w:hint="eastAsia" w:ascii="宋体" w:hAnsi="宋体"/>
                <w:color w:val="000000"/>
              </w:rPr>
              <w:t>分）（适用市政项目）</w:t>
            </w:r>
          </w:p>
        </w:tc>
        <w:tc>
          <w:tcPr>
            <w:tcW w:w="6627" w:type="dxa"/>
            <w:gridSpan w:val="4"/>
            <w:noWrap w:val="0"/>
            <w:vAlign w:val="center"/>
          </w:tcPr>
          <w:p>
            <w:pPr>
              <w:spacing w:line="340" w:lineRule="exact"/>
              <w:rPr>
                <w:rFonts w:hint="eastAsia"/>
                <w:color w:val="000000"/>
              </w:rPr>
            </w:pPr>
            <w:r>
              <w:rPr>
                <w:rFonts w:hint="eastAsia" w:ascii="宋体" w:hAnsi="宋体"/>
                <w:bCs/>
                <w:color w:val="000000"/>
                <w:szCs w:val="21"/>
              </w:rPr>
              <w:t>根据城市规划、建设标准、设计规范从设计依据、设计说明、工程方案等方面综合描述说明，总体设计思路非常清晰、非常完整，提供方案优缺点对比分析；设计图纸完整性，专业技术指标是否合理，整体内容是否符合相关要求。（注: 每一分项设优、良、中、差，并对各评分等级设置一个具体分值，不设评分区间）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70" w:hRule="atLeast"/>
          <w:jc w:val="center"/>
        </w:trPr>
        <w:tc>
          <w:tcPr>
            <w:tcW w:w="4078" w:type="dxa"/>
            <w:gridSpan w:val="5"/>
            <w:noWrap w:val="0"/>
            <w:vAlign w:val="center"/>
          </w:tcPr>
          <w:p>
            <w:pPr>
              <w:spacing w:line="360" w:lineRule="auto"/>
              <w:jc w:val="center"/>
              <w:rPr>
                <w:color w:val="000000"/>
                <w:szCs w:val="21"/>
              </w:rPr>
            </w:pPr>
            <w:r>
              <w:rPr>
                <w:color w:val="000000"/>
                <w:szCs w:val="21"/>
              </w:rPr>
              <w:t>投标人汇总得分</w:t>
            </w:r>
          </w:p>
        </w:tc>
        <w:tc>
          <w:tcPr>
            <w:tcW w:w="6627" w:type="dxa"/>
            <w:gridSpan w:val="4"/>
            <w:noWrap w:val="0"/>
            <w:vAlign w:val="center"/>
          </w:tcPr>
          <w:p>
            <w:pPr>
              <w:spacing w:line="360" w:lineRule="auto"/>
              <w:rPr>
                <w:color w:val="000000"/>
                <w:szCs w:val="21"/>
              </w:rPr>
            </w:pPr>
            <w:r>
              <w:rPr>
                <w:color w:val="000000"/>
                <w:szCs w:val="21"/>
              </w:rPr>
              <w:t>投标人汇总得分=</w:t>
            </w:r>
            <w:r>
              <w:rPr>
                <w:rFonts w:hint="eastAsia"/>
                <w:color w:val="000000"/>
                <w:szCs w:val="21"/>
              </w:rPr>
              <w:t>资信业绩得分+商务标得分+技术标得分+设计标得分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11" w:hRule="atLeast"/>
          <w:jc w:val="center"/>
        </w:trPr>
        <w:tc>
          <w:tcPr>
            <w:tcW w:w="1952" w:type="dxa"/>
            <w:gridSpan w:val="2"/>
            <w:noWrap w:val="0"/>
            <w:vAlign w:val="center"/>
          </w:tcPr>
          <w:p>
            <w:pPr>
              <w:spacing w:line="360" w:lineRule="auto"/>
              <w:jc w:val="center"/>
              <w:rPr>
                <w:color w:val="000000"/>
                <w:szCs w:val="21"/>
              </w:rPr>
            </w:pPr>
            <w:r>
              <w:rPr>
                <w:color w:val="000000"/>
                <w:szCs w:val="21"/>
              </w:rPr>
              <w:t>3</w:t>
            </w:r>
          </w:p>
        </w:tc>
        <w:tc>
          <w:tcPr>
            <w:tcW w:w="2126" w:type="dxa"/>
            <w:gridSpan w:val="3"/>
            <w:noWrap w:val="0"/>
            <w:vAlign w:val="center"/>
          </w:tcPr>
          <w:p>
            <w:pPr>
              <w:spacing w:line="360" w:lineRule="auto"/>
              <w:jc w:val="center"/>
              <w:rPr>
                <w:color w:val="000000"/>
                <w:szCs w:val="21"/>
              </w:rPr>
            </w:pPr>
            <w:r>
              <w:rPr>
                <w:color w:val="000000"/>
                <w:szCs w:val="21"/>
              </w:rPr>
              <w:t>评标程序</w:t>
            </w:r>
          </w:p>
        </w:tc>
        <w:tc>
          <w:tcPr>
            <w:tcW w:w="6627" w:type="dxa"/>
            <w:gridSpan w:val="4"/>
            <w:noWrap w:val="0"/>
            <w:vAlign w:val="center"/>
          </w:tcPr>
          <w:p>
            <w:pPr>
              <w:spacing w:line="360" w:lineRule="auto"/>
              <w:rPr>
                <w:color w:val="000000"/>
                <w:szCs w:val="21"/>
              </w:rPr>
            </w:pPr>
            <w:r>
              <w:rPr>
                <w:color w:val="000000"/>
                <w:szCs w:val="21"/>
              </w:rPr>
              <w:t>详见本章附件A：评标详细程序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7" w:hRule="atLeast"/>
          <w:jc w:val="center"/>
        </w:trPr>
        <w:tc>
          <w:tcPr>
            <w:tcW w:w="1952" w:type="dxa"/>
            <w:gridSpan w:val="2"/>
            <w:noWrap w:val="0"/>
            <w:vAlign w:val="center"/>
          </w:tcPr>
          <w:p>
            <w:pPr>
              <w:spacing w:line="360" w:lineRule="auto"/>
              <w:jc w:val="center"/>
              <w:rPr>
                <w:color w:val="000000"/>
                <w:szCs w:val="21"/>
              </w:rPr>
            </w:pPr>
            <w:r>
              <w:rPr>
                <w:color w:val="000000"/>
                <w:szCs w:val="21"/>
              </w:rPr>
              <w:t>3.1.2</w:t>
            </w:r>
          </w:p>
        </w:tc>
        <w:tc>
          <w:tcPr>
            <w:tcW w:w="2126" w:type="dxa"/>
            <w:gridSpan w:val="3"/>
            <w:noWrap w:val="0"/>
            <w:vAlign w:val="center"/>
          </w:tcPr>
          <w:p>
            <w:pPr>
              <w:spacing w:line="360" w:lineRule="auto"/>
              <w:jc w:val="center"/>
              <w:rPr>
                <w:color w:val="000000"/>
                <w:szCs w:val="21"/>
              </w:rPr>
            </w:pPr>
            <w:r>
              <w:rPr>
                <w:color w:val="000000"/>
                <w:szCs w:val="21"/>
              </w:rPr>
              <w:t>否决投标条件</w:t>
            </w:r>
          </w:p>
        </w:tc>
        <w:tc>
          <w:tcPr>
            <w:tcW w:w="6627" w:type="dxa"/>
            <w:gridSpan w:val="4"/>
            <w:noWrap w:val="0"/>
            <w:vAlign w:val="center"/>
          </w:tcPr>
          <w:p>
            <w:pPr>
              <w:spacing w:line="360" w:lineRule="auto"/>
              <w:rPr>
                <w:color w:val="000000"/>
                <w:szCs w:val="21"/>
              </w:rPr>
            </w:pPr>
            <w:r>
              <w:rPr>
                <w:color w:val="000000"/>
                <w:szCs w:val="21"/>
              </w:rPr>
              <w:t>详见本章附件B：否决投标条件</w:t>
            </w:r>
          </w:p>
        </w:tc>
      </w:tr>
    </w:tbl>
    <w:p>
      <w:pPr>
        <w:spacing w:line="360" w:lineRule="auto"/>
        <w:rPr>
          <w:color w:val="000000"/>
          <w:szCs w:val="21"/>
        </w:rPr>
      </w:pPr>
      <w:r>
        <w:rPr>
          <w:rFonts w:hint="eastAsia"/>
          <w:color w:val="000000"/>
          <w:szCs w:val="21"/>
        </w:rPr>
        <w:t>备注：</w:t>
      </w:r>
    </w:p>
    <w:p>
      <w:pPr>
        <w:spacing w:line="360" w:lineRule="auto"/>
        <w:ind w:firstLine="420" w:firstLineChars="200"/>
        <w:rPr>
          <w:rFonts w:hint="eastAsia"/>
          <w:color w:val="000000"/>
          <w:szCs w:val="21"/>
        </w:rPr>
      </w:pPr>
      <w:r>
        <w:rPr>
          <w:rFonts w:hint="eastAsia"/>
          <w:color w:val="000000"/>
          <w:szCs w:val="21"/>
        </w:rPr>
        <w:t>1. 招标公告没有提出类似工程业绩要求的，资格评审时如果采用合格制，不得设置类似工程业绩要求；如果采用有限数量制，可以设置类似工程业绩要求。</w:t>
      </w:r>
    </w:p>
    <w:p>
      <w:pPr>
        <w:spacing w:line="360" w:lineRule="auto"/>
        <w:ind w:firstLine="420" w:firstLineChars="200"/>
        <w:rPr>
          <w:rFonts w:hint="eastAsia"/>
          <w:color w:val="000000"/>
          <w:szCs w:val="21"/>
        </w:rPr>
      </w:pPr>
      <w:r>
        <w:rPr>
          <w:rFonts w:hint="eastAsia"/>
          <w:color w:val="000000"/>
          <w:szCs w:val="21"/>
        </w:rPr>
        <w:t>2. 招标公告提出类似工程业绩要求的，资格评审时必须设置类似工程业绩要求，考核期同“投标人须知前附表”3.1.</w:t>
      </w:r>
      <w:r>
        <w:rPr>
          <w:color w:val="000000"/>
          <w:szCs w:val="21"/>
        </w:rPr>
        <w:t>9</w:t>
      </w:r>
      <w:r>
        <w:rPr>
          <w:rFonts w:hint="eastAsia"/>
          <w:color w:val="000000"/>
          <w:szCs w:val="21"/>
        </w:rPr>
        <w:t>条，类似工程同招标公告。</w:t>
      </w:r>
    </w:p>
    <w:p>
      <w:pPr>
        <w:spacing w:line="360" w:lineRule="auto"/>
        <w:ind w:firstLine="420" w:firstLineChars="200"/>
        <w:jc w:val="left"/>
        <w:rPr>
          <w:rFonts w:hint="eastAsia"/>
          <w:color w:val="000000"/>
          <w:szCs w:val="21"/>
        </w:rPr>
      </w:pPr>
      <w:r>
        <w:rPr>
          <w:rFonts w:hint="eastAsia"/>
          <w:color w:val="000000"/>
          <w:szCs w:val="21"/>
        </w:rPr>
        <w:t>3. 人员资格岗位、职称、业绩、奖项等评分须附相关有效证明材料的扫描件，相关证明材料未通过广西建筑业企业诚信信息库审核的（除在建项目以全国建筑市场监管公共服务平台http://jzsc.mohurd.gov.cn/asite/jsbpp/index为准外），在评审时不予承认（设计单位只需要提供原件扫描件）；对于取得专业技术类职业资格的人员，可按照《广西壮族自治区人力资源和社会保障厅关于在部分职业领域建立职称与专业技术类职业资格对应关系的通知》（桂人社规〔2019〕5号）精神，认定其具备相应等级的职称。</w:t>
      </w:r>
    </w:p>
    <w:p>
      <w:pPr>
        <w:spacing w:line="360" w:lineRule="auto"/>
        <w:ind w:firstLine="420" w:firstLineChars="200"/>
        <w:rPr>
          <w:rFonts w:hint="eastAsia"/>
          <w:color w:val="000000"/>
          <w:szCs w:val="21"/>
        </w:rPr>
      </w:pPr>
      <w:r>
        <w:rPr>
          <w:rFonts w:hint="eastAsia"/>
          <w:color w:val="000000"/>
          <w:szCs w:val="21"/>
        </w:rPr>
        <w:t xml:space="preserve">4. 施工企业信誉实力的评标标准根据广西区建筑业企业诚信综合评价系统计取。【备注：1、各设区市房屋建筑及市政基础设施工程招标时，企业信誉实力分由自治区级、市级两部分组成，其中区级的诚信综合评价分占 </w:t>
      </w:r>
      <w:r>
        <w:rPr>
          <w:color w:val="000000"/>
          <w:szCs w:val="21"/>
        </w:rPr>
        <w:t>5</w:t>
      </w:r>
      <w:r>
        <w:rPr>
          <w:rFonts w:hint="eastAsia"/>
          <w:color w:val="000000"/>
          <w:szCs w:val="21"/>
        </w:rPr>
        <w:t>0%～100%，项目所在地设区市级诚信综合评价分占50</w:t>
      </w:r>
      <w:r>
        <w:rPr>
          <w:color w:val="000000"/>
          <w:szCs w:val="21"/>
        </w:rPr>
        <w:t>%</w:t>
      </w:r>
      <w:r>
        <w:rPr>
          <w:rFonts w:hint="eastAsia"/>
          <w:color w:val="000000"/>
          <w:szCs w:val="21"/>
        </w:rPr>
        <w:t>～</w:t>
      </w:r>
      <w:r>
        <w:rPr>
          <w:color w:val="000000"/>
          <w:szCs w:val="21"/>
        </w:rPr>
        <w:t>0%</w:t>
      </w:r>
      <w:r>
        <w:rPr>
          <w:rFonts w:hint="eastAsia"/>
          <w:color w:val="000000"/>
          <w:szCs w:val="21"/>
        </w:rPr>
        <w:t>（具体权重由各设区市在比例范围内自行决定）；2、原则上小型工程从</w:t>
      </w:r>
      <w:r>
        <w:rPr>
          <w:rFonts w:hint="eastAsia"/>
          <w:szCs w:val="21"/>
        </w:rPr>
        <w:t>0%、1%、2%、3%</w:t>
      </w:r>
      <w:r>
        <w:rPr>
          <w:rFonts w:hint="eastAsia"/>
          <w:color w:val="000000"/>
          <w:szCs w:val="21"/>
        </w:rPr>
        <w:t>中抽取一个分值，中型工程从5%、6%、7%、8%中抽取一个分值，大型工程从</w:t>
      </w:r>
      <w:r>
        <w:rPr>
          <w:color w:val="000000"/>
          <w:szCs w:val="21"/>
        </w:rPr>
        <w:t>10</w:t>
      </w:r>
      <w:r>
        <w:rPr>
          <w:rFonts w:hint="eastAsia"/>
          <w:color w:val="000000"/>
          <w:szCs w:val="21"/>
        </w:rPr>
        <w:t>%、</w:t>
      </w:r>
      <w:r>
        <w:rPr>
          <w:color w:val="000000"/>
          <w:szCs w:val="21"/>
        </w:rPr>
        <w:t>11</w:t>
      </w:r>
      <w:r>
        <w:rPr>
          <w:rFonts w:hint="eastAsia"/>
          <w:color w:val="000000"/>
          <w:szCs w:val="21"/>
        </w:rPr>
        <w:t>%、1</w:t>
      </w:r>
      <w:r>
        <w:rPr>
          <w:color w:val="000000"/>
          <w:szCs w:val="21"/>
        </w:rPr>
        <w:t>2</w:t>
      </w:r>
      <w:r>
        <w:rPr>
          <w:rFonts w:hint="eastAsia"/>
          <w:color w:val="000000"/>
          <w:szCs w:val="21"/>
        </w:rPr>
        <w:t>%、1</w:t>
      </w:r>
      <w:r>
        <w:rPr>
          <w:color w:val="000000"/>
          <w:szCs w:val="21"/>
        </w:rPr>
        <w:t>3</w:t>
      </w:r>
      <w:r>
        <w:rPr>
          <w:rFonts w:hint="eastAsia"/>
          <w:color w:val="000000"/>
          <w:szCs w:val="21"/>
        </w:rPr>
        <w:t>%中抽取一个分值。联合体参与投标的，联合体的信誉实力分按联合体成员中同</w:t>
      </w:r>
      <w:r>
        <w:rPr>
          <w:color w:val="000000"/>
          <w:szCs w:val="21"/>
        </w:rPr>
        <w:t>类型企业</w:t>
      </w:r>
      <w:r>
        <w:rPr>
          <w:rFonts w:hint="eastAsia"/>
          <w:color w:val="000000"/>
          <w:szCs w:val="21"/>
        </w:rPr>
        <w:t>信誉实力分最低的企业认定。】</w:t>
      </w:r>
    </w:p>
    <w:p>
      <w:pPr>
        <w:spacing w:line="400" w:lineRule="exact"/>
        <w:ind w:firstLine="437"/>
        <w:rPr>
          <w:rFonts w:hint="eastAsia"/>
          <w:color w:val="000000"/>
          <w:szCs w:val="21"/>
        </w:rPr>
      </w:pPr>
      <w:r>
        <w:rPr>
          <w:rFonts w:hint="eastAsia"/>
          <w:color w:val="000000"/>
          <w:szCs w:val="21"/>
        </w:rPr>
        <w:t>5、“小型工程”、“中型工程”及“大型工程”的规模按《注册建造师管理规定》（建设部令第153号)编制的《注册建造师执业工程规模标准》（试行）文件划分。</w:t>
      </w:r>
    </w:p>
    <w:p>
      <w:pPr>
        <w:spacing w:line="400" w:lineRule="exact"/>
        <w:ind w:firstLine="437"/>
        <w:rPr>
          <w:rFonts w:hint="eastAsia"/>
          <w:color w:val="000000"/>
          <w:szCs w:val="21"/>
        </w:rPr>
      </w:pPr>
      <w:r>
        <w:rPr>
          <w:rFonts w:hint="eastAsia"/>
          <w:color w:val="000000"/>
          <w:szCs w:val="21"/>
        </w:rPr>
        <w:t>6、表中2.2.4（1）工程总承包工作大纲与2.2.4（2）施工组织设计共同组成“技术标”，该两项得分之和即为“技术标”得分，“技术标”</w:t>
      </w:r>
      <w:r>
        <w:rPr>
          <w:color w:val="000000"/>
          <w:szCs w:val="21"/>
        </w:rPr>
        <w:t>为暗标</w:t>
      </w:r>
      <w:r>
        <w:rPr>
          <w:rFonts w:hint="eastAsia"/>
          <w:color w:val="000000"/>
          <w:szCs w:val="21"/>
        </w:rPr>
        <w:t>。</w:t>
      </w:r>
    </w:p>
    <w:p>
      <w:pPr>
        <w:spacing w:line="400" w:lineRule="exact"/>
        <w:ind w:firstLine="437"/>
        <w:rPr>
          <w:rFonts w:hint="eastAsia"/>
          <w:color w:val="000000"/>
          <w:szCs w:val="21"/>
        </w:rPr>
      </w:pPr>
      <w:r>
        <w:rPr>
          <w:rFonts w:hint="eastAsia"/>
          <w:color w:val="000000"/>
          <w:szCs w:val="21"/>
        </w:rPr>
        <w:t>7、表中2.2.4（5）设计标的评分内容适用于房屋建筑工程，市政工程等其他类型的工程视项目具体情况做相应调整，“设计标”为暗标。</w:t>
      </w:r>
    </w:p>
    <w:p>
      <w:pPr>
        <w:pStyle w:val="3"/>
        <w:jc w:val="center"/>
        <w:rPr>
          <w:rFonts w:hint="eastAsia"/>
          <w:color w:val="000000"/>
          <w:sz w:val="28"/>
          <w:szCs w:val="28"/>
        </w:rPr>
      </w:pPr>
      <w:r>
        <w:rPr>
          <w:color w:val="000000"/>
        </w:rPr>
        <w:br w:type="page"/>
      </w:r>
      <w:bookmarkStart w:id="574" w:name="_Toc59203019"/>
      <w:r>
        <w:rPr>
          <w:rFonts w:hint="eastAsia"/>
          <w:color w:val="000000"/>
          <w:sz w:val="28"/>
          <w:szCs w:val="28"/>
        </w:rPr>
        <w:t>评标办法正文部分</w:t>
      </w:r>
      <w:bookmarkEnd w:id="574"/>
    </w:p>
    <w:p>
      <w:pPr>
        <w:pStyle w:val="4"/>
        <w:rPr>
          <w:color w:val="000000"/>
        </w:rPr>
      </w:pPr>
      <w:bookmarkStart w:id="575" w:name="_Toc419364312"/>
      <w:bookmarkStart w:id="576" w:name="_Toc419321221"/>
      <w:bookmarkStart w:id="577" w:name="_Toc433988655"/>
      <w:bookmarkStart w:id="578" w:name="_Toc59203020"/>
      <w:bookmarkStart w:id="579" w:name="_Toc419320185"/>
      <w:bookmarkStart w:id="580" w:name="_Toc419363614"/>
      <w:r>
        <w:rPr>
          <w:rFonts w:hint="eastAsia"/>
          <w:color w:val="000000"/>
        </w:rPr>
        <w:t>1. 评标方法</w:t>
      </w:r>
      <w:bookmarkEnd w:id="575"/>
      <w:bookmarkEnd w:id="576"/>
      <w:bookmarkEnd w:id="577"/>
      <w:bookmarkEnd w:id="578"/>
      <w:bookmarkEnd w:id="579"/>
      <w:bookmarkEnd w:id="580"/>
    </w:p>
    <w:p>
      <w:pPr>
        <w:spacing w:line="400" w:lineRule="exact"/>
        <w:ind w:firstLine="420" w:firstLineChars="200"/>
        <w:rPr>
          <w:color w:val="000000"/>
        </w:rPr>
      </w:pPr>
      <w:r>
        <w:rPr>
          <w:rFonts w:hint="eastAsia"/>
          <w:color w:val="000000"/>
        </w:rPr>
        <w:t>本次评标采用综合评估法。评标委员会对满足招标文件实质性要求的投标文件，按照本章“评标办法前附表”第2.1、2.2款规定的评分标准进行打分，并按综合得分由高到低顺序推荐中标候选人，或根据招标人授权直接确定中标人，但投标报价低于其成本的除外。综合评分相等时，以投标报价低的优先；投标价也相等时，以企业信誉实力分高的优先；企业信誉实力分也相等的，以企业用于该项工程投标的资质高的优先；企业用于该项工程投标的资质也相等的，以技术标得分高的优先；技术标也相等的，以设计标得分高的优先；设计标得分也相等的，由评标委员会采用记名投票方式确定。</w:t>
      </w:r>
    </w:p>
    <w:p>
      <w:pPr>
        <w:pStyle w:val="4"/>
        <w:rPr>
          <w:color w:val="000000"/>
        </w:rPr>
      </w:pPr>
      <w:bookmarkStart w:id="581" w:name="_Toc419364313"/>
      <w:bookmarkStart w:id="582" w:name="_Toc419363615"/>
      <w:bookmarkStart w:id="583" w:name="_Toc433988656"/>
      <w:bookmarkStart w:id="584" w:name="_Toc59203021"/>
      <w:bookmarkStart w:id="585" w:name="_Toc419321222"/>
      <w:bookmarkStart w:id="586" w:name="_Toc419320186"/>
      <w:r>
        <w:rPr>
          <w:rFonts w:hint="eastAsia"/>
          <w:color w:val="000000"/>
        </w:rPr>
        <w:t>2. 评审标准</w:t>
      </w:r>
      <w:bookmarkEnd w:id="581"/>
      <w:bookmarkEnd w:id="582"/>
      <w:bookmarkEnd w:id="583"/>
      <w:bookmarkEnd w:id="584"/>
      <w:bookmarkEnd w:id="585"/>
      <w:bookmarkEnd w:id="586"/>
    </w:p>
    <w:p>
      <w:pPr>
        <w:pStyle w:val="5"/>
        <w:rPr>
          <w:color w:val="000000"/>
        </w:rPr>
      </w:pPr>
      <w:bookmarkStart w:id="587" w:name="_Toc419321223"/>
      <w:bookmarkStart w:id="588" w:name="_Toc419320187"/>
      <w:bookmarkStart w:id="589" w:name="_Toc419363616"/>
      <w:bookmarkStart w:id="590" w:name="_Toc433988657"/>
      <w:bookmarkStart w:id="591" w:name="_Toc419364314"/>
      <w:r>
        <w:rPr>
          <w:rFonts w:hint="eastAsia"/>
          <w:color w:val="000000"/>
        </w:rPr>
        <w:t>2.1 初步评审标准</w:t>
      </w:r>
      <w:bookmarkEnd w:id="587"/>
      <w:bookmarkEnd w:id="588"/>
      <w:bookmarkEnd w:id="589"/>
      <w:bookmarkEnd w:id="590"/>
      <w:bookmarkEnd w:id="591"/>
    </w:p>
    <w:p>
      <w:pPr>
        <w:spacing w:line="400" w:lineRule="exact"/>
        <w:ind w:firstLine="420" w:firstLineChars="200"/>
        <w:rPr>
          <w:color w:val="000000"/>
        </w:rPr>
      </w:pPr>
      <w:r>
        <w:rPr>
          <w:rFonts w:hint="eastAsia"/>
          <w:color w:val="000000"/>
        </w:rPr>
        <w:t>2.1.1资格评审标准：见评标办法前附表。</w:t>
      </w:r>
    </w:p>
    <w:p>
      <w:pPr>
        <w:spacing w:line="400" w:lineRule="exact"/>
        <w:ind w:firstLine="420" w:firstLineChars="200"/>
        <w:rPr>
          <w:color w:val="000000"/>
        </w:rPr>
      </w:pPr>
      <w:r>
        <w:rPr>
          <w:rFonts w:hint="eastAsia"/>
          <w:color w:val="000000"/>
        </w:rPr>
        <w:t>2.1.2形式评审标准：见评标办法前附表。</w:t>
      </w:r>
    </w:p>
    <w:p>
      <w:pPr>
        <w:spacing w:line="400" w:lineRule="exact"/>
        <w:ind w:firstLine="420" w:firstLineChars="200"/>
        <w:rPr>
          <w:color w:val="000000"/>
        </w:rPr>
      </w:pPr>
      <w:r>
        <w:rPr>
          <w:rFonts w:hint="eastAsia"/>
          <w:color w:val="000000"/>
        </w:rPr>
        <w:t>2.1.3 响应性评审标准：见评标办法前附表。</w:t>
      </w:r>
    </w:p>
    <w:p>
      <w:pPr>
        <w:pStyle w:val="5"/>
        <w:rPr>
          <w:color w:val="000000"/>
        </w:rPr>
      </w:pPr>
      <w:bookmarkStart w:id="592" w:name="_Toc419321224"/>
      <w:bookmarkStart w:id="593" w:name="_Toc419363617"/>
      <w:bookmarkStart w:id="594" w:name="_Toc419320188"/>
      <w:bookmarkStart w:id="595" w:name="_Toc419364315"/>
      <w:bookmarkStart w:id="596" w:name="_Toc433988658"/>
      <w:r>
        <w:rPr>
          <w:rFonts w:hint="eastAsia"/>
          <w:color w:val="000000"/>
        </w:rPr>
        <w:t>2.2 分值构成与评分标准</w:t>
      </w:r>
      <w:bookmarkEnd w:id="592"/>
      <w:bookmarkEnd w:id="593"/>
      <w:bookmarkEnd w:id="594"/>
      <w:bookmarkEnd w:id="595"/>
      <w:bookmarkEnd w:id="596"/>
    </w:p>
    <w:p>
      <w:pPr>
        <w:spacing w:line="400" w:lineRule="exact"/>
        <w:ind w:firstLine="420" w:firstLineChars="200"/>
        <w:rPr>
          <w:color w:val="000000"/>
        </w:rPr>
      </w:pPr>
      <w:r>
        <w:rPr>
          <w:rFonts w:hint="eastAsia"/>
          <w:color w:val="000000"/>
        </w:rPr>
        <w:t>2.2.1 分值构成</w:t>
      </w:r>
    </w:p>
    <w:p>
      <w:pPr>
        <w:spacing w:line="440" w:lineRule="exact"/>
        <w:ind w:firstLine="420" w:firstLineChars="200"/>
        <w:rPr>
          <w:color w:val="000000"/>
          <w:szCs w:val="21"/>
        </w:rPr>
      </w:pPr>
      <w:r>
        <w:rPr>
          <w:rFonts w:hint="eastAsia"/>
          <w:color w:val="000000"/>
        </w:rPr>
        <w:t>（1）</w:t>
      </w:r>
      <w:r>
        <w:rPr>
          <w:rFonts w:hint="eastAsia"/>
          <w:color w:val="000000"/>
          <w:szCs w:val="21"/>
        </w:rPr>
        <w:t>工程总承包工作大纲</w:t>
      </w:r>
      <w:r>
        <w:rPr>
          <w:rFonts w:hint="eastAsia"/>
          <w:color w:val="000000"/>
        </w:rPr>
        <w:t>：见评标办法前附表；</w:t>
      </w:r>
    </w:p>
    <w:p>
      <w:pPr>
        <w:spacing w:line="440" w:lineRule="exact"/>
        <w:ind w:firstLine="420" w:firstLineChars="200"/>
        <w:rPr>
          <w:rFonts w:hint="eastAsia"/>
          <w:color w:val="000000"/>
          <w:szCs w:val="21"/>
        </w:rPr>
      </w:pPr>
      <w:r>
        <w:rPr>
          <w:rFonts w:hint="eastAsia"/>
          <w:color w:val="000000"/>
        </w:rPr>
        <w:t>（2）</w:t>
      </w:r>
      <w:r>
        <w:rPr>
          <w:rFonts w:hint="eastAsia"/>
          <w:color w:val="000000"/>
          <w:szCs w:val="21"/>
        </w:rPr>
        <w:t>施工组织设计</w:t>
      </w:r>
      <w:r>
        <w:rPr>
          <w:rFonts w:hint="eastAsia"/>
          <w:color w:val="000000"/>
        </w:rPr>
        <w:t>：见评标办法前附表；</w:t>
      </w:r>
    </w:p>
    <w:p>
      <w:pPr>
        <w:spacing w:line="440" w:lineRule="exact"/>
        <w:ind w:firstLine="420" w:firstLineChars="200"/>
        <w:rPr>
          <w:color w:val="000000"/>
          <w:szCs w:val="21"/>
        </w:rPr>
      </w:pPr>
      <w:r>
        <w:rPr>
          <w:rFonts w:hint="eastAsia"/>
          <w:color w:val="000000"/>
        </w:rPr>
        <w:t>（3）</w:t>
      </w:r>
      <w:r>
        <w:rPr>
          <w:rFonts w:hint="eastAsia"/>
          <w:color w:val="000000"/>
          <w:szCs w:val="21"/>
        </w:rPr>
        <w:t>资信业绩</w:t>
      </w:r>
      <w:r>
        <w:rPr>
          <w:rFonts w:hint="eastAsia"/>
          <w:color w:val="000000"/>
        </w:rPr>
        <w:t>：见评标办法前附表；</w:t>
      </w:r>
    </w:p>
    <w:p>
      <w:pPr>
        <w:spacing w:line="440" w:lineRule="exact"/>
        <w:ind w:firstLine="420" w:firstLineChars="200"/>
        <w:rPr>
          <w:color w:val="000000"/>
          <w:szCs w:val="21"/>
        </w:rPr>
      </w:pPr>
      <w:r>
        <w:rPr>
          <w:rFonts w:hint="eastAsia"/>
          <w:color w:val="000000"/>
        </w:rPr>
        <w:t>（4）</w:t>
      </w:r>
      <w:r>
        <w:rPr>
          <w:rFonts w:hint="eastAsia"/>
          <w:color w:val="000000"/>
          <w:szCs w:val="21"/>
        </w:rPr>
        <w:t>商务标</w:t>
      </w:r>
      <w:r>
        <w:rPr>
          <w:rFonts w:hint="eastAsia"/>
          <w:color w:val="000000"/>
        </w:rPr>
        <w:t>：见评标办法前附表；</w:t>
      </w:r>
    </w:p>
    <w:p>
      <w:pPr>
        <w:spacing w:line="400" w:lineRule="exact"/>
        <w:ind w:firstLine="420" w:firstLineChars="200"/>
        <w:rPr>
          <w:rFonts w:hint="eastAsia"/>
          <w:color w:val="000000"/>
        </w:rPr>
      </w:pPr>
      <w:r>
        <w:rPr>
          <w:rFonts w:hint="eastAsia"/>
          <w:color w:val="000000"/>
        </w:rPr>
        <w:t>（5）</w:t>
      </w:r>
      <w:r>
        <w:rPr>
          <w:rFonts w:hint="eastAsia"/>
          <w:color w:val="000000"/>
          <w:szCs w:val="21"/>
        </w:rPr>
        <w:t>设计标</w:t>
      </w:r>
      <w:r>
        <w:rPr>
          <w:rFonts w:hint="eastAsia"/>
          <w:color w:val="000000"/>
        </w:rPr>
        <w:t>：见评标办法前附表。</w:t>
      </w:r>
    </w:p>
    <w:p>
      <w:pPr>
        <w:spacing w:line="400" w:lineRule="exact"/>
        <w:ind w:firstLine="437"/>
        <w:rPr>
          <w:color w:val="000000"/>
          <w:szCs w:val="21"/>
        </w:rPr>
      </w:pPr>
      <w:r>
        <w:rPr>
          <w:rFonts w:hint="eastAsia"/>
          <w:color w:val="000000"/>
        </w:rPr>
        <w:t>备注：“</w:t>
      </w:r>
      <w:r>
        <w:rPr>
          <w:rFonts w:hint="eastAsia"/>
          <w:color w:val="000000"/>
          <w:szCs w:val="21"/>
        </w:rPr>
        <w:t>工程总承包工作大纲”与“施工组织设计”共同组成“技术标”，该两项得分之和即为“技术标”得分。</w:t>
      </w:r>
    </w:p>
    <w:p>
      <w:pPr>
        <w:spacing w:line="400" w:lineRule="exact"/>
        <w:ind w:firstLine="420" w:firstLineChars="200"/>
        <w:rPr>
          <w:color w:val="000000"/>
        </w:rPr>
      </w:pPr>
      <w:r>
        <w:rPr>
          <w:rFonts w:hint="eastAsia"/>
          <w:color w:val="000000"/>
        </w:rPr>
        <w:t>2.2.2 评标基准价计算</w:t>
      </w:r>
    </w:p>
    <w:p>
      <w:pPr>
        <w:spacing w:line="400" w:lineRule="exact"/>
        <w:ind w:firstLine="420" w:firstLineChars="200"/>
        <w:rPr>
          <w:color w:val="000000"/>
        </w:rPr>
      </w:pPr>
      <w:r>
        <w:rPr>
          <w:rFonts w:hint="eastAsia"/>
          <w:color w:val="000000"/>
        </w:rPr>
        <w:t>评标基准价计算方法：见评标办法前附表。</w:t>
      </w:r>
    </w:p>
    <w:p>
      <w:pPr>
        <w:spacing w:line="400" w:lineRule="exact"/>
        <w:ind w:firstLine="420" w:firstLineChars="200"/>
        <w:rPr>
          <w:color w:val="000000"/>
        </w:rPr>
      </w:pPr>
      <w:r>
        <w:rPr>
          <w:rFonts w:hint="eastAsia"/>
          <w:color w:val="000000"/>
        </w:rPr>
        <w:t>2.2.3 投标报价的偏差率计算</w:t>
      </w:r>
    </w:p>
    <w:p>
      <w:pPr>
        <w:spacing w:line="400" w:lineRule="exact"/>
        <w:ind w:firstLine="420" w:firstLineChars="200"/>
        <w:rPr>
          <w:color w:val="000000"/>
        </w:rPr>
      </w:pPr>
      <w:r>
        <w:rPr>
          <w:rFonts w:hint="eastAsia"/>
          <w:color w:val="000000"/>
        </w:rPr>
        <w:t>投标报价的偏差率计算公式：见评标办法前附表。</w:t>
      </w:r>
    </w:p>
    <w:p>
      <w:pPr>
        <w:spacing w:line="400" w:lineRule="exact"/>
        <w:ind w:firstLine="420" w:firstLineChars="200"/>
        <w:rPr>
          <w:color w:val="000000"/>
        </w:rPr>
      </w:pPr>
      <w:r>
        <w:rPr>
          <w:rFonts w:hint="eastAsia"/>
          <w:color w:val="000000"/>
        </w:rPr>
        <w:t>2.2.4 评分标准</w:t>
      </w:r>
    </w:p>
    <w:p>
      <w:pPr>
        <w:spacing w:line="400" w:lineRule="exact"/>
        <w:ind w:firstLine="420" w:firstLineChars="200"/>
        <w:rPr>
          <w:color w:val="000000"/>
        </w:rPr>
      </w:pPr>
      <w:r>
        <w:rPr>
          <w:rFonts w:hint="eastAsia"/>
          <w:color w:val="000000"/>
        </w:rPr>
        <w:t>（1）</w:t>
      </w:r>
      <w:r>
        <w:rPr>
          <w:rFonts w:hint="eastAsia"/>
          <w:color w:val="000000"/>
          <w:szCs w:val="21"/>
        </w:rPr>
        <w:t>工程总承包工作大纲</w:t>
      </w:r>
      <w:r>
        <w:rPr>
          <w:rFonts w:hint="eastAsia"/>
          <w:color w:val="000000"/>
        </w:rPr>
        <w:t>评分标准：见评标办法前附表；</w:t>
      </w:r>
    </w:p>
    <w:p>
      <w:pPr>
        <w:spacing w:line="400" w:lineRule="exact"/>
        <w:ind w:firstLine="420" w:firstLineChars="200"/>
        <w:rPr>
          <w:rFonts w:hint="eastAsia"/>
          <w:color w:val="000000"/>
        </w:rPr>
      </w:pPr>
      <w:r>
        <w:rPr>
          <w:rFonts w:hint="eastAsia"/>
          <w:color w:val="000000"/>
        </w:rPr>
        <w:t>（2）</w:t>
      </w:r>
      <w:r>
        <w:rPr>
          <w:rFonts w:hint="eastAsia"/>
          <w:color w:val="000000"/>
          <w:szCs w:val="21"/>
        </w:rPr>
        <w:t>施工组织设计</w:t>
      </w:r>
      <w:r>
        <w:rPr>
          <w:rFonts w:hint="eastAsia"/>
          <w:color w:val="000000"/>
        </w:rPr>
        <w:t>评分标准：见评标办法前附表；</w:t>
      </w:r>
    </w:p>
    <w:p>
      <w:pPr>
        <w:spacing w:line="400" w:lineRule="exact"/>
        <w:ind w:firstLine="420" w:firstLineChars="200"/>
        <w:rPr>
          <w:rFonts w:hint="eastAsia"/>
          <w:color w:val="000000"/>
        </w:rPr>
      </w:pPr>
      <w:r>
        <w:rPr>
          <w:rFonts w:hint="eastAsia"/>
          <w:color w:val="000000"/>
        </w:rPr>
        <w:t>（3）</w:t>
      </w:r>
      <w:r>
        <w:rPr>
          <w:rFonts w:hint="eastAsia"/>
          <w:color w:val="000000"/>
          <w:szCs w:val="21"/>
        </w:rPr>
        <w:t>资信业绩</w:t>
      </w:r>
      <w:r>
        <w:rPr>
          <w:rFonts w:hint="eastAsia"/>
          <w:color w:val="000000"/>
        </w:rPr>
        <w:t>评分标准：见评标办法前附表；</w:t>
      </w:r>
    </w:p>
    <w:p>
      <w:pPr>
        <w:spacing w:line="400" w:lineRule="exact"/>
        <w:ind w:firstLine="420" w:firstLineChars="200"/>
        <w:rPr>
          <w:rFonts w:hint="eastAsia"/>
          <w:color w:val="000000"/>
        </w:rPr>
      </w:pPr>
      <w:r>
        <w:rPr>
          <w:rFonts w:hint="eastAsia"/>
          <w:color w:val="000000"/>
        </w:rPr>
        <w:t>（4）</w:t>
      </w:r>
      <w:r>
        <w:rPr>
          <w:rFonts w:hint="eastAsia"/>
          <w:color w:val="000000"/>
          <w:szCs w:val="21"/>
        </w:rPr>
        <w:t>商务标</w:t>
      </w:r>
      <w:r>
        <w:rPr>
          <w:rFonts w:hint="eastAsia"/>
          <w:color w:val="000000"/>
        </w:rPr>
        <w:t>评分标准：见评标办法前附表；</w:t>
      </w:r>
    </w:p>
    <w:p>
      <w:pPr>
        <w:spacing w:line="400" w:lineRule="exact"/>
        <w:ind w:firstLine="420" w:firstLineChars="200"/>
        <w:rPr>
          <w:color w:val="000000"/>
        </w:rPr>
      </w:pPr>
      <w:r>
        <w:rPr>
          <w:rFonts w:hint="eastAsia"/>
          <w:color w:val="000000"/>
        </w:rPr>
        <w:t>（5）设计标评分标准：见评标办法前附表。</w:t>
      </w:r>
    </w:p>
    <w:p>
      <w:pPr>
        <w:pStyle w:val="4"/>
        <w:rPr>
          <w:color w:val="000000"/>
        </w:rPr>
      </w:pPr>
      <w:bookmarkStart w:id="597" w:name="_Toc419320189"/>
      <w:bookmarkStart w:id="598" w:name="_Toc419321225"/>
      <w:bookmarkStart w:id="599" w:name="_Toc419364316"/>
      <w:bookmarkStart w:id="600" w:name="_Toc419363618"/>
      <w:bookmarkStart w:id="601" w:name="_Toc433988659"/>
      <w:bookmarkStart w:id="602" w:name="_Toc59203022"/>
      <w:r>
        <w:rPr>
          <w:rFonts w:hint="eastAsia"/>
          <w:color w:val="000000"/>
        </w:rPr>
        <w:t>3. 评标程序</w:t>
      </w:r>
      <w:bookmarkEnd w:id="597"/>
      <w:bookmarkEnd w:id="598"/>
      <w:bookmarkEnd w:id="599"/>
      <w:bookmarkEnd w:id="600"/>
      <w:bookmarkEnd w:id="601"/>
      <w:bookmarkEnd w:id="602"/>
    </w:p>
    <w:p>
      <w:pPr>
        <w:pStyle w:val="5"/>
        <w:rPr>
          <w:color w:val="000000"/>
        </w:rPr>
      </w:pPr>
      <w:bookmarkStart w:id="603" w:name="_Toc433988660"/>
      <w:bookmarkStart w:id="604" w:name="_Toc419320190"/>
      <w:bookmarkStart w:id="605" w:name="_Toc419321226"/>
      <w:bookmarkStart w:id="606" w:name="_Toc419363619"/>
      <w:bookmarkStart w:id="607" w:name="_Toc419364317"/>
      <w:r>
        <w:rPr>
          <w:rFonts w:hint="eastAsia"/>
          <w:color w:val="000000"/>
        </w:rPr>
        <w:t>3.1 初步评审</w:t>
      </w:r>
      <w:bookmarkEnd w:id="603"/>
      <w:bookmarkEnd w:id="604"/>
      <w:bookmarkEnd w:id="605"/>
      <w:bookmarkEnd w:id="606"/>
      <w:bookmarkEnd w:id="607"/>
    </w:p>
    <w:p>
      <w:pPr>
        <w:spacing w:line="400" w:lineRule="exact"/>
        <w:ind w:firstLine="420" w:firstLineChars="200"/>
        <w:rPr>
          <w:color w:val="000000"/>
        </w:rPr>
      </w:pPr>
      <w:r>
        <w:rPr>
          <w:rFonts w:hint="eastAsia"/>
          <w:color w:val="000000"/>
        </w:rPr>
        <w:t>3.1.1 评标委员会可以要求投标人提交第二章“投标人须知”第</w:t>
      </w:r>
      <w:r>
        <w:rPr>
          <w:color w:val="000000"/>
        </w:rPr>
        <w:t>1</w:t>
      </w:r>
      <w:r>
        <w:rPr>
          <w:rFonts w:hint="eastAsia"/>
          <w:color w:val="000000"/>
        </w:rPr>
        <w:t>.</w:t>
      </w:r>
      <w:r>
        <w:rPr>
          <w:color w:val="000000"/>
        </w:rPr>
        <w:t>4</w:t>
      </w:r>
      <w:r>
        <w:rPr>
          <w:rFonts w:hint="eastAsia"/>
          <w:color w:val="000000"/>
        </w:rPr>
        <w:t>.1项至第3.</w:t>
      </w:r>
      <w:r>
        <w:rPr>
          <w:color w:val="000000"/>
        </w:rPr>
        <w:t>5</w:t>
      </w:r>
      <w:r>
        <w:rPr>
          <w:rFonts w:hint="eastAsia"/>
          <w:color w:val="000000"/>
        </w:rPr>
        <w:t>项规定的有关证明和证件的原件，以便核验。评标委员会依据本章第2.1款规定的标准对投标文件进行初步评审。有一项不符合评审标准的，评标委员会应当否决其投标。</w:t>
      </w:r>
    </w:p>
    <w:p>
      <w:pPr>
        <w:spacing w:line="400" w:lineRule="exact"/>
        <w:ind w:firstLine="420" w:firstLineChars="200"/>
        <w:rPr>
          <w:color w:val="000000"/>
        </w:rPr>
      </w:pPr>
      <w:r>
        <w:rPr>
          <w:rFonts w:hint="eastAsia"/>
          <w:color w:val="000000"/>
        </w:rPr>
        <w:t>3.1.2 投标人有以下情形之一的，评标委员会应当否决其投标：</w:t>
      </w:r>
    </w:p>
    <w:p>
      <w:pPr>
        <w:spacing w:line="400" w:lineRule="exact"/>
        <w:ind w:firstLine="420" w:firstLineChars="200"/>
        <w:rPr>
          <w:color w:val="000000"/>
        </w:rPr>
      </w:pPr>
      <w:r>
        <w:rPr>
          <w:rFonts w:hint="eastAsia"/>
          <w:color w:val="000000"/>
        </w:rPr>
        <w:t>（1）第二章“投标人须知”第1.4.</w:t>
      </w:r>
      <w:r>
        <w:rPr>
          <w:color w:val="000000"/>
        </w:rPr>
        <w:t>2</w:t>
      </w:r>
      <w:r>
        <w:rPr>
          <w:rFonts w:hint="eastAsia"/>
          <w:color w:val="000000"/>
        </w:rPr>
        <w:t>项、第1.4.3项规定的任何一种情形的；</w:t>
      </w:r>
    </w:p>
    <w:p>
      <w:pPr>
        <w:spacing w:line="400" w:lineRule="exact"/>
        <w:ind w:firstLine="420" w:firstLineChars="200"/>
        <w:rPr>
          <w:color w:val="000000"/>
        </w:rPr>
      </w:pPr>
      <w:r>
        <w:rPr>
          <w:rFonts w:hint="eastAsia"/>
          <w:color w:val="000000"/>
        </w:rPr>
        <w:t>（2）串通投标或弄虚作假或有其他违法行为的；</w:t>
      </w:r>
    </w:p>
    <w:p>
      <w:pPr>
        <w:spacing w:line="400" w:lineRule="exact"/>
        <w:ind w:firstLine="420" w:firstLineChars="200"/>
        <w:rPr>
          <w:rFonts w:hint="eastAsia" w:ascii="宋体" w:hAnsi="宋体"/>
          <w:color w:val="000000"/>
        </w:rPr>
      </w:pPr>
      <w:r>
        <w:rPr>
          <w:rFonts w:hint="eastAsia"/>
          <w:color w:val="000000"/>
        </w:rPr>
        <w:t>（3）不按评标委员会要求澄清、说明或补正的。</w:t>
      </w:r>
      <w:r>
        <w:rPr>
          <w:rFonts w:ascii="宋体" w:hAnsi="宋体"/>
          <w:color w:val="000000"/>
        </w:rPr>
        <w:t>在初步评审过程中，</w:t>
      </w:r>
      <w:r>
        <w:rPr>
          <w:rFonts w:hint="eastAsia"/>
          <w:color w:val="000000"/>
        </w:rPr>
        <w:t>评标委员会</w:t>
      </w:r>
      <w:r>
        <w:rPr>
          <w:rFonts w:hint="eastAsia" w:ascii="宋体" w:hAnsi="宋体"/>
          <w:color w:val="000000"/>
        </w:rPr>
        <w:t>对</w:t>
      </w:r>
      <w:r>
        <w:rPr>
          <w:rFonts w:ascii="宋体" w:hAnsi="宋体"/>
          <w:color w:val="000000"/>
        </w:rPr>
        <w:t>投标文件进行基础性数据分析和整理工作（</w:t>
      </w:r>
      <w:r>
        <w:rPr>
          <w:rFonts w:hint="eastAsia" w:ascii="宋体" w:hAnsi="宋体"/>
          <w:color w:val="000000"/>
        </w:rPr>
        <w:t>即</w:t>
      </w:r>
      <w:r>
        <w:rPr>
          <w:rFonts w:ascii="宋体" w:hAnsi="宋体"/>
          <w:color w:val="000000"/>
        </w:rPr>
        <w:t>清标）</w:t>
      </w:r>
      <w:r>
        <w:rPr>
          <w:rFonts w:hint="eastAsia" w:ascii="宋体" w:hAnsi="宋体"/>
          <w:color w:val="000000"/>
        </w:rPr>
        <w:t>时发现</w:t>
      </w:r>
      <w:r>
        <w:rPr>
          <w:rFonts w:ascii="宋体" w:hAnsi="宋体"/>
          <w:color w:val="000000"/>
        </w:rPr>
        <w:t>投标文件</w:t>
      </w:r>
      <w:r>
        <w:rPr>
          <w:rFonts w:hint="eastAsia" w:ascii="宋体" w:hAnsi="宋体"/>
          <w:color w:val="000000"/>
        </w:rPr>
        <w:t>存在以下问题，应要求</w:t>
      </w:r>
      <w:r>
        <w:rPr>
          <w:rFonts w:ascii="宋体" w:hAnsi="宋体"/>
          <w:color w:val="000000"/>
        </w:rPr>
        <w:t>投标人予以澄清、说明或者</w:t>
      </w:r>
      <w:r>
        <w:rPr>
          <w:rFonts w:hint="eastAsia" w:ascii="宋体" w:hAnsi="宋体"/>
          <w:color w:val="000000"/>
        </w:rPr>
        <w:t>修</w:t>
      </w:r>
      <w:r>
        <w:rPr>
          <w:rFonts w:ascii="宋体" w:hAnsi="宋体"/>
          <w:color w:val="000000"/>
        </w:rPr>
        <w:t>正</w:t>
      </w:r>
      <w:r>
        <w:rPr>
          <w:rFonts w:hint="eastAsia" w:ascii="宋体" w:hAnsi="宋体"/>
          <w:color w:val="000000"/>
        </w:rPr>
        <w:t>：</w:t>
      </w:r>
    </w:p>
    <w:p>
      <w:pPr>
        <w:spacing w:line="400" w:lineRule="exact"/>
        <w:ind w:firstLine="420" w:firstLineChars="200"/>
        <w:rPr>
          <w:rFonts w:hint="eastAsia"/>
          <w:color w:val="000000"/>
        </w:rPr>
      </w:pPr>
      <w:r>
        <w:rPr>
          <w:color w:val="000000"/>
        </w:rPr>
        <w:fldChar w:fldCharType="begin"/>
      </w:r>
      <w:r>
        <w:rPr>
          <w:color w:val="000000"/>
        </w:rPr>
        <w:instrText xml:space="preserve"> </w:instrText>
      </w:r>
      <w:r>
        <w:rPr>
          <w:rFonts w:hint="eastAsia"/>
          <w:color w:val="000000"/>
        </w:rPr>
        <w:instrText xml:space="preserve">= 1 \* GB3</w:instrText>
      </w:r>
      <w:r>
        <w:rPr>
          <w:color w:val="000000"/>
        </w:rPr>
        <w:instrText xml:space="preserve"> </w:instrText>
      </w:r>
      <w:r>
        <w:rPr>
          <w:color w:val="000000"/>
        </w:rPr>
        <w:fldChar w:fldCharType="separate"/>
      </w:r>
      <w:r>
        <w:rPr>
          <w:rFonts w:hint="eastAsia"/>
          <w:color w:val="000000"/>
          <w:lang/>
        </w:rPr>
        <w:t>①</w:t>
      </w:r>
      <w:r>
        <w:rPr>
          <w:color w:val="000000"/>
        </w:rPr>
        <w:fldChar w:fldCharType="end"/>
      </w:r>
      <w:r>
        <w:rPr>
          <w:rFonts w:ascii="宋体" w:hAnsi="宋体"/>
          <w:color w:val="000000"/>
        </w:rPr>
        <w:t>投标文件中</w:t>
      </w:r>
      <w:r>
        <w:rPr>
          <w:rFonts w:hint="eastAsia" w:ascii="宋体" w:hAnsi="宋体"/>
          <w:color w:val="000000"/>
        </w:rPr>
        <w:t>有</w:t>
      </w:r>
      <w:r>
        <w:rPr>
          <w:rFonts w:ascii="宋体" w:hAnsi="宋体"/>
          <w:color w:val="000000"/>
        </w:rPr>
        <w:t>不明确的内容</w:t>
      </w:r>
      <w:r>
        <w:rPr>
          <w:rFonts w:hint="eastAsia" w:ascii="宋体" w:hAnsi="宋体"/>
          <w:color w:val="000000"/>
        </w:rPr>
        <w:t>，</w:t>
      </w:r>
      <w:r>
        <w:rPr>
          <w:rFonts w:ascii="宋体" w:hAnsi="宋体"/>
          <w:color w:val="000000"/>
        </w:rPr>
        <w:t>投标人应当根据问题澄清通知要求，以书面形式予以澄清、说明。</w:t>
      </w:r>
    </w:p>
    <w:p>
      <w:pPr>
        <w:spacing w:line="400" w:lineRule="exact"/>
        <w:ind w:firstLine="420" w:firstLineChars="200"/>
        <w:rPr>
          <w:color w:val="000000"/>
        </w:rPr>
      </w:pPr>
      <w:r>
        <w:rPr>
          <w:rFonts w:ascii="宋体" w:hAnsi="宋体"/>
          <w:color w:val="000000"/>
        </w:rPr>
        <w:fldChar w:fldCharType="begin"/>
      </w:r>
      <w:r>
        <w:rPr>
          <w:rFonts w:ascii="宋体" w:hAnsi="宋体"/>
          <w:color w:val="000000"/>
        </w:rPr>
        <w:instrText xml:space="preserve"> </w:instrText>
      </w:r>
      <w:r>
        <w:rPr>
          <w:rFonts w:hint="eastAsia" w:ascii="宋体" w:hAnsi="宋体"/>
          <w:color w:val="000000"/>
        </w:rPr>
        <w:instrText xml:space="preserve">= 2 \* GB3</w:instrText>
      </w:r>
      <w:r>
        <w:rPr>
          <w:rFonts w:ascii="宋体" w:hAnsi="宋体"/>
          <w:color w:val="000000"/>
        </w:rPr>
        <w:instrText xml:space="preserve"> </w:instrText>
      </w:r>
      <w:r>
        <w:rPr>
          <w:rFonts w:ascii="宋体" w:hAnsi="宋体"/>
          <w:color w:val="000000"/>
        </w:rPr>
        <w:fldChar w:fldCharType="separate"/>
      </w:r>
      <w:r>
        <w:rPr>
          <w:rFonts w:hint="eastAsia" w:ascii="宋体" w:hAnsi="宋体"/>
          <w:color w:val="000000"/>
          <w:lang/>
        </w:rPr>
        <w:t>②</w:t>
      </w:r>
      <w:r>
        <w:rPr>
          <w:rFonts w:ascii="宋体" w:hAnsi="宋体"/>
          <w:color w:val="000000"/>
        </w:rPr>
        <w:fldChar w:fldCharType="end"/>
      </w:r>
      <w:r>
        <w:rPr>
          <w:rFonts w:hint="eastAsia"/>
          <w:color w:val="000000"/>
        </w:rPr>
        <w:t>投标报价有算术错误的，评标委员会按以下原则对投标报价进行修正，其中：.投标文件中的大写金额与小写金额不一致的，以大写金额为准；.总价金额与依据单价计算出的结果不一致的，以单价金额为准修正总价，但单价金额小数点有明显错误的除外。修正的价格经投标人书面确认后具有约束力。</w:t>
      </w:r>
    </w:p>
    <w:p>
      <w:pPr>
        <w:spacing w:line="400" w:lineRule="exact"/>
        <w:ind w:firstLine="420" w:firstLineChars="200"/>
        <w:rPr>
          <w:rFonts w:ascii="宋体" w:hAnsi="宋体"/>
          <w:color w:val="000000"/>
        </w:rPr>
      </w:pPr>
      <w:r>
        <w:rPr>
          <w:rFonts w:ascii="宋体" w:hAnsi="宋体"/>
          <w:color w:val="000000"/>
        </w:rPr>
        <w:fldChar w:fldCharType="begin"/>
      </w:r>
      <w:r>
        <w:rPr>
          <w:rFonts w:ascii="宋体" w:hAnsi="宋体"/>
          <w:color w:val="000000"/>
        </w:rPr>
        <w:instrText xml:space="preserve"> </w:instrText>
      </w:r>
      <w:r>
        <w:rPr>
          <w:rFonts w:hint="eastAsia" w:ascii="宋体" w:hAnsi="宋体"/>
          <w:color w:val="000000"/>
        </w:rPr>
        <w:instrText xml:space="preserve">= 3 \* GB3</w:instrText>
      </w:r>
      <w:r>
        <w:rPr>
          <w:rFonts w:ascii="宋体" w:hAnsi="宋体"/>
          <w:color w:val="000000"/>
        </w:rPr>
        <w:instrText xml:space="preserve"> </w:instrText>
      </w:r>
      <w:r>
        <w:rPr>
          <w:rFonts w:ascii="宋体" w:hAnsi="宋体"/>
          <w:color w:val="000000"/>
        </w:rPr>
        <w:fldChar w:fldCharType="separate"/>
      </w:r>
      <w:r>
        <w:rPr>
          <w:rFonts w:hint="eastAsia" w:ascii="宋体" w:hAnsi="宋体"/>
          <w:color w:val="000000"/>
          <w:lang/>
        </w:rPr>
        <w:t>③</w:t>
      </w:r>
      <w:r>
        <w:rPr>
          <w:rFonts w:ascii="宋体" w:hAnsi="宋体"/>
          <w:color w:val="000000"/>
        </w:rPr>
        <w:fldChar w:fldCharType="end"/>
      </w:r>
      <w:r>
        <w:rPr>
          <w:rFonts w:hint="eastAsia" w:ascii="宋体" w:hAnsi="宋体"/>
          <w:color w:val="000000"/>
        </w:rPr>
        <w:t>评委会对投标报价中存在严重不平衡报价清单提出修正要求，但不对投标总价进行修正。具体可参照招标控制价及其他投标人合理报价进行修正清单单价，修正后的清单单价仅作为变更调整合同价款的依据。</w:t>
      </w:r>
    </w:p>
    <w:p>
      <w:pPr>
        <w:pStyle w:val="5"/>
        <w:rPr>
          <w:rFonts w:hint="eastAsia"/>
          <w:color w:val="000000"/>
        </w:rPr>
      </w:pPr>
      <w:bookmarkStart w:id="608" w:name="_Toc419364318"/>
      <w:bookmarkStart w:id="609" w:name="_Toc419320191"/>
      <w:bookmarkStart w:id="610" w:name="_Toc419363620"/>
      <w:bookmarkStart w:id="611" w:name="_Toc419321227"/>
      <w:bookmarkStart w:id="612" w:name="_Toc433988661"/>
      <w:r>
        <w:rPr>
          <w:rFonts w:hint="eastAsia"/>
          <w:color w:val="000000"/>
        </w:rPr>
        <w:t>3.2 详细评审</w:t>
      </w:r>
      <w:bookmarkEnd w:id="608"/>
      <w:bookmarkEnd w:id="609"/>
      <w:bookmarkEnd w:id="610"/>
      <w:bookmarkEnd w:id="611"/>
      <w:bookmarkEnd w:id="612"/>
    </w:p>
    <w:p>
      <w:pPr>
        <w:spacing w:line="400" w:lineRule="exact"/>
        <w:ind w:firstLine="420" w:firstLineChars="200"/>
        <w:rPr>
          <w:color w:val="000000"/>
        </w:rPr>
      </w:pPr>
      <w:r>
        <w:rPr>
          <w:rFonts w:hint="eastAsia"/>
          <w:color w:val="000000"/>
        </w:rPr>
        <w:t>3.2.1 评标委员会按本章第2.2款规定的量化因素和分值进行打分，并计算出综合评估得分。评标办法前附表对承包人建议书中的设计文件评审有特殊规定的，从其规定。</w:t>
      </w:r>
    </w:p>
    <w:p>
      <w:pPr>
        <w:spacing w:line="400" w:lineRule="exact"/>
        <w:ind w:firstLine="420" w:firstLineChars="200"/>
        <w:rPr>
          <w:color w:val="000000"/>
        </w:rPr>
      </w:pPr>
      <w:r>
        <w:rPr>
          <w:rFonts w:hint="eastAsia"/>
          <w:color w:val="000000"/>
        </w:rPr>
        <w:t>（1）按本章第2.2.4（1）目规定的评审因素和分值对</w:t>
      </w:r>
      <w:r>
        <w:rPr>
          <w:rFonts w:hint="eastAsia"/>
          <w:color w:val="000000"/>
          <w:szCs w:val="21"/>
        </w:rPr>
        <w:t>工程总承包工作大纲</w:t>
      </w:r>
      <w:r>
        <w:rPr>
          <w:rFonts w:hint="eastAsia"/>
          <w:color w:val="000000"/>
        </w:rPr>
        <w:t>计算出得分A；</w:t>
      </w:r>
      <w:r>
        <w:rPr>
          <w:color w:val="000000"/>
        </w:rPr>
        <w:t xml:space="preserve"> </w:t>
      </w:r>
    </w:p>
    <w:p>
      <w:pPr>
        <w:spacing w:line="400" w:lineRule="exact"/>
        <w:ind w:firstLine="420" w:firstLineChars="200"/>
        <w:rPr>
          <w:color w:val="000000"/>
        </w:rPr>
      </w:pPr>
      <w:r>
        <w:rPr>
          <w:rFonts w:hint="eastAsia"/>
          <w:color w:val="000000"/>
        </w:rPr>
        <w:t>（2）按本章第2.2.4（2）目规定的评审因素和分值对</w:t>
      </w:r>
      <w:r>
        <w:rPr>
          <w:rFonts w:hint="eastAsia"/>
          <w:color w:val="000000"/>
          <w:szCs w:val="21"/>
        </w:rPr>
        <w:t>施工组织设计</w:t>
      </w:r>
      <w:r>
        <w:rPr>
          <w:rFonts w:hint="eastAsia"/>
          <w:color w:val="000000"/>
        </w:rPr>
        <w:t>计算出得分B；</w:t>
      </w:r>
    </w:p>
    <w:p>
      <w:pPr>
        <w:spacing w:line="400" w:lineRule="exact"/>
        <w:ind w:firstLine="420" w:firstLineChars="200"/>
        <w:rPr>
          <w:color w:val="000000"/>
        </w:rPr>
      </w:pPr>
      <w:r>
        <w:rPr>
          <w:rFonts w:hint="eastAsia"/>
          <w:color w:val="000000"/>
        </w:rPr>
        <w:t>（3）按本章第2.2.4（3）目规定的评审因素和分值对</w:t>
      </w:r>
      <w:r>
        <w:rPr>
          <w:rFonts w:hint="eastAsia"/>
          <w:color w:val="000000"/>
          <w:szCs w:val="21"/>
        </w:rPr>
        <w:t>资信业绩</w:t>
      </w:r>
      <w:r>
        <w:rPr>
          <w:rFonts w:hint="eastAsia"/>
          <w:color w:val="000000"/>
        </w:rPr>
        <w:t>计算出得分C；</w:t>
      </w:r>
    </w:p>
    <w:p>
      <w:pPr>
        <w:spacing w:line="400" w:lineRule="exact"/>
        <w:ind w:firstLine="420" w:firstLineChars="200"/>
        <w:rPr>
          <w:rFonts w:hint="eastAsia"/>
          <w:color w:val="000000"/>
        </w:rPr>
      </w:pPr>
      <w:r>
        <w:rPr>
          <w:rFonts w:hint="eastAsia"/>
          <w:color w:val="000000"/>
        </w:rPr>
        <w:t>（4）按本章第2.2.4（4）目规定的评审因素和分值对</w:t>
      </w:r>
      <w:r>
        <w:rPr>
          <w:rFonts w:hint="eastAsia"/>
          <w:color w:val="000000"/>
          <w:szCs w:val="21"/>
        </w:rPr>
        <w:t>商务标</w:t>
      </w:r>
      <w:r>
        <w:rPr>
          <w:rFonts w:hint="eastAsia"/>
          <w:color w:val="000000"/>
        </w:rPr>
        <w:t>计算出得分D；</w:t>
      </w:r>
    </w:p>
    <w:p>
      <w:pPr>
        <w:spacing w:line="400" w:lineRule="exact"/>
        <w:ind w:firstLine="420" w:firstLineChars="200"/>
        <w:rPr>
          <w:rFonts w:hint="eastAsia"/>
          <w:color w:val="000000"/>
        </w:rPr>
      </w:pPr>
      <w:r>
        <w:rPr>
          <w:rFonts w:hint="eastAsia"/>
          <w:color w:val="000000"/>
        </w:rPr>
        <w:t>（5）按本章第2.2.4（5）目规定的评审因素和分值对</w:t>
      </w:r>
      <w:r>
        <w:rPr>
          <w:rFonts w:hint="eastAsia"/>
          <w:color w:val="000000"/>
          <w:szCs w:val="21"/>
        </w:rPr>
        <w:t>设计标</w:t>
      </w:r>
      <w:r>
        <w:rPr>
          <w:rFonts w:hint="eastAsia"/>
          <w:color w:val="000000"/>
        </w:rPr>
        <w:t>计算出得分E；</w:t>
      </w:r>
    </w:p>
    <w:p>
      <w:pPr>
        <w:spacing w:line="400" w:lineRule="exact"/>
        <w:ind w:firstLine="420" w:firstLineChars="200"/>
        <w:rPr>
          <w:color w:val="000000"/>
        </w:rPr>
      </w:pPr>
      <w:r>
        <w:rPr>
          <w:rFonts w:hint="eastAsia"/>
          <w:color w:val="000000"/>
        </w:rPr>
        <w:t>3.2.2所有过程评分分值计算保留小数点后四位，第5位四舍五入，投标人汇总得分保留小数点后四位 “四舍五入”。</w:t>
      </w:r>
    </w:p>
    <w:p>
      <w:pPr>
        <w:spacing w:line="400" w:lineRule="exact"/>
        <w:ind w:firstLine="420" w:firstLineChars="200"/>
        <w:rPr>
          <w:rFonts w:hint="eastAsia"/>
          <w:color w:val="000000"/>
        </w:rPr>
      </w:pPr>
      <w:r>
        <w:rPr>
          <w:rFonts w:hint="eastAsia"/>
          <w:color w:val="000000"/>
        </w:rPr>
        <w:t>3.2.3 投标人汇总得分=A+B+C+D+E。</w:t>
      </w:r>
    </w:p>
    <w:p>
      <w:pPr>
        <w:spacing w:line="400" w:lineRule="exact"/>
        <w:ind w:firstLine="420" w:firstLineChars="200"/>
        <w:rPr>
          <w:color w:val="000000"/>
        </w:rPr>
      </w:pPr>
      <w:r>
        <w:rPr>
          <w:rFonts w:hint="eastAsia"/>
          <w:color w:val="000000"/>
        </w:rPr>
        <w:t>3.2.4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评标委员会应当认定该投标人以低于成本报价竞标，应当否决其投标。</w:t>
      </w:r>
    </w:p>
    <w:p>
      <w:pPr>
        <w:pStyle w:val="5"/>
        <w:rPr>
          <w:color w:val="000000"/>
        </w:rPr>
      </w:pPr>
      <w:bookmarkStart w:id="613" w:name="_Toc419320192"/>
      <w:bookmarkStart w:id="614" w:name="_Toc419364319"/>
      <w:bookmarkStart w:id="615" w:name="_Toc433988662"/>
      <w:bookmarkStart w:id="616" w:name="_Toc419321228"/>
      <w:bookmarkStart w:id="617" w:name="_Toc419363621"/>
      <w:r>
        <w:rPr>
          <w:rFonts w:hint="eastAsia"/>
          <w:color w:val="000000"/>
        </w:rPr>
        <w:t>3.3 投标文件的澄清和补正</w:t>
      </w:r>
      <w:bookmarkEnd w:id="613"/>
      <w:bookmarkEnd w:id="614"/>
      <w:bookmarkEnd w:id="615"/>
      <w:bookmarkEnd w:id="616"/>
      <w:bookmarkEnd w:id="617"/>
    </w:p>
    <w:p>
      <w:pPr>
        <w:spacing w:line="400" w:lineRule="exact"/>
        <w:ind w:firstLine="420" w:firstLineChars="200"/>
        <w:rPr>
          <w:color w:val="000000"/>
        </w:rPr>
      </w:pPr>
      <w:r>
        <w:rPr>
          <w:rFonts w:hint="eastAsia"/>
          <w:color w:val="000000"/>
        </w:rPr>
        <w:t>3.3.1 在评标过程中，评标委员会可以书面形式要求投标人对所提交投标文件中不明确的内容进行书面澄清或说明，或者对细微偏差进行补正。评标委员会不接受投标人主动提出的澄清、说明或补正。</w:t>
      </w:r>
    </w:p>
    <w:p>
      <w:pPr>
        <w:spacing w:line="400" w:lineRule="exact"/>
        <w:ind w:firstLine="420" w:firstLineChars="200"/>
        <w:rPr>
          <w:color w:val="000000"/>
        </w:rPr>
      </w:pPr>
      <w:r>
        <w:rPr>
          <w:rFonts w:hint="eastAsia"/>
          <w:color w:val="000000"/>
        </w:rPr>
        <w:t>3.3.2 澄清、说明和补正不得改变投标文件的实质性内容。投标人的书面澄清、说明和补正属于投标文件的组成部分。</w:t>
      </w:r>
    </w:p>
    <w:p>
      <w:pPr>
        <w:spacing w:line="400" w:lineRule="exact"/>
        <w:ind w:firstLine="420" w:firstLineChars="200"/>
        <w:rPr>
          <w:color w:val="000000"/>
        </w:rPr>
      </w:pPr>
      <w:r>
        <w:rPr>
          <w:rFonts w:hint="eastAsia"/>
          <w:color w:val="000000"/>
        </w:rPr>
        <w:t>3.3.3 评标委员会对投标人提交的澄清、说明或补正有疑问的，可以要求投标人进一步澄清、说明或补正，直至满足评标委员会的要求。</w:t>
      </w:r>
    </w:p>
    <w:p>
      <w:pPr>
        <w:pStyle w:val="5"/>
        <w:rPr>
          <w:color w:val="000000"/>
        </w:rPr>
      </w:pPr>
      <w:bookmarkStart w:id="618" w:name="_Toc419320193"/>
      <w:bookmarkStart w:id="619" w:name="_Toc419321229"/>
      <w:bookmarkStart w:id="620" w:name="_Toc419363622"/>
      <w:bookmarkStart w:id="621" w:name="_Toc419364320"/>
      <w:bookmarkStart w:id="622" w:name="_Toc433988663"/>
      <w:r>
        <w:rPr>
          <w:rFonts w:hint="eastAsia"/>
          <w:color w:val="000000"/>
        </w:rPr>
        <w:t>3.4 评标结果</w:t>
      </w:r>
      <w:bookmarkEnd w:id="618"/>
      <w:bookmarkEnd w:id="619"/>
      <w:bookmarkEnd w:id="620"/>
      <w:bookmarkEnd w:id="621"/>
      <w:bookmarkEnd w:id="622"/>
    </w:p>
    <w:p>
      <w:pPr>
        <w:spacing w:line="400" w:lineRule="exact"/>
        <w:ind w:firstLine="420" w:firstLineChars="200"/>
        <w:rPr>
          <w:color w:val="000000"/>
        </w:rPr>
      </w:pPr>
      <w:r>
        <w:rPr>
          <w:rFonts w:hint="eastAsia"/>
          <w:color w:val="000000"/>
        </w:rPr>
        <w:t>3.4.1 除第二章“投标人须知”前附表授权直接确定中标人外，评标委员会按照得分由高到低的顺序推荐中标候选人。</w:t>
      </w:r>
    </w:p>
    <w:p>
      <w:pPr>
        <w:spacing w:line="400" w:lineRule="exact"/>
        <w:ind w:firstLine="420" w:firstLineChars="200"/>
        <w:rPr>
          <w:rFonts w:hint="eastAsia"/>
          <w:color w:val="000000"/>
        </w:rPr>
      </w:pPr>
      <w:r>
        <w:rPr>
          <w:rFonts w:hint="eastAsia"/>
          <w:color w:val="000000"/>
        </w:rPr>
        <w:t>3.4.2 评标委员会完成评标后，应当向招标人提交书面评标报告。</w:t>
      </w:r>
    </w:p>
    <w:p>
      <w:pPr>
        <w:spacing w:line="400" w:lineRule="exact"/>
        <w:ind w:firstLine="420" w:firstLineChars="200"/>
        <w:rPr>
          <w:rFonts w:hint="eastAsia"/>
          <w:color w:val="000000"/>
        </w:rPr>
      </w:pPr>
    </w:p>
    <w:p>
      <w:pPr>
        <w:spacing w:line="400" w:lineRule="exact"/>
        <w:ind w:firstLine="420" w:firstLineChars="200"/>
        <w:rPr>
          <w:rFonts w:hint="eastAsia"/>
          <w:color w:val="000000"/>
        </w:rPr>
      </w:pPr>
    </w:p>
    <w:p>
      <w:pPr>
        <w:spacing w:line="400" w:lineRule="exact"/>
        <w:ind w:firstLine="420" w:firstLineChars="200"/>
        <w:rPr>
          <w:rFonts w:hint="eastAsia"/>
          <w:color w:val="000000"/>
        </w:rPr>
      </w:pPr>
    </w:p>
    <w:p>
      <w:pPr>
        <w:spacing w:line="400" w:lineRule="exact"/>
        <w:ind w:firstLine="420" w:firstLineChars="200"/>
        <w:rPr>
          <w:rFonts w:hint="eastAsia"/>
          <w:color w:val="000000"/>
        </w:rPr>
      </w:pPr>
    </w:p>
    <w:p>
      <w:pPr>
        <w:spacing w:line="400" w:lineRule="exact"/>
        <w:ind w:firstLine="420" w:firstLineChars="200"/>
        <w:rPr>
          <w:rFonts w:hint="eastAsia"/>
          <w:color w:val="000000"/>
        </w:rPr>
      </w:pPr>
    </w:p>
    <w:p>
      <w:pPr>
        <w:spacing w:line="400" w:lineRule="exact"/>
        <w:ind w:firstLine="420" w:firstLineChars="200"/>
        <w:rPr>
          <w:rFonts w:hint="eastAsia"/>
          <w:color w:val="000000"/>
        </w:rPr>
      </w:pPr>
    </w:p>
    <w:p>
      <w:pPr>
        <w:spacing w:line="400" w:lineRule="exact"/>
        <w:ind w:firstLine="420" w:firstLineChars="200"/>
        <w:rPr>
          <w:rFonts w:hint="eastAsia"/>
          <w:color w:val="000000"/>
        </w:rPr>
      </w:pPr>
    </w:p>
    <w:p>
      <w:pPr>
        <w:spacing w:line="400" w:lineRule="exact"/>
        <w:ind w:firstLine="420" w:firstLineChars="200"/>
        <w:rPr>
          <w:rFonts w:hint="eastAsia"/>
          <w:color w:val="000000"/>
        </w:rPr>
      </w:pPr>
    </w:p>
    <w:p>
      <w:pPr>
        <w:spacing w:line="400" w:lineRule="exact"/>
        <w:ind w:firstLine="420" w:firstLineChars="200"/>
        <w:rPr>
          <w:rFonts w:hint="eastAsia"/>
          <w:color w:val="000000"/>
        </w:rPr>
      </w:pPr>
    </w:p>
    <w:p>
      <w:pPr>
        <w:spacing w:line="400" w:lineRule="exact"/>
        <w:ind w:firstLine="420" w:firstLineChars="200"/>
        <w:rPr>
          <w:rFonts w:hint="eastAsia"/>
          <w:color w:val="000000"/>
        </w:rPr>
      </w:pPr>
    </w:p>
    <w:p>
      <w:pPr>
        <w:spacing w:line="400" w:lineRule="exact"/>
        <w:ind w:firstLine="420" w:firstLineChars="200"/>
        <w:rPr>
          <w:rFonts w:hint="eastAsia"/>
          <w:color w:val="000000"/>
        </w:rPr>
      </w:pPr>
    </w:p>
    <w:p>
      <w:pPr>
        <w:spacing w:line="400" w:lineRule="exact"/>
        <w:ind w:firstLine="420" w:firstLineChars="200"/>
        <w:rPr>
          <w:rFonts w:hint="eastAsia"/>
          <w:color w:val="000000"/>
        </w:rPr>
      </w:pPr>
    </w:p>
    <w:p>
      <w:pPr>
        <w:spacing w:line="400" w:lineRule="exact"/>
        <w:ind w:firstLine="420" w:firstLineChars="200"/>
        <w:rPr>
          <w:rFonts w:hint="eastAsia"/>
          <w:color w:val="000000"/>
        </w:rPr>
      </w:pPr>
    </w:p>
    <w:p>
      <w:pPr>
        <w:spacing w:line="400" w:lineRule="exact"/>
        <w:ind w:firstLine="420" w:firstLineChars="200"/>
        <w:rPr>
          <w:rFonts w:hint="eastAsia"/>
          <w:color w:val="000000"/>
        </w:rPr>
      </w:pPr>
    </w:p>
    <w:p>
      <w:pPr>
        <w:spacing w:line="400" w:lineRule="exact"/>
        <w:ind w:firstLine="420" w:firstLineChars="200"/>
        <w:rPr>
          <w:rFonts w:hint="eastAsia"/>
          <w:color w:val="000000"/>
        </w:rPr>
      </w:pPr>
    </w:p>
    <w:p>
      <w:pPr>
        <w:pStyle w:val="4"/>
        <w:rPr>
          <w:rFonts w:hint="eastAsia"/>
          <w:color w:val="000000"/>
        </w:rPr>
      </w:pPr>
      <w:bookmarkStart w:id="623" w:name="_Toc419320194"/>
      <w:bookmarkStart w:id="624" w:name="_Toc419363623"/>
      <w:bookmarkStart w:id="625" w:name="_Toc419364321"/>
      <w:bookmarkStart w:id="626" w:name="_Toc433988664"/>
      <w:bookmarkStart w:id="627" w:name="_Toc59203023"/>
      <w:bookmarkStart w:id="628" w:name="_Toc419321230"/>
      <w:r>
        <w:rPr>
          <w:color w:val="000000"/>
        </w:rPr>
        <w:t>附件A</w:t>
      </w:r>
      <w:r>
        <w:rPr>
          <w:rFonts w:hint="eastAsia"/>
          <w:color w:val="000000"/>
        </w:rPr>
        <w:t xml:space="preserve">  评标详细程序</w:t>
      </w:r>
      <w:bookmarkEnd w:id="623"/>
      <w:bookmarkEnd w:id="624"/>
      <w:bookmarkEnd w:id="625"/>
      <w:bookmarkEnd w:id="626"/>
      <w:bookmarkEnd w:id="627"/>
      <w:bookmarkEnd w:id="628"/>
    </w:p>
    <w:p>
      <w:pPr>
        <w:pStyle w:val="5"/>
        <w:rPr>
          <w:color w:val="000000"/>
        </w:rPr>
      </w:pPr>
      <w:bookmarkStart w:id="629" w:name="_Toc419320195"/>
      <w:bookmarkStart w:id="630" w:name="_Toc419321231"/>
      <w:bookmarkStart w:id="631" w:name="_Toc419364322"/>
      <w:bookmarkStart w:id="632" w:name="_Toc419363624"/>
      <w:bookmarkStart w:id="633" w:name="_Toc433988665"/>
      <w:r>
        <w:rPr>
          <w:color w:val="000000"/>
        </w:rPr>
        <w:t>A0 总  则</w:t>
      </w:r>
      <w:bookmarkEnd w:id="629"/>
      <w:bookmarkEnd w:id="630"/>
      <w:bookmarkEnd w:id="631"/>
      <w:bookmarkEnd w:id="632"/>
      <w:bookmarkEnd w:id="633"/>
    </w:p>
    <w:p>
      <w:pPr>
        <w:spacing w:line="360" w:lineRule="auto"/>
        <w:ind w:firstLine="420" w:firstLineChars="200"/>
        <w:rPr>
          <w:color w:val="000000"/>
        </w:rPr>
      </w:pPr>
      <w:r>
        <w:rPr>
          <w:color w:val="000000"/>
        </w:rPr>
        <w:t>本附件是本章“评标办法”的组成部分，是对本章第3条所规定的评标程序的进一步细化，评标委员会应当按照本附件所规定的详细程序开展并完成评标工作。</w:t>
      </w:r>
    </w:p>
    <w:p>
      <w:pPr>
        <w:pStyle w:val="5"/>
        <w:rPr>
          <w:color w:val="000000"/>
        </w:rPr>
      </w:pPr>
      <w:bookmarkStart w:id="634" w:name="_Toc419364323"/>
      <w:bookmarkStart w:id="635" w:name="_Toc433988666"/>
      <w:bookmarkStart w:id="636" w:name="_Toc419321232"/>
      <w:bookmarkStart w:id="637" w:name="_Toc419363625"/>
      <w:bookmarkStart w:id="638" w:name="_Toc419320196"/>
      <w:r>
        <w:rPr>
          <w:color w:val="000000"/>
        </w:rPr>
        <w:t>A1 基本程序</w:t>
      </w:r>
      <w:bookmarkEnd w:id="634"/>
      <w:bookmarkEnd w:id="635"/>
      <w:bookmarkEnd w:id="636"/>
      <w:bookmarkEnd w:id="637"/>
      <w:bookmarkEnd w:id="638"/>
    </w:p>
    <w:p>
      <w:pPr>
        <w:spacing w:line="360" w:lineRule="auto"/>
        <w:ind w:firstLine="420" w:firstLineChars="200"/>
        <w:rPr>
          <w:color w:val="000000"/>
        </w:rPr>
      </w:pPr>
      <w:r>
        <w:rPr>
          <w:color w:val="000000"/>
        </w:rPr>
        <w:t>评标活动将按以下五个步骤进行：</w:t>
      </w:r>
    </w:p>
    <w:p>
      <w:pPr>
        <w:spacing w:line="360" w:lineRule="auto"/>
        <w:ind w:firstLine="420" w:firstLineChars="200"/>
        <w:rPr>
          <w:color w:val="000000"/>
        </w:rPr>
      </w:pPr>
      <w:r>
        <w:rPr>
          <w:color w:val="000000"/>
        </w:rPr>
        <w:t>（1）评标准备；</w:t>
      </w:r>
    </w:p>
    <w:p>
      <w:pPr>
        <w:spacing w:line="360" w:lineRule="auto"/>
        <w:ind w:firstLine="420" w:firstLineChars="200"/>
        <w:rPr>
          <w:color w:val="000000"/>
        </w:rPr>
      </w:pPr>
      <w:r>
        <w:rPr>
          <w:color w:val="000000"/>
        </w:rPr>
        <w:t>（2）初步评审；</w:t>
      </w:r>
    </w:p>
    <w:p>
      <w:pPr>
        <w:spacing w:line="360" w:lineRule="auto"/>
        <w:ind w:firstLine="420" w:firstLineChars="200"/>
        <w:rPr>
          <w:color w:val="000000"/>
        </w:rPr>
      </w:pPr>
      <w:r>
        <w:rPr>
          <w:color w:val="000000"/>
        </w:rPr>
        <w:t>（3）详细评审；</w:t>
      </w:r>
    </w:p>
    <w:p>
      <w:pPr>
        <w:spacing w:line="360" w:lineRule="auto"/>
        <w:ind w:firstLine="420" w:firstLineChars="200"/>
        <w:rPr>
          <w:color w:val="000000"/>
        </w:rPr>
      </w:pPr>
      <w:r>
        <w:rPr>
          <w:color w:val="000000"/>
        </w:rPr>
        <w:t>（4）澄清、说明或补正；</w:t>
      </w:r>
    </w:p>
    <w:p>
      <w:pPr>
        <w:spacing w:line="360" w:lineRule="auto"/>
        <w:ind w:firstLine="420" w:firstLineChars="200"/>
        <w:rPr>
          <w:b/>
          <w:color w:val="000000"/>
          <w:szCs w:val="21"/>
        </w:rPr>
      </w:pPr>
      <w:r>
        <w:rPr>
          <w:color w:val="000000"/>
        </w:rPr>
        <w:t>（5）推荐中标候选人或者直接确定中标人及提交评标报告。</w:t>
      </w:r>
    </w:p>
    <w:p>
      <w:pPr>
        <w:pStyle w:val="5"/>
        <w:rPr>
          <w:color w:val="000000"/>
        </w:rPr>
      </w:pPr>
      <w:bookmarkStart w:id="639" w:name="_Toc419320197"/>
      <w:bookmarkStart w:id="640" w:name="_Toc419321233"/>
      <w:bookmarkStart w:id="641" w:name="_Toc419363626"/>
      <w:bookmarkStart w:id="642" w:name="_Toc419364324"/>
      <w:bookmarkStart w:id="643" w:name="_Toc433988667"/>
      <w:r>
        <w:rPr>
          <w:color w:val="000000"/>
        </w:rPr>
        <w:t>A2 评标准备</w:t>
      </w:r>
      <w:bookmarkEnd w:id="639"/>
      <w:bookmarkEnd w:id="640"/>
      <w:bookmarkEnd w:id="641"/>
      <w:bookmarkEnd w:id="642"/>
      <w:bookmarkEnd w:id="643"/>
    </w:p>
    <w:p>
      <w:pPr>
        <w:spacing w:line="360" w:lineRule="auto"/>
        <w:ind w:firstLine="420" w:firstLineChars="200"/>
        <w:rPr>
          <w:rFonts w:ascii="宋体" w:hAnsi="宋体"/>
          <w:color w:val="000000"/>
          <w:szCs w:val="21"/>
        </w:rPr>
      </w:pPr>
      <w:bookmarkStart w:id="644" w:name="_Toc419363627"/>
      <w:r>
        <w:rPr>
          <w:rFonts w:ascii="宋体" w:hAnsi="宋体"/>
          <w:color w:val="000000"/>
          <w:szCs w:val="21"/>
        </w:rPr>
        <w:t>A2.1 评标委员会成员签到</w:t>
      </w:r>
      <w:bookmarkEnd w:id="644"/>
    </w:p>
    <w:p>
      <w:pPr>
        <w:spacing w:line="360" w:lineRule="auto"/>
        <w:ind w:firstLine="420" w:firstLineChars="200"/>
        <w:rPr>
          <w:rFonts w:hint="eastAsia" w:ascii="宋体" w:hAnsi="宋体"/>
          <w:color w:val="000000"/>
          <w:szCs w:val="21"/>
        </w:rPr>
      </w:pPr>
      <w:r>
        <w:rPr>
          <w:rFonts w:ascii="宋体" w:hAnsi="宋体"/>
          <w:color w:val="000000"/>
          <w:szCs w:val="21"/>
        </w:rPr>
        <w:t>评标委员会成员到达评标现场时应在签到表上签到以证明其出席。</w:t>
      </w:r>
    </w:p>
    <w:p>
      <w:pPr>
        <w:spacing w:line="360" w:lineRule="auto"/>
        <w:ind w:firstLine="420" w:firstLineChars="200"/>
        <w:rPr>
          <w:rFonts w:hint="eastAsia" w:ascii="宋体" w:hAnsi="宋体"/>
          <w:color w:val="000000"/>
          <w:szCs w:val="21"/>
        </w:rPr>
      </w:pPr>
      <w:r>
        <w:rPr>
          <w:rFonts w:hint="eastAsia" w:ascii="宋体" w:hAnsi="宋体"/>
          <w:color w:val="000000"/>
          <w:szCs w:val="21"/>
        </w:rPr>
        <w:t>评标委员会成员的随身包裹和通讯设备，交由交易中心工作人员统一保管。</w:t>
      </w:r>
    </w:p>
    <w:p>
      <w:pPr>
        <w:spacing w:line="360" w:lineRule="auto"/>
        <w:ind w:firstLine="420" w:firstLineChars="200"/>
        <w:rPr>
          <w:rFonts w:ascii="宋体" w:hAnsi="宋体"/>
          <w:color w:val="000000"/>
          <w:szCs w:val="21"/>
        </w:rPr>
      </w:pPr>
      <w:r>
        <w:rPr>
          <w:rFonts w:ascii="宋体" w:hAnsi="宋体"/>
          <w:color w:val="000000"/>
          <w:szCs w:val="21"/>
        </w:rPr>
        <w:t>A2.2 评标委员会的组建和分工</w:t>
      </w:r>
    </w:p>
    <w:p>
      <w:pPr>
        <w:spacing w:line="360" w:lineRule="auto"/>
        <w:ind w:firstLine="420" w:firstLineChars="200"/>
        <w:rPr>
          <w:rFonts w:hint="eastAsia"/>
          <w:color w:val="000000"/>
        </w:rPr>
      </w:pPr>
      <w:r>
        <w:rPr>
          <w:rFonts w:ascii="宋体" w:hAnsi="宋体"/>
          <w:color w:val="000000"/>
          <w:szCs w:val="21"/>
        </w:rPr>
        <w:t>评标委员会应按照投标人须知前附表第6.1</w:t>
      </w:r>
      <w:r>
        <w:rPr>
          <w:rFonts w:hint="eastAsia" w:ascii="宋体" w:hAnsi="宋体"/>
          <w:color w:val="000000"/>
          <w:szCs w:val="21"/>
        </w:rPr>
        <w:t>.1</w:t>
      </w:r>
      <w:r>
        <w:rPr>
          <w:rFonts w:ascii="宋体" w:hAnsi="宋体"/>
          <w:color w:val="000000"/>
          <w:szCs w:val="21"/>
        </w:rPr>
        <w:t>条的规定组建。首先以记名方式推选一名评标委员会主任。评标委员会主任负责评标活动的组织工作。招标人代表参加评标委员会的，应明确参加类别。</w:t>
      </w:r>
      <w:r>
        <w:rPr>
          <w:rFonts w:hint="eastAsia"/>
          <w:color w:val="000000"/>
        </w:rPr>
        <w:t>评标委员的分工按投标人须知前附表6.1.1的约定。</w:t>
      </w:r>
    </w:p>
    <w:p>
      <w:pPr>
        <w:spacing w:line="360" w:lineRule="auto"/>
        <w:ind w:firstLine="420" w:firstLineChars="200"/>
        <w:rPr>
          <w:rFonts w:ascii="宋体" w:hAnsi="宋体"/>
          <w:color w:val="000000"/>
          <w:szCs w:val="21"/>
        </w:rPr>
      </w:pPr>
      <w:bookmarkStart w:id="645" w:name="_Toc419363628"/>
      <w:r>
        <w:rPr>
          <w:rFonts w:ascii="宋体" w:hAnsi="宋体"/>
          <w:color w:val="000000"/>
          <w:szCs w:val="21"/>
        </w:rPr>
        <w:t>A2.3 熟悉文件资料</w:t>
      </w:r>
      <w:bookmarkEnd w:id="645"/>
    </w:p>
    <w:p>
      <w:pPr>
        <w:spacing w:line="360" w:lineRule="auto"/>
        <w:ind w:firstLine="420" w:firstLineChars="200"/>
        <w:rPr>
          <w:rFonts w:ascii="宋体" w:hAnsi="宋体"/>
          <w:color w:val="000000"/>
          <w:szCs w:val="21"/>
        </w:rPr>
      </w:pPr>
      <w:r>
        <w:rPr>
          <w:rFonts w:ascii="宋体" w:hAnsi="宋体"/>
          <w:color w:val="000000"/>
          <w:szCs w:val="21"/>
        </w:rPr>
        <w:t>A2.3.1 评标委员会主任应组织评标委员会成员认真研究招标文件，了解和熟悉招标目的、招标范围、主要合同条件、技术标准和要求、质量标准和工期要求，掌握评标标准和方法，熟悉本章及附件中包括的评标表格的使用。</w:t>
      </w:r>
    </w:p>
    <w:p>
      <w:pPr>
        <w:spacing w:line="360" w:lineRule="auto"/>
        <w:ind w:firstLine="420" w:firstLineChars="200"/>
        <w:rPr>
          <w:rFonts w:hint="eastAsia" w:ascii="宋体" w:hAnsi="宋体"/>
          <w:color w:val="000000"/>
          <w:szCs w:val="21"/>
        </w:rPr>
      </w:pPr>
      <w:r>
        <w:rPr>
          <w:rFonts w:ascii="宋体" w:hAnsi="宋体"/>
          <w:color w:val="000000"/>
          <w:szCs w:val="21"/>
        </w:rPr>
        <w:t>A2.3.2 招标人或招标代理机构应向评标委员会提供评标所需的信息和数据，包括招标文件、未在开标会上当场拒绝的各投标文件、开标会记录、招标控制价、有关的法律、法规、规章、国家标准以及招标人或评标委员会认为必要的其他信息和数据。</w:t>
      </w:r>
    </w:p>
    <w:p>
      <w:pPr>
        <w:spacing w:line="360" w:lineRule="auto"/>
        <w:ind w:firstLine="420" w:firstLineChars="200"/>
        <w:rPr>
          <w:rFonts w:hint="eastAsia" w:ascii="宋体" w:hAnsi="宋体"/>
          <w:color w:val="000000"/>
          <w:szCs w:val="21"/>
        </w:rPr>
      </w:pPr>
      <w:r>
        <w:rPr>
          <w:rFonts w:hint="eastAsia" w:ascii="宋体" w:hAnsi="宋体"/>
          <w:color w:val="000000"/>
          <w:szCs w:val="21"/>
        </w:rPr>
        <w:t>A2.4交易中心负责评标场地布置和评标活动的服务。</w:t>
      </w:r>
    </w:p>
    <w:p>
      <w:pPr>
        <w:pStyle w:val="5"/>
        <w:rPr>
          <w:color w:val="000000"/>
        </w:rPr>
      </w:pPr>
      <w:bookmarkStart w:id="646" w:name="_Toc419320198"/>
      <w:bookmarkStart w:id="647" w:name="_Toc419364325"/>
      <w:bookmarkStart w:id="648" w:name="_Toc419321234"/>
      <w:bookmarkStart w:id="649" w:name="_Toc433988668"/>
      <w:bookmarkStart w:id="650" w:name="_Toc419363629"/>
      <w:r>
        <w:rPr>
          <w:color w:val="000000"/>
        </w:rPr>
        <w:t>A3 初步评审</w:t>
      </w:r>
      <w:bookmarkEnd w:id="646"/>
      <w:bookmarkEnd w:id="647"/>
      <w:bookmarkEnd w:id="648"/>
      <w:bookmarkEnd w:id="649"/>
      <w:bookmarkEnd w:id="650"/>
    </w:p>
    <w:p>
      <w:pPr>
        <w:spacing w:line="360" w:lineRule="auto"/>
        <w:ind w:firstLine="420" w:firstLineChars="200"/>
        <w:rPr>
          <w:rFonts w:ascii="宋体" w:hAnsi="宋体"/>
          <w:color w:val="000000"/>
        </w:rPr>
      </w:pPr>
      <w:bookmarkStart w:id="651" w:name="_Toc419363630"/>
      <w:r>
        <w:rPr>
          <w:rFonts w:ascii="宋体" w:hAnsi="宋体"/>
          <w:color w:val="000000"/>
        </w:rPr>
        <w:t>A3.</w:t>
      </w:r>
      <w:r>
        <w:rPr>
          <w:rFonts w:hint="eastAsia" w:ascii="宋体" w:hAnsi="宋体"/>
          <w:color w:val="000000"/>
        </w:rPr>
        <w:t>1</w:t>
      </w:r>
      <w:r>
        <w:rPr>
          <w:rFonts w:ascii="宋体" w:hAnsi="宋体"/>
          <w:color w:val="000000"/>
        </w:rPr>
        <w:t>资格评审</w:t>
      </w:r>
    </w:p>
    <w:p>
      <w:pPr>
        <w:spacing w:line="360" w:lineRule="auto"/>
        <w:ind w:firstLine="420" w:firstLineChars="200"/>
        <w:rPr>
          <w:rFonts w:ascii="宋体" w:hAnsi="宋体"/>
          <w:color w:val="000000"/>
        </w:rPr>
      </w:pPr>
      <w:r>
        <w:rPr>
          <w:rFonts w:ascii="宋体" w:hAnsi="宋体"/>
          <w:color w:val="000000"/>
        </w:rPr>
        <w:t>评标委员会根据“评标办法前附表”中规定的评审因素和评审标准，对投标人的投标文件进行资格评审。</w:t>
      </w:r>
      <w:bookmarkEnd w:id="651"/>
    </w:p>
    <w:p>
      <w:pPr>
        <w:spacing w:line="360" w:lineRule="auto"/>
        <w:ind w:firstLine="420" w:firstLineChars="200"/>
        <w:rPr>
          <w:rFonts w:ascii="宋体" w:hAnsi="宋体"/>
          <w:color w:val="000000"/>
        </w:rPr>
      </w:pPr>
      <w:bookmarkStart w:id="652" w:name="_Toc419363631"/>
      <w:r>
        <w:rPr>
          <w:rFonts w:ascii="宋体" w:hAnsi="宋体"/>
          <w:color w:val="000000"/>
        </w:rPr>
        <w:t>A3.</w:t>
      </w:r>
      <w:r>
        <w:rPr>
          <w:rFonts w:hint="eastAsia" w:ascii="宋体" w:hAnsi="宋体"/>
          <w:color w:val="000000"/>
        </w:rPr>
        <w:t>2</w:t>
      </w:r>
      <w:r>
        <w:rPr>
          <w:rFonts w:ascii="宋体" w:hAnsi="宋体"/>
          <w:color w:val="000000"/>
        </w:rPr>
        <w:t>形式评审</w:t>
      </w:r>
    </w:p>
    <w:p>
      <w:pPr>
        <w:spacing w:line="360" w:lineRule="auto"/>
        <w:ind w:firstLine="420" w:firstLineChars="200"/>
        <w:rPr>
          <w:rFonts w:ascii="宋体" w:hAnsi="宋体"/>
          <w:color w:val="000000"/>
        </w:rPr>
      </w:pPr>
      <w:r>
        <w:rPr>
          <w:rFonts w:ascii="宋体" w:hAnsi="宋体"/>
          <w:color w:val="000000"/>
        </w:rPr>
        <w:t>评标委员会根据“评标办法前附表”中规定的评审因素和评审标准，对投标人的投标文件进行形式评审。</w:t>
      </w:r>
      <w:bookmarkEnd w:id="652"/>
    </w:p>
    <w:p>
      <w:pPr>
        <w:spacing w:line="360" w:lineRule="auto"/>
        <w:ind w:firstLine="420" w:firstLineChars="200"/>
        <w:rPr>
          <w:rFonts w:ascii="宋体" w:hAnsi="宋体"/>
          <w:color w:val="000000"/>
        </w:rPr>
      </w:pPr>
      <w:bookmarkStart w:id="653" w:name="_Toc419363632"/>
      <w:r>
        <w:rPr>
          <w:rFonts w:ascii="宋体" w:hAnsi="宋体"/>
          <w:color w:val="000000"/>
        </w:rPr>
        <w:t>A3.3 响应性评审</w:t>
      </w:r>
      <w:bookmarkEnd w:id="653"/>
    </w:p>
    <w:p>
      <w:pPr>
        <w:spacing w:line="360" w:lineRule="auto"/>
        <w:ind w:firstLine="420" w:firstLineChars="200"/>
        <w:rPr>
          <w:rFonts w:ascii="宋体" w:hAnsi="宋体"/>
          <w:color w:val="000000"/>
        </w:rPr>
      </w:pPr>
      <w:r>
        <w:rPr>
          <w:rFonts w:ascii="宋体" w:hAnsi="宋体"/>
          <w:color w:val="000000"/>
        </w:rPr>
        <w:t>A3.3.1 评标委员会根据“评标办法前附表”中规定的评审因素和评审标准，对投标人的投标文件进行响应性评审。</w:t>
      </w:r>
    </w:p>
    <w:p>
      <w:pPr>
        <w:spacing w:line="360" w:lineRule="auto"/>
        <w:ind w:firstLine="420" w:firstLineChars="200"/>
        <w:rPr>
          <w:rFonts w:ascii="宋体" w:hAnsi="宋体"/>
          <w:color w:val="000000"/>
        </w:rPr>
      </w:pPr>
      <w:r>
        <w:rPr>
          <w:rFonts w:ascii="宋体" w:hAnsi="宋体"/>
          <w:color w:val="000000"/>
        </w:rPr>
        <w:t>A3.3.2 投标人投标总价不得超出（不含等于）招标人公布的招标控制价，凡投标人的投标总价超出招标控制价的，该投标人的投标文件不能通过响应性评审。</w:t>
      </w:r>
    </w:p>
    <w:p>
      <w:pPr>
        <w:spacing w:line="360" w:lineRule="auto"/>
        <w:ind w:firstLine="420" w:firstLineChars="200"/>
        <w:rPr>
          <w:rFonts w:ascii="宋体" w:hAnsi="宋体"/>
          <w:color w:val="000000"/>
        </w:rPr>
      </w:pPr>
      <w:r>
        <w:rPr>
          <w:rFonts w:ascii="宋体" w:hAnsi="宋体"/>
          <w:color w:val="000000"/>
        </w:rPr>
        <w:t>A3.4 判断投标是否为否决投标</w:t>
      </w:r>
    </w:p>
    <w:p>
      <w:pPr>
        <w:spacing w:line="360" w:lineRule="auto"/>
        <w:ind w:firstLine="420" w:firstLineChars="200"/>
        <w:rPr>
          <w:rFonts w:ascii="宋体" w:hAnsi="宋体"/>
          <w:color w:val="000000"/>
        </w:rPr>
      </w:pPr>
      <w:r>
        <w:rPr>
          <w:rFonts w:ascii="宋体" w:hAnsi="宋体"/>
          <w:color w:val="000000"/>
        </w:rPr>
        <w:t>A3.4.1 评标委员会在评标过程中，依据本章附件B中规定的否决投标条件判断投标人的投标是否为否决投标。</w:t>
      </w:r>
    </w:p>
    <w:p>
      <w:pPr>
        <w:spacing w:line="360" w:lineRule="auto"/>
        <w:ind w:firstLine="420" w:firstLineChars="200"/>
        <w:rPr>
          <w:rFonts w:ascii="宋体" w:hAnsi="宋体"/>
          <w:color w:val="000000"/>
        </w:rPr>
      </w:pPr>
      <w:bookmarkStart w:id="654" w:name="_Toc419363633"/>
      <w:r>
        <w:rPr>
          <w:rFonts w:ascii="宋体" w:hAnsi="宋体"/>
          <w:color w:val="000000"/>
        </w:rPr>
        <w:t>A3.</w:t>
      </w:r>
      <w:r>
        <w:rPr>
          <w:rFonts w:hint="eastAsia" w:ascii="宋体" w:hAnsi="宋体"/>
          <w:color w:val="000000"/>
        </w:rPr>
        <w:t xml:space="preserve">5 </w:t>
      </w:r>
      <w:r>
        <w:rPr>
          <w:rFonts w:ascii="宋体" w:hAnsi="宋体"/>
          <w:color w:val="000000"/>
        </w:rPr>
        <w:t>澄清、说明或补正</w:t>
      </w:r>
      <w:bookmarkEnd w:id="654"/>
    </w:p>
    <w:p>
      <w:pPr>
        <w:spacing w:line="360" w:lineRule="auto"/>
        <w:ind w:firstLine="420" w:firstLineChars="200"/>
        <w:rPr>
          <w:rFonts w:hint="eastAsia" w:ascii="宋体" w:hAnsi="宋体"/>
          <w:color w:val="000000"/>
        </w:rPr>
      </w:pPr>
      <w:r>
        <w:rPr>
          <w:rFonts w:ascii="宋体" w:hAnsi="宋体"/>
          <w:color w:val="000000"/>
        </w:rPr>
        <w:t>在初步评审过程中，</w:t>
      </w:r>
      <w:r>
        <w:rPr>
          <w:rFonts w:hint="eastAsia" w:ascii="宋体" w:hAnsi="宋体"/>
          <w:color w:val="000000"/>
        </w:rPr>
        <w:t>评标委员会对投标文件进行基础性数据分析和整理工作（即清标）。如发现投标文件存在以下问题时，应要求投标人予以澄清、说明或者修正，不愿意澄清、说明或者修正的，评标委员会应当否决其投标。</w:t>
      </w:r>
    </w:p>
    <w:p>
      <w:pPr>
        <w:spacing w:line="360" w:lineRule="auto"/>
        <w:ind w:firstLine="420" w:firstLineChars="200"/>
        <w:rPr>
          <w:rFonts w:hint="eastAsia" w:ascii="宋体" w:hAnsi="宋体"/>
          <w:color w:val="000000"/>
        </w:rPr>
      </w:pPr>
      <w:r>
        <w:rPr>
          <w:rFonts w:hint="eastAsia" w:ascii="宋体" w:hAnsi="宋体"/>
          <w:color w:val="000000"/>
        </w:rPr>
        <w:t>①投标文件中有不明确的内容，投标人应当根据问题澄清通知要求，以书面形式予以澄清、说明。</w:t>
      </w:r>
    </w:p>
    <w:p>
      <w:pPr>
        <w:spacing w:line="360" w:lineRule="auto"/>
        <w:ind w:firstLine="420" w:firstLineChars="200"/>
        <w:rPr>
          <w:rFonts w:hint="eastAsia" w:ascii="宋体" w:hAnsi="宋体"/>
          <w:color w:val="000000"/>
        </w:rPr>
      </w:pPr>
      <w:r>
        <w:rPr>
          <w:rFonts w:hint="eastAsia" w:ascii="宋体" w:hAnsi="宋体"/>
          <w:color w:val="000000"/>
        </w:rPr>
        <w:t>②投标报价有算术错误的，评标委员会按以下原则对投标报价进行修正，其中：.投标文件中的大写金额与小写金额不一致的，以大写金额为准；.总价金额与依据单价计算出的结果不一致的，以单价金额为准修正总价，但单价金额小数点有明显错误的除外。修正的价格经投标人书面确认后具有约束力。</w:t>
      </w:r>
    </w:p>
    <w:p>
      <w:pPr>
        <w:spacing w:line="360" w:lineRule="auto"/>
        <w:ind w:firstLine="420" w:firstLineChars="200"/>
        <w:rPr>
          <w:rFonts w:ascii="宋体" w:hAnsi="宋体"/>
          <w:color w:val="000000"/>
        </w:rPr>
      </w:pPr>
      <w:r>
        <w:rPr>
          <w:rFonts w:hint="eastAsia" w:ascii="宋体" w:hAnsi="宋体"/>
          <w:color w:val="000000"/>
        </w:rPr>
        <w:t>③评委会对投标报价中存在严重不平衡报价清单提出修正要求，但不对投标总价进行修正。具体可参照招标控制价及其他投标人合理报价进行修正清单单价，修正后的清单单价仅作为变更调整合同价款的依据。</w:t>
      </w:r>
    </w:p>
    <w:p>
      <w:pPr>
        <w:pStyle w:val="5"/>
        <w:rPr>
          <w:color w:val="000000"/>
        </w:rPr>
      </w:pPr>
      <w:bookmarkStart w:id="655" w:name="_Toc419321235"/>
      <w:bookmarkStart w:id="656" w:name="_Toc419320199"/>
      <w:bookmarkStart w:id="657" w:name="_Toc419363634"/>
      <w:bookmarkStart w:id="658" w:name="_Toc419364326"/>
      <w:bookmarkStart w:id="659" w:name="_Toc433988669"/>
      <w:r>
        <w:rPr>
          <w:color w:val="000000"/>
        </w:rPr>
        <w:t>A4 详细评审</w:t>
      </w:r>
      <w:bookmarkEnd w:id="655"/>
      <w:bookmarkEnd w:id="656"/>
      <w:bookmarkEnd w:id="657"/>
      <w:bookmarkEnd w:id="658"/>
      <w:bookmarkEnd w:id="659"/>
    </w:p>
    <w:p>
      <w:pPr>
        <w:spacing w:line="360" w:lineRule="auto"/>
        <w:ind w:firstLine="420" w:firstLineChars="200"/>
        <w:rPr>
          <w:rFonts w:ascii="宋体" w:hAnsi="宋体"/>
          <w:color w:val="000000"/>
        </w:rPr>
      </w:pPr>
      <w:r>
        <w:rPr>
          <w:rFonts w:ascii="宋体" w:hAnsi="宋体"/>
          <w:color w:val="000000"/>
        </w:rPr>
        <w:t>只有通过了初步评审、被判定为合格的投标方可进入详细评审。</w:t>
      </w:r>
    </w:p>
    <w:p>
      <w:pPr>
        <w:spacing w:line="360" w:lineRule="auto"/>
        <w:ind w:firstLine="420" w:firstLineChars="200"/>
        <w:rPr>
          <w:rFonts w:ascii="宋体" w:hAnsi="宋体"/>
          <w:color w:val="000000"/>
        </w:rPr>
      </w:pPr>
      <w:r>
        <w:rPr>
          <w:rFonts w:ascii="宋体" w:hAnsi="宋体"/>
          <w:color w:val="000000"/>
        </w:rPr>
        <w:t xml:space="preserve">A4.1 </w:t>
      </w:r>
      <w:bookmarkStart w:id="660" w:name="_Toc419363635"/>
      <w:r>
        <w:rPr>
          <w:rFonts w:ascii="宋体" w:hAnsi="宋体"/>
          <w:color w:val="000000"/>
        </w:rPr>
        <w:t>详细评审的程序</w:t>
      </w:r>
      <w:bookmarkEnd w:id="660"/>
    </w:p>
    <w:p>
      <w:pPr>
        <w:spacing w:line="360" w:lineRule="auto"/>
        <w:ind w:firstLine="420" w:firstLineChars="200"/>
        <w:rPr>
          <w:rFonts w:ascii="宋体" w:hAnsi="宋体"/>
          <w:color w:val="000000"/>
        </w:rPr>
      </w:pPr>
      <w:r>
        <w:rPr>
          <w:rFonts w:ascii="宋体" w:hAnsi="宋体"/>
          <w:color w:val="000000"/>
        </w:rPr>
        <w:t>评标委员会按照本章第3.2款中规定的程序进行详细评审：</w:t>
      </w:r>
    </w:p>
    <w:p>
      <w:pPr>
        <w:spacing w:line="360" w:lineRule="auto"/>
        <w:ind w:firstLine="420" w:firstLineChars="200"/>
        <w:rPr>
          <w:rFonts w:ascii="宋体" w:hAnsi="宋体"/>
          <w:color w:val="000000"/>
        </w:rPr>
      </w:pPr>
      <w:r>
        <w:rPr>
          <w:rFonts w:hint="eastAsia" w:ascii="宋体" w:hAnsi="宋体"/>
          <w:color w:val="000000"/>
        </w:rPr>
        <w:t>（1）工程总承包工作大纲；</w:t>
      </w:r>
    </w:p>
    <w:p>
      <w:pPr>
        <w:spacing w:line="360" w:lineRule="auto"/>
        <w:ind w:firstLine="420" w:firstLineChars="200"/>
        <w:rPr>
          <w:rFonts w:hint="eastAsia" w:ascii="宋体" w:hAnsi="宋体"/>
          <w:color w:val="000000"/>
        </w:rPr>
      </w:pPr>
      <w:r>
        <w:rPr>
          <w:rFonts w:hint="eastAsia" w:ascii="宋体" w:hAnsi="宋体"/>
          <w:color w:val="000000"/>
        </w:rPr>
        <w:t>（2）施工组织设计；</w:t>
      </w:r>
    </w:p>
    <w:p>
      <w:pPr>
        <w:spacing w:line="360" w:lineRule="auto"/>
        <w:ind w:firstLine="420" w:firstLineChars="200"/>
        <w:rPr>
          <w:rFonts w:ascii="宋体" w:hAnsi="宋体"/>
          <w:color w:val="000000"/>
        </w:rPr>
      </w:pPr>
      <w:r>
        <w:rPr>
          <w:rFonts w:hint="eastAsia" w:ascii="宋体" w:hAnsi="宋体"/>
          <w:color w:val="000000"/>
        </w:rPr>
        <w:t>（3）资信业绩；</w:t>
      </w:r>
    </w:p>
    <w:p>
      <w:pPr>
        <w:spacing w:line="360" w:lineRule="auto"/>
        <w:ind w:firstLine="420" w:firstLineChars="200"/>
        <w:rPr>
          <w:rFonts w:ascii="宋体" w:hAnsi="宋体"/>
          <w:color w:val="000000"/>
        </w:rPr>
      </w:pPr>
      <w:r>
        <w:rPr>
          <w:rFonts w:hint="eastAsia" w:ascii="宋体" w:hAnsi="宋体"/>
          <w:color w:val="000000"/>
        </w:rPr>
        <w:t>（4）商务标；</w:t>
      </w:r>
    </w:p>
    <w:p>
      <w:pPr>
        <w:spacing w:line="360" w:lineRule="auto"/>
        <w:ind w:firstLine="420" w:firstLineChars="200"/>
        <w:rPr>
          <w:rFonts w:hint="eastAsia" w:ascii="宋体" w:hAnsi="宋体"/>
          <w:color w:val="000000"/>
        </w:rPr>
      </w:pPr>
      <w:r>
        <w:rPr>
          <w:rFonts w:hint="eastAsia" w:ascii="宋体" w:hAnsi="宋体"/>
          <w:color w:val="000000"/>
        </w:rPr>
        <w:t>（5）设计标：</w:t>
      </w:r>
    </w:p>
    <w:p>
      <w:pPr>
        <w:spacing w:line="360" w:lineRule="auto"/>
        <w:ind w:firstLine="420" w:firstLineChars="200"/>
        <w:rPr>
          <w:rFonts w:ascii="宋体" w:hAnsi="宋体"/>
          <w:color w:val="000000"/>
        </w:rPr>
      </w:pPr>
      <w:r>
        <w:rPr>
          <w:rFonts w:ascii="宋体" w:hAnsi="宋体"/>
          <w:color w:val="000000"/>
        </w:rPr>
        <w:t>按照“评标办法前附表”中规定的分值设定、各项评分因素、评分标准，由评标委员会的</w:t>
      </w:r>
      <w:r>
        <w:rPr>
          <w:rFonts w:hint="eastAsia" w:ascii="宋体" w:hAnsi="宋体"/>
          <w:color w:val="000000"/>
        </w:rPr>
        <w:t>相对应专业的</w:t>
      </w:r>
      <w:r>
        <w:rPr>
          <w:rFonts w:ascii="宋体" w:hAnsi="宋体"/>
          <w:color w:val="000000"/>
        </w:rPr>
        <w:t>评委进行评审和评分。</w:t>
      </w:r>
    </w:p>
    <w:p>
      <w:pPr>
        <w:spacing w:line="360" w:lineRule="auto"/>
        <w:ind w:firstLine="420" w:firstLineChars="200"/>
        <w:rPr>
          <w:rFonts w:ascii="宋体" w:hAnsi="宋体"/>
          <w:color w:val="000000"/>
        </w:rPr>
      </w:pPr>
      <w:bookmarkStart w:id="661" w:name="_Toc419363637"/>
      <w:r>
        <w:rPr>
          <w:rFonts w:ascii="宋体" w:hAnsi="宋体"/>
          <w:color w:val="000000"/>
        </w:rPr>
        <w:t>A4.2 汇总评分结果</w:t>
      </w:r>
      <w:bookmarkEnd w:id="661"/>
    </w:p>
    <w:p>
      <w:pPr>
        <w:spacing w:line="360" w:lineRule="auto"/>
        <w:ind w:firstLine="420" w:firstLineChars="200"/>
        <w:rPr>
          <w:rFonts w:ascii="宋体" w:hAnsi="宋体"/>
          <w:color w:val="000000"/>
        </w:rPr>
      </w:pPr>
      <w:r>
        <w:rPr>
          <w:rFonts w:ascii="宋体" w:hAnsi="宋体"/>
          <w:color w:val="000000"/>
        </w:rPr>
        <w:t>详细评审工作全部结束后，</w:t>
      </w:r>
      <w:r>
        <w:rPr>
          <w:rFonts w:hint="eastAsia" w:ascii="宋体" w:hAnsi="宋体"/>
          <w:color w:val="000000"/>
        </w:rPr>
        <w:t>汇总</w:t>
      </w:r>
      <w:r>
        <w:rPr>
          <w:rFonts w:ascii="宋体" w:hAnsi="宋体"/>
          <w:color w:val="000000"/>
        </w:rPr>
        <w:t>评标委员会各成员的详细评审评分结果，并按照详细评审最终得分由高至低的次序对投标人进行排序。</w:t>
      </w:r>
    </w:p>
    <w:p>
      <w:pPr>
        <w:spacing w:line="360" w:lineRule="auto"/>
        <w:ind w:firstLine="420" w:firstLineChars="200"/>
        <w:rPr>
          <w:rFonts w:hint="eastAsia" w:ascii="宋体" w:hAnsi="宋体"/>
          <w:color w:val="000000"/>
        </w:rPr>
      </w:pPr>
      <w:r>
        <w:rPr>
          <w:rFonts w:hint="eastAsia" w:ascii="宋体" w:hAnsi="宋体"/>
          <w:color w:val="000000"/>
        </w:rPr>
        <w:t>评标委员会评审评分结果统计应遵循下列原则：</w:t>
      </w:r>
    </w:p>
    <w:p>
      <w:pPr>
        <w:spacing w:line="360" w:lineRule="auto"/>
        <w:ind w:firstLine="420" w:firstLineChars="200"/>
        <w:rPr>
          <w:rFonts w:hint="eastAsia" w:ascii="宋体" w:hAnsi="宋体"/>
          <w:color w:val="000000"/>
        </w:rPr>
      </w:pPr>
      <w:r>
        <w:rPr>
          <w:rFonts w:hint="eastAsia" w:ascii="宋体" w:hAnsi="宋体"/>
          <w:color w:val="000000"/>
        </w:rPr>
        <w:t>（1）每个评分项目（单项）的评分基准值为评标委员会成员评分的算术平均值。</w:t>
      </w:r>
    </w:p>
    <w:p>
      <w:pPr>
        <w:spacing w:line="360" w:lineRule="auto"/>
        <w:ind w:firstLine="420" w:firstLineChars="200"/>
        <w:rPr>
          <w:rFonts w:hint="eastAsia" w:ascii="宋体" w:hAnsi="宋体"/>
          <w:color w:val="000000"/>
        </w:rPr>
      </w:pPr>
      <w:r>
        <w:rPr>
          <w:rFonts w:hint="eastAsia" w:ascii="宋体" w:hAnsi="宋体"/>
          <w:color w:val="000000"/>
        </w:rPr>
        <w:t>（2）每个评分项目（单项）超出该评分项目评分基准值±30%（含30%）范围的评分为无效评分。</w:t>
      </w:r>
    </w:p>
    <w:p>
      <w:pPr>
        <w:spacing w:line="360" w:lineRule="auto"/>
        <w:ind w:firstLine="420" w:firstLineChars="200"/>
        <w:rPr>
          <w:rFonts w:hint="eastAsia" w:ascii="宋体" w:hAnsi="宋体"/>
          <w:color w:val="000000"/>
        </w:rPr>
      </w:pPr>
      <w:r>
        <w:rPr>
          <w:rFonts w:hint="eastAsia" w:ascii="宋体" w:hAnsi="宋体"/>
          <w:color w:val="000000"/>
        </w:rPr>
        <w:t>（3）投标人每个评分项目（单项）的最终得分为评标委员会成员有效评分的算术平均值；全部评委评分均超出评分基准值±30%（含30%）范围时，投标人该评分项目（单项）的最终得分为评分基准值。</w:t>
      </w:r>
    </w:p>
    <w:p>
      <w:pPr>
        <w:pStyle w:val="5"/>
        <w:rPr>
          <w:color w:val="000000"/>
        </w:rPr>
      </w:pPr>
      <w:bookmarkStart w:id="662" w:name="_Toc419363638"/>
      <w:bookmarkStart w:id="663" w:name="_Toc419364327"/>
      <w:bookmarkStart w:id="664" w:name="_Toc419320200"/>
      <w:bookmarkStart w:id="665" w:name="_Toc419321236"/>
      <w:bookmarkStart w:id="666" w:name="_Toc433988670"/>
      <w:r>
        <w:rPr>
          <w:color w:val="000000"/>
        </w:rPr>
        <w:t>A5 推荐中标候选人或者直接确定中标人</w:t>
      </w:r>
      <w:bookmarkEnd w:id="662"/>
      <w:bookmarkEnd w:id="663"/>
      <w:bookmarkEnd w:id="664"/>
      <w:bookmarkEnd w:id="665"/>
      <w:bookmarkEnd w:id="666"/>
    </w:p>
    <w:p>
      <w:pPr>
        <w:spacing w:line="360" w:lineRule="auto"/>
        <w:ind w:firstLine="420" w:firstLineChars="200"/>
        <w:rPr>
          <w:rFonts w:ascii="宋体" w:hAnsi="宋体"/>
          <w:color w:val="000000"/>
        </w:rPr>
      </w:pPr>
      <w:bookmarkStart w:id="667" w:name="_Toc433988671"/>
      <w:bookmarkStart w:id="668" w:name="_Toc419363639"/>
      <w:r>
        <w:rPr>
          <w:rFonts w:ascii="宋体" w:hAnsi="宋体"/>
          <w:color w:val="000000"/>
        </w:rPr>
        <w:t>A5.1 推荐中标候选人</w:t>
      </w:r>
      <w:bookmarkEnd w:id="667"/>
      <w:bookmarkEnd w:id="668"/>
    </w:p>
    <w:p>
      <w:pPr>
        <w:spacing w:line="360" w:lineRule="auto"/>
        <w:ind w:firstLine="420" w:firstLineChars="200"/>
        <w:rPr>
          <w:rFonts w:ascii="宋体" w:hAnsi="宋体"/>
          <w:color w:val="000000"/>
        </w:rPr>
      </w:pPr>
      <w:bookmarkStart w:id="669" w:name="_Toc433988672"/>
      <w:r>
        <w:rPr>
          <w:rFonts w:ascii="宋体" w:hAnsi="宋体"/>
          <w:color w:val="000000"/>
        </w:rPr>
        <w:t>A5.1.1 除第二章“投标人须知”前附表第7.1款授权直接确定中标人外，评标委员会在推荐中标候选人时，应遵照以下原则：</w:t>
      </w:r>
      <w:bookmarkEnd w:id="669"/>
    </w:p>
    <w:p>
      <w:pPr>
        <w:spacing w:line="360" w:lineRule="auto"/>
        <w:ind w:firstLine="420" w:firstLineChars="200"/>
        <w:rPr>
          <w:rFonts w:ascii="宋体" w:hAnsi="宋体"/>
          <w:color w:val="000000"/>
        </w:rPr>
      </w:pPr>
      <w:bookmarkStart w:id="670" w:name="_Toc433988673"/>
      <w:r>
        <w:rPr>
          <w:rFonts w:ascii="宋体" w:hAnsi="宋体"/>
          <w:color w:val="000000"/>
        </w:rPr>
        <w:t>（1）评标委员会按照最终得分由高至低的次序排列，并根据第二章“投标人须知”前附表第7.1款规定</w:t>
      </w:r>
      <w:r>
        <w:rPr>
          <w:rFonts w:hint="eastAsia" w:ascii="宋体" w:hAnsi="宋体"/>
          <w:color w:val="000000"/>
        </w:rPr>
        <w:t>及本章的规定推荐</w:t>
      </w:r>
      <w:r>
        <w:rPr>
          <w:rFonts w:ascii="宋体" w:hAnsi="宋体"/>
          <w:color w:val="000000"/>
        </w:rPr>
        <w:t>中标候选人。</w:t>
      </w:r>
      <w:bookmarkEnd w:id="670"/>
    </w:p>
    <w:p>
      <w:pPr>
        <w:spacing w:line="360" w:lineRule="auto"/>
        <w:ind w:firstLine="420" w:firstLineChars="200"/>
        <w:rPr>
          <w:color w:val="000000"/>
        </w:rPr>
      </w:pPr>
      <w:bookmarkStart w:id="671" w:name="_Toc433988674"/>
      <w:r>
        <w:rPr>
          <w:rFonts w:ascii="宋体" w:hAnsi="宋体"/>
          <w:color w:val="000000"/>
        </w:rPr>
        <w:t>（2）如果评标委员会根据本章的规定作否决投标处理后，有效投标不足三个，且少于第二章“投标人须知”前附表第7.1款规定的中标候选人数量的，，</w:t>
      </w:r>
      <w:r>
        <w:rPr>
          <w:rFonts w:hint="eastAsia"/>
          <w:color w:val="000000"/>
        </w:rPr>
        <w:t>如经</w:t>
      </w:r>
      <w:r>
        <w:rPr>
          <w:color w:val="000000"/>
        </w:rPr>
        <w:t>评标委员</w:t>
      </w:r>
      <w:r>
        <w:rPr>
          <w:rFonts w:hint="eastAsia"/>
          <w:color w:val="000000"/>
        </w:rPr>
        <w:t>会评定仍具备竞争性的，</w:t>
      </w:r>
      <w:r>
        <w:rPr>
          <w:color w:val="000000"/>
        </w:rPr>
        <w:t>可以将所有有效投标按</w:t>
      </w:r>
      <w:r>
        <w:rPr>
          <w:rFonts w:hint="eastAsia"/>
          <w:color w:val="000000"/>
        </w:rPr>
        <w:t>投标人汇总</w:t>
      </w:r>
      <w:r>
        <w:rPr>
          <w:color w:val="000000"/>
        </w:rPr>
        <w:t>得分由高至低的次序作为中标候选人向招标人推荐。如果因</w:t>
      </w:r>
      <w:r>
        <w:rPr>
          <w:rFonts w:hint="eastAsia"/>
          <w:color w:val="000000"/>
        </w:rPr>
        <w:t>评标委员会否决投标后</w:t>
      </w:r>
      <w:r>
        <w:rPr>
          <w:color w:val="000000"/>
        </w:rPr>
        <w:t>有效投标不足三个</w:t>
      </w:r>
      <w:r>
        <w:rPr>
          <w:rFonts w:hint="eastAsia"/>
          <w:color w:val="000000"/>
        </w:rPr>
        <w:t>且评标委员会评定</w:t>
      </w:r>
      <w:r>
        <w:rPr>
          <w:color w:val="000000"/>
        </w:rPr>
        <w:t>明显缺乏竞争的，评标委员会可以</w:t>
      </w:r>
      <w:r>
        <w:rPr>
          <w:rFonts w:hint="eastAsia"/>
          <w:color w:val="000000"/>
        </w:rPr>
        <w:t>否决所有投标</w:t>
      </w:r>
      <w:r>
        <w:rPr>
          <w:color w:val="000000"/>
        </w:rPr>
        <w:t>。</w:t>
      </w:r>
    </w:p>
    <w:bookmarkEnd w:id="671"/>
    <w:p>
      <w:pPr>
        <w:spacing w:line="360" w:lineRule="auto"/>
        <w:ind w:firstLine="420" w:firstLineChars="200"/>
        <w:rPr>
          <w:rFonts w:ascii="宋体" w:hAnsi="宋体"/>
          <w:color w:val="000000"/>
        </w:rPr>
      </w:pPr>
      <w:bookmarkStart w:id="672" w:name="_Toc433988675"/>
      <w:r>
        <w:rPr>
          <w:rFonts w:ascii="宋体" w:hAnsi="宋体"/>
          <w:color w:val="000000"/>
        </w:rPr>
        <w:t>A5.</w:t>
      </w:r>
      <w:r>
        <w:rPr>
          <w:rFonts w:hint="eastAsia" w:ascii="宋体" w:hAnsi="宋体"/>
          <w:color w:val="000000"/>
        </w:rPr>
        <w:t>1</w:t>
      </w:r>
      <w:r>
        <w:rPr>
          <w:rFonts w:ascii="宋体" w:hAnsi="宋体"/>
          <w:color w:val="000000"/>
        </w:rPr>
        <w:t>.2 投标截止时间前递交投标文件的投标人数量少于三个或者所有投标被否决的，招标人应当依法重新招标。</w:t>
      </w:r>
      <w:bookmarkEnd w:id="672"/>
    </w:p>
    <w:p>
      <w:pPr>
        <w:spacing w:line="360" w:lineRule="auto"/>
        <w:ind w:firstLine="420" w:firstLineChars="200"/>
        <w:rPr>
          <w:rFonts w:ascii="宋体" w:hAnsi="宋体"/>
          <w:color w:val="000000"/>
        </w:rPr>
      </w:pPr>
      <w:bookmarkStart w:id="673" w:name="_Toc433988676"/>
      <w:bookmarkStart w:id="674" w:name="_Toc419363640"/>
      <w:r>
        <w:rPr>
          <w:rFonts w:ascii="宋体" w:hAnsi="宋体"/>
          <w:color w:val="000000"/>
        </w:rPr>
        <w:t>A5.2 直接确定中标人</w:t>
      </w:r>
      <w:bookmarkEnd w:id="673"/>
      <w:bookmarkEnd w:id="674"/>
    </w:p>
    <w:p>
      <w:pPr>
        <w:spacing w:line="360" w:lineRule="auto"/>
        <w:ind w:firstLine="420" w:firstLineChars="200"/>
        <w:rPr>
          <w:rFonts w:ascii="宋体" w:hAnsi="宋体"/>
          <w:color w:val="000000"/>
        </w:rPr>
      </w:pPr>
      <w:bookmarkStart w:id="675" w:name="_Toc433988677"/>
      <w:r>
        <w:rPr>
          <w:rFonts w:ascii="宋体" w:hAnsi="宋体"/>
          <w:color w:val="000000"/>
        </w:rPr>
        <w:t>第二章“投标人须知”前附表授权评标委员会直接确定中标人的，评标委员会按照最终得分由高至低的次序排列，</w:t>
      </w:r>
      <w:r>
        <w:rPr>
          <w:rFonts w:hint="eastAsia" w:ascii="宋体" w:hAnsi="宋体"/>
          <w:color w:val="000000"/>
        </w:rPr>
        <w:t>按照本章的规定直接确定</w:t>
      </w:r>
      <w:r>
        <w:rPr>
          <w:rFonts w:ascii="宋体" w:hAnsi="宋体"/>
          <w:color w:val="000000"/>
        </w:rPr>
        <w:t>中标人。</w:t>
      </w:r>
      <w:bookmarkEnd w:id="675"/>
    </w:p>
    <w:p>
      <w:pPr>
        <w:spacing w:line="360" w:lineRule="auto"/>
        <w:ind w:firstLine="420" w:firstLineChars="200"/>
        <w:rPr>
          <w:rFonts w:ascii="宋体" w:hAnsi="宋体"/>
          <w:color w:val="000000"/>
        </w:rPr>
      </w:pPr>
      <w:bookmarkStart w:id="676" w:name="_Toc419363641"/>
      <w:bookmarkStart w:id="677" w:name="_Toc433988678"/>
      <w:r>
        <w:rPr>
          <w:rFonts w:ascii="宋体" w:hAnsi="宋体"/>
          <w:color w:val="000000"/>
        </w:rPr>
        <w:t>A5.3 编制评标报告</w:t>
      </w:r>
      <w:bookmarkEnd w:id="676"/>
      <w:bookmarkEnd w:id="677"/>
    </w:p>
    <w:p>
      <w:pPr>
        <w:spacing w:line="360" w:lineRule="auto"/>
        <w:ind w:firstLine="420" w:firstLineChars="200"/>
        <w:rPr>
          <w:rFonts w:ascii="宋体" w:hAnsi="宋体"/>
          <w:color w:val="000000"/>
        </w:rPr>
      </w:pPr>
      <w:bookmarkStart w:id="678" w:name="_Toc433988679"/>
      <w:r>
        <w:rPr>
          <w:rFonts w:ascii="宋体" w:hAnsi="宋体"/>
          <w:color w:val="000000"/>
        </w:rPr>
        <w:t>评标委员会向招标人提交评标报告。评标报告应当由全体评标委员会成员签字，并于评标结束时抄送有关行政监督部门。评标报告应当包括</w:t>
      </w:r>
      <w:r>
        <w:rPr>
          <w:rFonts w:hint="eastAsia" w:ascii="宋体" w:hAnsi="宋体"/>
          <w:color w:val="000000"/>
        </w:rPr>
        <w:t>但不限于</w:t>
      </w:r>
      <w:r>
        <w:rPr>
          <w:rFonts w:ascii="宋体" w:hAnsi="宋体"/>
          <w:color w:val="000000"/>
        </w:rPr>
        <w:t>以下内容：</w:t>
      </w:r>
      <w:bookmarkEnd w:id="678"/>
    </w:p>
    <w:p>
      <w:pPr>
        <w:spacing w:line="360" w:lineRule="auto"/>
        <w:ind w:firstLine="420" w:firstLineChars="200"/>
        <w:rPr>
          <w:rFonts w:ascii="宋体" w:hAnsi="宋体"/>
          <w:color w:val="000000"/>
        </w:rPr>
      </w:pPr>
      <w:bookmarkStart w:id="679" w:name="_Toc433988680"/>
      <w:r>
        <w:rPr>
          <w:rFonts w:ascii="宋体" w:hAnsi="宋体"/>
          <w:color w:val="000000"/>
        </w:rPr>
        <w:t>（1）基本情况和数据表；</w:t>
      </w:r>
      <w:bookmarkEnd w:id="679"/>
    </w:p>
    <w:p>
      <w:pPr>
        <w:spacing w:line="360" w:lineRule="auto"/>
        <w:ind w:firstLine="420" w:firstLineChars="200"/>
        <w:rPr>
          <w:rFonts w:ascii="宋体" w:hAnsi="宋体"/>
          <w:color w:val="000000"/>
        </w:rPr>
      </w:pPr>
      <w:bookmarkStart w:id="680" w:name="_Toc433988681"/>
      <w:r>
        <w:rPr>
          <w:rFonts w:ascii="宋体" w:hAnsi="宋体"/>
          <w:color w:val="000000"/>
        </w:rPr>
        <w:t>（2）评标委员会成员名单；</w:t>
      </w:r>
      <w:bookmarkEnd w:id="680"/>
    </w:p>
    <w:p>
      <w:pPr>
        <w:spacing w:line="360" w:lineRule="auto"/>
        <w:ind w:firstLine="420" w:firstLineChars="200"/>
        <w:rPr>
          <w:rFonts w:ascii="宋体" w:hAnsi="宋体"/>
          <w:color w:val="000000"/>
        </w:rPr>
      </w:pPr>
      <w:bookmarkStart w:id="681" w:name="_Toc433988682"/>
      <w:r>
        <w:rPr>
          <w:rFonts w:ascii="宋体" w:hAnsi="宋体"/>
          <w:color w:val="000000"/>
        </w:rPr>
        <w:t>（3）开标记录；</w:t>
      </w:r>
      <w:bookmarkEnd w:id="681"/>
    </w:p>
    <w:p>
      <w:pPr>
        <w:spacing w:line="360" w:lineRule="auto"/>
        <w:ind w:firstLine="420" w:firstLineChars="200"/>
        <w:rPr>
          <w:rFonts w:ascii="宋体" w:hAnsi="宋体"/>
          <w:color w:val="000000"/>
        </w:rPr>
      </w:pPr>
      <w:bookmarkStart w:id="682" w:name="_Toc433988683"/>
      <w:r>
        <w:rPr>
          <w:rFonts w:ascii="宋体" w:hAnsi="宋体"/>
          <w:color w:val="000000"/>
        </w:rPr>
        <w:t>（4）符合要求的投标一览表；</w:t>
      </w:r>
      <w:bookmarkEnd w:id="682"/>
    </w:p>
    <w:p>
      <w:pPr>
        <w:spacing w:line="360" w:lineRule="auto"/>
        <w:ind w:firstLine="420" w:firstLineChars="200"/>
        <w:rPr>
          <w:rFonts w:ascii="宋体" w:hAnsi="宋体"/>
          <w:color w:val="000000"/>
        </w:rPr>
      </w:pPr>
      <w:bookmarkStart w:id="683" w:name="_Toc433988684"/>
      <w:r>
        <w:rPr>
          <w:rFonts w:ascii="宋体" w:hAnsi="宋体"/>
          <w:color w:val="000000"/>
        </w:rPr>
        <w:t>（5）否决投标情况说明；</w:t>
      </w:r>
      <w:bookmarkEnd w:id="683"/>
    </w:p>
    <w:p>
      <w:pPr>
        <w:spacing w:line="360" w:lineRule="auto"/>
        <w:ind w:firstLine="420" w:firstLineChars="200"/>
        <w:rPr>
          <w:rFonts w:ascii="宋体" w:hAnsi="宋体"/>
          <w:color w:val="000000"/>
        </w:rPr>
      </w:pPr>
      <w:bookmarkStart w:id="684" w:name="_Toc433988685"/>
      <w:r>
        <w:rPr>
          <w:rFonts w:ascii="宋体" w:hAnsi="宋体"/>
          <w:color w:val="000000"/>
        </w:rPr>
        <w:t>（6）评标标准、评标方法或者评标因素一览表；</w:t>
      </w:r>
      <w:bookmarkEnd w:id="684"/>
    </w:p>
    <w:p>
      <w:pPr>
        <w:spacing w:line="360" w:lineRule="auto"/>
        <w:ind w:firstLine="420" w:firstLineChars="200"/>
        <w:rPr>
          <w:rFonts w:ascii="宋体" w:hAnsi="宋体"/>
          <w:color w:val="000000"/>
        </w:rPr>
      </w:pPr>
      <w:bookmarkStart w:id="685" w:name="_Toc433988686"/>
      <w:r>
        <w:rPr>
          <w:rFonts w:ascii="宋体" w:hAnsi="宋体"/>
          <w:color w:val="000000"/>
        </w:rPr>
        <w:t>（7）经评审的价格一览表（包括评标委员会在评标过程中所形成的所有记载评标结果、结论的表格、说明、记录等文件）；</w:t>
      </w:r>
      <w:bookmarkEnd w:id="685"/>
    </w:p>
    <w:p>
      <w:pPr>
        <w:spacing w:line="360" w:lineRule="auto"/>
        <w:ind w:firstLine="420" w:firstLineChars="200"/>
        <w:rPr>
          <w:rFonts w:ascii="宋体" w:hAnsi="宋体"/>
          <w:color w:val="000000"/>
        </w:rPr>
      </w:pPr>
      <w:bookmarkStart w:id="686" w:name="_Toc419363642"/>
      <w:bookmarkStart w:id="687" w:name="_Toc433988687"/>
      <w:r>
        <w:rPr>
          <w:rFonts w:ascii="宋体" w:hAnsi="宋体"/>
          <w:color w:val="000000"/>
        </w:rPr>
        <w:t>（8）经评审的投标人排序；</w:t>
      </w:r>
      <w:bookmarkEnd w:id="686"/>
      <w:bookmarkEnd w:id="687"/>
    </w:p>
    <w:p>
      <w:pPr>
        <w:spacing w:line="360" w:lineRule="auto"/>
        <w:ind w:firstLine="420" w:firstLineChars="200"/>
        <w:rPr>
          <w:rFonts w:ascii="宋体" w:hAnsi="宋体"/>
          <w:color w:val="000000"/>
        </w:rPr>
      </w:pPr>
      <w:bookmarkStart w:id="688" w:name="_Toc433988688"/>
      <w:r>
        <w:rPr>
          <w:rFonts w:ascii="宋体" w:hAnsi="宋体"/>
          <w:color w:val="000000"/>
        </w:rPr>
        <w:t>（9）推荐的中标候选人名单（如果第二章“投标人须知”前附表授权评标委员会直接确定中标人，则为“确定的中标人”）与签订合同前要处理的事宜；</w:t>
      </w:r>
      <w:bookmarkEnd w:id="688"/>
    </w:p>
    <w:p>
      <w:pPr>
        <w:spacing w:line="360" w:lineRule="auto"/>
        <w:ind w:firstLine="420" w:firstLineChars="200"/>
        <w:rPr>
          <w:rFonts w:ascii="宋体" w:hAnsi="宋体"/>
          <w:color w:val="000000"/>
        </w:rPr>
      </w:pPr>
      <w:bookmarkStart w:id="689" w:name="_Toc433988689"/>
      <w:r>
        <w:rPr>
          <w:rFonts w:ascii="宋体" w:hAnsi="宋体"/>
          <w:color w:val="000000"/>
        </w:rPr>
        <w:t>（10）澄清、说明、补正事项纪要。</w:t>
      </w:r>
      <w:bookmarkEnd w:id="689"/>
    </w:p>
    <w:p>
      <w:pPr>
        <w:pStyle w:val="5"/>
        <w:rPr>
          <w:color w:val="000000"/>
        </w:rPr>
      </w:pPr>
      <w:bookmarkStart w:id="690" w:name="_Toc433988690"/>
      <w:bookmarkStart w:id="691" w:name="_Toc419321237"/>
      <w:bookmarkStart w:id="692" w:name="_Toc419363643"/>
      <w:bookmarkStart w:id="693" w:name="_Toc419364328"/>
      <w:bookmarkStart w:id="694" w:name="_Toc419320201"/>
      <w:r>
        <w:rPr>
          <w:color w:val="000000"/>
        </w:rPr>
        <w:t>A6 特殊情况的处置程序</w:t>
      </w:r>
      <w:bookmarkEnd w:id="690"/>
      <w:bookmarkEnd w:id="691"/>
      <w:bookmarkEnd w:id="692"/>
      <w:bookmarkEnd w:id="693"/>
      <w:bookmarkEnd w:id="694"/>
    </w:p>
    <w:p>
      <w:pPr>
        <w:spacing w:line="360" w:lineRule="auto"/>
        <w:ind w:firstLine="420" w:firstLineChars="200"/>
        <w:rPr>
          <w:rFonts w:ascii="宋体" w:hAnsi="宋体"/>
          <w:color w:val="000000"/>
        </w:rPr>
      </w:pPr>
      <w:r>
        <w:rPr>
          <w:rFonts w:ascii="宋体" w:hAnsi="宋体"/>
          <w:color w:val="000000"/>
        </w:rPr>
        <w:t>A6</w:t>
      </w:r>
      <w:r>
        <w:rPr>
          <w:rFonts w:hint="eastAsia" w:ascii="宋体" w:hAnsi="宋体"/>
          <w:color w:val="000000"/>
        </w:rPr>
        <w:t>.1</w:t>
      </w:r>
      <w:r>
        <w:rPr>
          <w:rFonts w:ascii="宋体" w:hAnsi="宋体"/>
          <w:color w:val="000000"/>
        </w:rPr>
        <w:t xml:space="preserve"> 关于评标活动暂停</w:t>
      </w:r>
    </w:p>
    <w:p>
      <w:pPr>
        <w:spacing w:line="360" w:lineRule="auto"/>
        <w:ind w:firstLine="420" w:firstLineChars="200"/>
        <w:rPr>
          <w:rFonts w:ascii="宋体" w:hAnsi="宋体"/>
          <w:color w:val="000000"/>
        </w:rPr>
      </w:pPr>
      <w:r>
        <w:rPr>
          <w:rFonts w:ascii="宋体" w:hAnsi="宋体"/>
          <w:color w:val="000000"/>
        </w:rPr>
        <w:t>A6.</w:t>
      </w:r>
      <w:r>
        <w:rPr>
          <w:rFonts w:hint="eastAsia" w:ascii="宋体" w:hAnsi="宋体"/>
          <w:color w:val="000000"/>
        </w:rPr>
        <w:t>1</w:t>
      </w:r>
      <w:r>
        <w:rPr>
          <w:rFonts w:ascii="宋体" w:hAnsi="宋体"/>
          <w:color w:val="000000"/>
        </w:rPr>
        <w:t>.1 评标委员会应当执行连续评标的原则，按评标办法中规定的程序、内容、方法、标准完成全部评标工作。只有发生不可抗力导致评标工作无法继续时，评标活动方可暂停。</w:t>
      </w:r>
    </w:p>
    <w:p>
      <w:pPr>
        <w:spacing w:line="360" w:lineRule="auto"/>
        <w:ind w:firstLine="420" w:firstLineChars="200"/>
        <w:rPr>
          <w:rFonts w:ascii="宋体" w:hAnsi="宋体"/>
          <w:color w:val="000000"/>
        </w:rPr>
      </w:pPr>
      <w:r>
        <w:rPr>
          <w:rFonts w:ascii="宋体" w:hAnsi="宋体"/>
          <w:color w:val="000000"/>
        </w:rPr>
        <w:t>A6.</w:t>
      </w:r>
      <w:r>
        <w:rPr>
          <w:rFonts w:hint="eastAsia" w:ascii="宋体" w:hAnsi="宋体"/>
          <w:color w:val="000000"/>
        </w:rPr>
        <w:t>1</w:t>
      </w:r>
      <w:r>
        <w:rPr>
          <w:rFonts w:ascii="宋体" w:hAnsi="宋体"/>
          <w:color w:val="000000"/>
        </w:rPr>
        <w:t>.2 发生评标暂停情况时，评标委员会应当封存全部投标文件和评标记录，待不可抗力的影响结束且具备继续评标的条件时，由原评标委员会继续评标。</w:t>
      </w:r>
    </w:p>
    <w:p>
      <w:pPr>
        <w:spacing w:line="360" w:lineRule="auto"/>
        <w:ind w:firstLine="420" w:firstLineChars="200"/>
        <w:rPr>
          <w:rFonts w:ascii="宋体" w:hAnsi="宋体"/>
          <w:color w:val="000000"/>
        </w:rPr>
      </w:pPr>
      <w:bookmarkStart w:id="695" w:name="_Toc419363645"/>
      <w:r>
        <w:rPr>
          <w:rFonts w:ascii="宋体" w:hAnsi="宋体"/>
          <w:color w:val="000000"/>
        </w:rPr>
        <w:t>A6.</w:t>
      </w:r>
      <w:r>
        <w:rPr>
          <w:rFonts w:hint="eastAsia" w:ascii="宋体" w:hAnsi="宋体"/>
          <w:color w:val="000000"/>
        </w:rPr>
        <w:t>2</w:t>
      </w:r>
      <w:r>
        <w:rPr>
          <w:rFonts w:ascii="宋体" w:hAnsi="宋体"/>
          <w:color w:val="000000"/>
        </w:rPr>
        <w:t xml:space="preserve"> 关于评标中途更换评委</w:t>
      </w:r>
      <w:bookmarkEnd w:id="695"/>
    </w:p>
    <w:p>
      <w:pPr>
        <w:spacing w:line="360" w:lineRule="auto"/>
        <w:ind w:firstLine="420" w:firstLineChars="200"/>
        <w:rPr>
          <w:rFonts w:ascii="宋体" w:hAnsi="宋体"/>
          <w:color w:val="000000"/>
        </w:rPr>
      </w:pPr>
      <w:r>
        <w:rPr>
          <w:rFonts w:ascii="宋体" w:hAnsi="宋体"/>
          <w:color w:val="000000"/>
        </w:rPr>
        <w:t>A6.</w:t>
      </w:r>
      <w:r>
        <w:rPr>
          <w:rFonts w:hint="eastAsia" w:ascii="宋体" w:hAnsi="宋体"/>
          <w:color w:val="000000"/>
        </w:rPr>
        <w:t>2</w:t>
      </w:r>
      <w:r>
        <w:rPr>
          <w:rFonts w:ascii="宋体" w:hAnsi="宋体"/>
          <w:color w:val="000000"/>
        </w:rPr>
        <w:t>.1 除非发生下列情况之一，评标委员会成员不得在评标中途更换：</w:t>
      </w:r>
    </w:p>
    <w:p>
      <w:pPr>
        <w:spacing w:line="360" w:lineRule="auto"/>
        <w:ind w:firstLine="420" w:firstLineChars="200"/>
        <w:rPr>
          <w:rFonts w:ascii="宋体" w:hAnsi="宋体"/>
          <w:color w:val="000000"/>
        </w:rPr>
      </w:pPr>
      <w:r>
        <w:rPr>
          <w:rFonts w:ascii="宋体" w:hAnsi="宋体"/>
          <w:color w:val="000000"/>
        </w:rPr>
        <w:t>（1）因不可抗拒的客观原因，不能到场或需在评标中途退出评标活动。</w:t>
      </w:r>
    </w:p>
    <w:p>
      <w:pPr>
        <w:spacing w:line="360" w:lineRule="auto"/>
        <w:ind w:firstLine="420" w:firstLineChars="200"/>
        <w:rPr>
          <w:rFonts w:ascii="宋体" w:hAnsi="宋体"/>
          <w:color w:val="000000"/>
        </w:rPr>
      </w:pPr>
      <w:r>
        <w:rPr>
          <w:rFonts w:ascii="宋体" w:hAnsi="宋体"/>
          <w:color w:val="000000"/>
        </w:rPr>
        <w:t>（2）根据法律法规规定，某个或某几个评标委员会成员需要回避。</w:t>
      </w:r>
    </w:p>
    <w:p>
      <w:pPr>
        <w:spacing w:line="360" w:lineRule="auto"/>
        <w:ind w:firstLine="420" w:firstLineChars="200"/>
        <w:rPr>
          <w:rFonts w:ascii="宋体" w:hAnsi="宋体"/>
          <w:color w:val="000000"/>
        </w:rPr>
      </w:pPr>
      <w:r>
        <w:rPr>
          <w:rFonts w:ascii="宋体" w:hAnsi="宋体"/>
          <w:color w:val="000000"/>
        </w:rPr>
        <w:t>A6.</w:t>
      </w:r>
      <w:r>
        <w:rPr>
          <w:rFonts w:hint="eastAsia" w:ascii="宋体" w:hAnsi="宋体"/>
          <w:color w:val="000000"/>
        </w:rPr>
        <w:t>2</w:t>
      </w:r>
      <w:r>
        <w:rPr>
          <w:rFonts w:ascii="宋体" w:hAnsi="宋体"/>
          <w:color w:val="000000"/>
        </w:rPr>
        <w:t>.2 退出评标的评标委员会成员，其已完成的评标行为无效。由招标人根据本招标文件规定的评标委员会成员生产方式另行确定替代者进行评标。</w:t>
      </w:r>
    </w:p>
    <w:p>
      <w:pPr>
        <w:spacing w:line="360" w:lineRule="auto"/>
        <w:ind w:firstLine="420" w:firstLineChars="200"/>
        <w:rPr>
          <w:rFonts w:ascii="宋体" w:hAnsi="宋体"/>
          <w:color w:val="000000"/>
        </w:rPr>
      </w:pPr>
      <w:bookmarkStart w:id="696" w:name="_Toc419363646"/>
      <w:r>
        <w:rPr>
          <w:rFonts w:ascii="宋体" w:hAnsi="宋体"/>
          <w:color w:val="000000"/>
        </w:rPr>
        <w:t>A6.</w:t>
      </w:r>
      <w:r>
        <w:rPr>
          <w:rFonts w:hint="eastAsia" w:ascii="宋体" w:hAnsi="宋体"/>
          <w:color w:val="000000"/>
        </w:rPr>
        <w:t>3</w:t>
      </w:r>
      <w:r>
        <w:rPr>
          <w:rFonts w:ascii="宋体" w:hAnsi="宋体"/>
          <w:color w:val="000000"/>
        </w:rPr>
        <w:t xml:space="preserve"> 记名投票</w:t>
      </w:r>
      <w:bookmarkEnd w:id="696"/>
    </w:p>
    <w:p>
      <w:pPr>
        <w:spacing w:line="360" w:lineRule="auto"/>
        <w:ind w:firstLine="420" w:firstLineChars="200"/>
        <w:rPr>
          <w:rFonts w:ascii="宋体" w:hAnsi="宋体"/>
          <w:color w:val="000000"/>
        </w:rPr>
      </w:pPr>
      <w:r>
        <w:rPr>
          <w:rFonts w:ascii="宋体" w:hAnsi="宋体"/>
          <w:color w:val="000000"/>
        </w:rPr>
        <w:t>需评标委员会就某项定性的评审结论做出表决的，由评标委员会全体成员按照少数服从多数的原则，以记名投票方式表决。</w:t>
      </w:r>
    </w:p>
    <w:p>
      <w:pPr>
        <w:pStyle w:val="5"/>
        <w:rPr>
          <w:rFonts w:hint="eastAsia"/>
          <w:color w:val="000000"/>
          <w:szCs w:val="21"/>
        </w:rPr>
      </w:pPr>
      <w:r>
        <w:rPr>
          <w:rFonts w:hint="eastAsia"/>
          <w:color w:val="000000"/>
        </w:rPr>
        <w:t>A7 补充条款</w:t>
      </w:r>
    </w:p>
    <w:p>
      <w:pPr>
        <w:spacing w:line="360" w:lineRule="auto"/>
        <w:ind w:firstLine="420" w:firstLineChars="200"/>
        <w:rPr>
          <w:rFonts w:hint="eastAsia"/>
          <w:color w:val="000000"/>
          <w:szCs w:val="21"/>
        </w:rPr>
      </w:pPr>
      <w:r>
        <w:rPr>
          <w:rFonts w:hint="eastAsia"/>
          <w:color w:val="000000"/>
          <w:szCs w:val="21"/>
        </w:rPr>
        <w:t>根据《评标委员会和评标方法暂行规定》《评标专家和评标专家库管理暂行办法》等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pPr>
        <w:spacing w:line="360" w:lineRule="auto"/>
        <w:ind w:firstLine="420" w:firstLineChars="200"/>
        <w:rPr>
          <w:color w:val="000000"/>
          <w:szCs w:val="21"/>
        </w:rPr>
      </w:pPr>
      <w:r>
        <w:rPr>
          <w:rFonts w:hint="eastAsia"/>
          <w:color w:val="000000"/>
          <w:szCs w:val="21"/>
        </w:rPr>
        <w:t>……</w:t>
      </w:r>
    </w:p>
    <w:p>
      <w:pPr>
        <w:spacing w:line="360" w:lineRule="auto"/>
        <w:rPr>
          <w:rFonts w:hint="eastAsia"/>
          <w:color w:val="000000"/>
          <w:szCs w:val="21"/>
        </w:rPr>
      </w:pPr>
    </w:p>
    <w:p>
      <w:pPr>
        <w:pStyle w:val="4"/>
        <w:rPr>
          <w:color w:val="000000"/>
        </w:rPr>
      </w:pPr>
      <w:bookmarkStart w:id="697" w:name="_Toc419320202"/>
      <w:bookmarkStart w:id="698" w:name="_Toc419321238"/>
      <w:bookmarkStart w:id="699" w:name="_Toc419363647"/>
      <w:bookmarkStart w:id="700" w:name="_Toc419364329"/>
      <w:r>
        <w:rPr>
          <w:color w:val="000000"/>
        </w:rPr>
        <w:br w:type="page"/>
      </w:r>
      <w:bookmarkStart w:id="701" w:name="_Toc433988691"/>
      <w:bookmarkStart w:id="702" w:name="_Toc59203024"/>
      <w:r>
        <w:rPr>
          <w:color w:val="000000"/>
        </w:rPr>
        <w:t>附件B</w:t>
      </w:r>
      <w:r>
        <w:rPr>
          <w:rFonts w:hint="eastAsia"/>
          <w:color w:val="000000"/>
        </w:rPr>
        <w:t xml:space="preserve">  </w:t>
      </w:r>
      <w:r>
        <w:rPr>
          <w:color w:val="000000"/>
        </w:rPr>
        <w:t>否决投标条件</w:t>
      </w:r>
      <w:bookmarkEnd w:id="697"/>
      <w:bookmarkEnd w:id="698"/>
      <w:bookmarkEnd w:id="699"/>
      <w:bookmarkEnd w:id="700"/>
      <w:bookmarkEnd w:id="701"/>
      <w:bookmarkEnd w:id="702"/>
    </w:p>
    <w:p>
      <w:pPr>
        <w:pStyle w:val="5"/>
        <w:rPr>
          <w:color w:val="000000"/>
        </w:rPr>
      </w:pPr>
      <w:bookmarkStart w:id="703" w:name="_Toc419320203"/>
      <w:bookmarkStart w:id="704" w:name="_Toc419321239"/>
      <w:bookmarkStart w:id="705" w:name="_Toc419363648"/>
      <w:bookmarkStart w:id="706" w:name="_Toc419364330"/>
      <w:bookmarkStart w:id="707" w:name="_Toc433988692"/>
      <w:r>
        <w:rPr>
          <w:color w:val="000000"/>
        </w:rPr>
        <w:t xml:space="preserve">B0 </w:t>
      </w:r>
      <w:r>
        <w:rPr>
          <w:rFonts w:hint="eastAsia"/>
          <w:color w:val="000000"/>
        </w:rPr>
        <w:t>总</w:t>
      </w:r>
      <w:r>
        <w:rPr>
          <w:color w:val="000000"/>
        </w:rPr>
        <w:t xml:space="preserve">  </w:t>
      </w:r>
      <w:r>
        <w:rPr>
          <w:rFonts w:hint="eastAsia"/>
          <w:color w:val="000000"/>
        </w:rPr>
        <w:t>则</w:t>
      </w:r>
      <w:bookmarkEnd w:id="703"/>
      <w:bookmarkEnd w:id="704"/>
      <w:bookmarkEnd w:id="705"/>
      <w:bookmarkEnd w:id="706"/>
      <w:bookmarkEnd w:id="707"/>
    </w:p>
    <w:p>
      <w:pPr>
        <w:spacing w:line="360" w:lineRule="auto"/>
        <w:ind w:firstLine="420" w:firstLineChars="200"/>
        <w:rPr>
          <w:color w:val="000000"/>
        </w:rPr>
      </w:pPr>
      <w:r>
        <w:rPr>
          <w:rFonts w:hint="eastAsia"/>
          <w:color w:val="000000"/>
        </w:rPr>
        <w:t>本附件所集中列示的否决投标条件，是本章</w:t>
      </w:r>
      <w:r>
        <w:rPr>
          <w:color w:val="000000"/>
        </w:rPr>
        <w:t>“</w:t>
      </w:r>
      <w:r>
        <w:rPr>
          <w:rFonts w:hint="eastAsia"/>
          <w:color w:val="000000"/>
        </w:rPr>
        <w:t>评标办法</w:t>
      </w:r>
      <w:r>
        <w:rPr>
          <w:color w:val="000000"/>
        </w:rPr>
        <w:t>”</w:t>
      </w:r>
      <w:r>
        <w:rPr>
          <w:rFonts w:hint="eastAsia"/>
          <w:color w:val="000000"/>
        </w:rPr>
        <w:t>的组成部分，是对第二章</w:t>
      </w:r>
      <w:r>
        <w:rPr>
          <w:color w:val="000000"/>
        </w:rPr>
        <w:t>“</w:t>
      </w:r>
      <w:r>
        <w:rPr>
          <w:rFonts w:hint="eastAsia"/>
          <w:color w:val="000000"/>
        </w:rPr>
        <w:t>投标人须知</w:t>
      </w:r>
      <w:r>
        <w:rPr>
          <w:color w:val="000000"/>
        </w:rPr>
        <w:t>”</w:t>
      </w:r>
      <w:r>
        <w:rPr>
          <w:rFonts w:hint="eastAsia"/>
          <w:color w:val="000000"/>
        </w:rPr>
        <w:t>和本章正文部分所规定的否决投标条件的总结和补充，如果出现相互矛盾的情况，以第二章</w:t>
      </w:r>
      <w:r>
        <w:rPr>
          <w:color w:val="000000"/>
        </w:rPr>
        <w:t>“</w:t>
      </w:r>
      <w:r>
        <w:rPr>
          <w:rFonts w:hint="eastAsia"/>
          <w:color w:val="000000"/>
        </w:rPr>
        <w:t>投标人须知</w:t>
      </w:r>
      <w:r>
        <w:rPr>
          <w:color w:val="000000"/>
        </w:rPr>
        <w:t>”</w:t>
      </w:r>
      <w:r>
        <w:rPr>
          <w:rFonts w:hint="eastAsia"/>
          <w:color w:val="000000"/>
        </w:rPr>
        <w:t>和本章正文部分的规定为准。</w:t>
      </w:r>
    </w:p>
    <w:p>
      <w:pPr>
        <w:pStyle w:val="5"/>
        <w:rPr>
          <w:color w:val="000000"/>
        </w:rPr>
      </w:pPr>
      <w:bookmarkStart w:id="708" w:name="_Toc433988693"/>
      <w:bookmarkStart w:id="709" w:name="_Toc419321240"/>
      <w:bookmarkStart w:id="710" w:name="_Toc419363649"/>
      <w:bookmarkStart w:id="711" w:name="_Toc419364331"/>
      <w:bookmarkStart w:id="712" w:name="_Toc419320204"/>
      <w:r>
        <w:rPr>
          <w:color w:val="000000"/>
        </w:rPr>
        <w:t xml:space="preserve">B1 </w:t>
      </w:r>
      <w:r>
        <w:rPr>
          <w:rFonts w:hint="eastAsia"/>
          <w:color w:val="000000"/>
        </w:rPr>
        <w:t>否决投标条件</w:t>
      </w:r>
      <w:bookmarkEnd w:id="708"/>
      <w:bookmarkEnd w:id="709"/>
      <w:bookmarkEnd w:id="710"/>
      <w:bookmarkEnd w:id="711"/>
      <w:bookmarkEnd w:id="712"/>
    </w:p>
    <w:p>
      <w:pPr>
        <w:spacing w:line="360" w:lineRule="auto"/>
        <w:ind w:firstLine="420" w:firstLineChars="200"/>
        <w:rPr>
          <w:rFonts w:ascii="宋体" w:hAnsi="宋体"/>
          <w:color w:val="000000"/>
        </w:rPr>
      </w:pPr>
      <w:r>
        <w:rPr>
          <w:rFonts w:hint="eastAsia" w:ascii="宋体" w:hAnsi="宋体"/>
          <w:color w:val="000000"/>
        </w:rPr>
        <w:t>投标人或其投标文件有下列情形之一的，其投标作否决投标处理：</w:t>
      </w:r>
    </w:p>
    <w:p>
      <w:pPr>
        <w:spacing w:line="360" w:lineRule="auto"/>
        <w:ind w:firstLine="420" w:firstLineChars="200"/>
        <w:rPr>
          <w:rFonts w:ascii="宋体" w:hAnsi="宋体"/>
          <w:color w:val="000000"/>
        </w:rPr>
      </w:pPr>
      <w:r>
        <w:rPr>
          <w:rFonts w:ascii="宋体" w:hAnsi="宋体"/>
          <w:color w:val="000000"/>
        </w:rPr>
        <w:t xml:space="preserve">B1.1 </w:t>
      </w:r>
      <w:r>
        <w:rPr>
          <w:rFonts w:hint="eastAsia" w:ascii="宋体" w:hAnsi="宋体"/>
          <w:color w:val="000000"/>
        </w:rPr>
        <w:t>有第二章</w:t>
      </w:r>
      <w:r>
        <w:rPr>
          <w:rFonts w:ascii="宋体" w:hAnsi="宋体"/>
          <w:color w:val="000000"/>
        </w:rPr>
        <w:t>“</w:t>
      </w:r>
      <w:r>
        <w:rPr>
          <w:rFonts w:hint="eastAsia" w:ascii="宋体" w:hAnsi="宋体"/>
          <w:color w:val="000000"/>
        </w:rPr>
        <w:t>投标人须知</w:t>
      </w:r>
      <w:r>
        <w:rPr>
          <w:rFonts w:ascii="宋体" w:hAnsi="宋体"/>
          <w:color w:val="000000"/>
        </w:rPr>
        <w:t>”</w:t>
      </w:r>
      <w:r>
        <w:rPr>
          <w:rFonts w:hint="eastAsia" w:ascii="宋体" w:hAnsi="宋体"/>
          <w:color w:val="000000"/>
        </w:rPr>
        <w:t>第</w:t>
      </w:r>
      <w:r>
        <w:rPr>
          <w:rFonts w:ascii="宋体" w:hAnsi="宋体"/>
          <w:color w:val="000000"/>
        </w:rPr>
        <w:t>1.4.2</w:t>
      </w:r>
      <w:r>
        <w:rPr>
          <w:rFonts w:hint="eastAsia" w:ascii="宋体" w:hAnsi="宋体"/>
          <w:color w:val="000000"/>
        </w:rPr>
        <w:t>、</w:t>
      </w:r>
      <w:r>
        <w:rPr>
          <w:rFonts w:ascii="宋体" w:hAnsi="宋体"/>
          <w:color w:val="000000"/>
        </w:rPr>
        <w:t>1.4.3</w:t>
      </w:r>
      <w:r>
        <w:rPr>
          <w:rFonts w:hint="eastAsia" w:ascii="宋体" w:hAnsi="宋体"/>
          <w:color w:val="000000"/>
        </w:rPr>
        <w:t>项规定的任何一种情形的；</w:t>
      </w:r>
    </w:p>
    <w:p>
      <w:pPr>
        <w:spacing w:line="360" w:lineRule="auto"/>
        <w:ind w:firstLine="420" w:firstLineChars="200"/>
        <w:rPr>
          <w:rFonts w:ascii="宋体" w:hAnsi="宋体"/>
          <w:color w:val="000000"/>
        </w:rPr>
      </w:pPr>
      <w:r>
        <w:rPr>
          <w:rFonts w:ascii="宋体" w:hAnsi="宋体"/>
          <w:color w:val="000000"/>
        </w:rPr>
        <w:t xml:space="preserve">B1.2 </w:t>
      </w:r>
      <w:r>
        <w:rPr>
          <w:rFonts w:hint="eastAsia" w:ascii="宋体" w:hAnsi="宋体"/>
          <w:color w:val="000000"/>
        </w:rPr>
        <w:t>有串通投标或弄虚作假或有其他违法行为的；</w:t>
      </w:r>
    </w:p>
    <w:p>
      <w:pPr>
        <w:spacing w:line="360" w:lineRule="auto"/>
        <w:ind w:firstLine="420" w:firstLineChars="200"/>
        <w:rPr>
          <w:rFonts w:ascii="宋体" w:hAnsi="宋体"/>
          <w:color w:val="000000"/>
        </w:rPr>
      </w:pPr>
      <w:r>
        <w:rPr>
          <w:rFonts w:ascii="宋体" w:hAnsi="宋体"/>
          <w:color w:val="000000"/>
        </w:rPr>
        <w:t xml:space="preserve">B1.3 </w:t>
      </w:r>
      <w:r>
        <w:rPr>
          <w:rFonts w:hint="eastAsia" w:ascii="宋体" w:hAnsi="宋体"/>
          <w:color w:val="000000"/>
        </w:rPr>
        <w:t>有符合评标办法正文第3.1.2（3）条规定不按评标委员会要求澄清、说明或修正的；</w:t>
      </w:r>
    </w:p>
    <w:p>
      <w:pPr>
        <w:spacing w:line="360" w:lineRule="auto"/>
        <w:ind w:firstLine="420" w:firstLineChars="200"/>
        <w:rPr>
          <w:rFonts w:ascii="宋体" w:hAnsi="宋体"/>
          <w:color w:val="000000"/>
        </w:rPr>
      </w:pPr>
      <w:r>
        <w:rPr>
          <w:rFonts w:ascii="宋体" w:hAnsi="宋体"/>
          <w:color w:val="000000"/>
        </w:rPr>
        <w:t>B1.4</w:t>
      </w:r>
      <w:r>
        <w:rPr>
          <w:rFonts w:hint="eastAsia"/>
          <w:color w:val="000000"/>
        </w:rPr>
        <w:t>在资格评审、形式评审、响应性评审中，评标委员会认定投标人的投标文件不符合</w:t>
      </w:r>
      <w:r>
        <w:rPr>
          <w:color w:val="000000"/>
        </w:rPr>
        <w:t>“</w:t>
      </w:r>
      <w:r>
        <w:rPr>
          <w:rFonts w:hint="eastAsia"/>
          <w:color w:val="000000"/>
        </w:rPr>
        <w:t>评标办法前附表</w:t>
      </w:r>
      <w:r>
        <w:rPr>
          <w:color w:val="000000"/>
        </w:rPr>
        <w:t>”</w:t>
      </w:r>
      <w:r>
        <w:rPr>
          <w:rFonts w:hint="eastAsia"/>
          <w:color w:val="000000"/>
        </w:rPr>
        <w:t>中规定的任何一项评审标准的【备注：如资格审查采用有限数量制时，资格审查的评审内容按打分制给予对应分值，无相关证明材料的给予0分，但不做否决投标处理。本条款应有此备注】</w:t>
      </w:r>
      <w:r>
        <w:rPr>
          <w:rFonts w:ascii="宋体" w:hAnsi="宋体"/>
          <w:color w:val="000000"/>
        </w:rPr>
        <w:t xml:space="preserve">； </w:t>
      </w:r>
    </w:p>
    <w:p>
      <w:pPr>
        <w:spacing w:line="360" w:lineRule="auto"/>
        <w:ind w:firstLine="420" w:firstLineChars="200"/>
        <w:rPr>
          <w:rFonts w:ascii="宋体" w:hAnsi="宋体"/>
          <w:color w:val="000000"/>
        </w:rPr>
      </w:pPr>
      <w:r>
        <w:rPr>
          <w:rFonts w:ascii="宋体" w:hAnsi="宋体"/>
          <w:color w:val="000000"/>
        </w:rPr>
        <w:t>B1.</w:t>
      </w:r>
      <w:r>
        <w:rPr>
          <w:rFonts w:hint="eastAsia" w:ascii="宋体" w:hAnsi="宋体"/>
          <w:color w:val="000000"/>
        </w:rPr>
        <w:t>5</w:t>
      </w:r>
      <w:r>
        <w:rPr>
          <w:rFonts w:ascii="宋体" w:hAnsi="宋体"/>
          <w:color w:val="000000"/>
        </w:rPr>
        <w:t xml:space="preserve"> </w:t>
      </w:r>
      <w:r>
        <w:rPr>
          <w:rFonts w:hint="eastAsia" w:ascii="宋体" w:hAnsi="宋体"/>
          <w:color w:val="000000"/>
        </w:rPr>
        <w:t>不按第二章投标须知前附表第</w:t>
      </w:r>
      <w:r>
        <w:rPr>
          <w:rFonts w:ascii="宋体" w:hAnsi="宋体"/>
          <w:color w:val="000000"/>
        </w:rPr>
        <w:t>3.1.1</w:t>
      </w:r>
      <w:r>
        <w:rPr>
          <w:rFonts w:hint="eastAsia" w:ascii="宋体" w:hAnsi="宋体"/>
          <w:color w:val="000000"/>
        </w:rPr>
        <w:t>条内容提供资料的；</w:t>
      </w:r>
    </w:p>
    <w:p>
      <w:pPr>
        <w:spacing w:line="360" w:lineRule="auto"/>
        <w:ind w:firstLine="420" w:firstLineChars="200"/>
        <w:rPr>
          <w:rFonts w:hint="eastAsia" w:ascii="宋体" w:hAnsi="宋体"/>
          <w:color w:val="000000"/>
        </w:rPr>
      </w:pPr>
      <w:r>
        <w:rPr>
          <w:rFonts w:hint="eastAsia" w:ascii="宋体" w:hAnsi="宋体"/>
          <w:color w:val="000000"/>
        </w:rPr>
        <w:t>B1.6 没有在招标文件规定的电子投标文件相关位置加盖投标人法人单位电子印章的；</w:t>
      </w:r>
    </w:p>
    <w:p>
      <w:pPr>
        <w:spacing w:line="360" w:lineRule="auto"/>
        <w:ind w:firstLine="420" w:firstLineChars="200"/>
        <w:rPr>
          <w:rFonts w:ascii="宋体" w:hAnsi="宋体"/>
          <w:color w:val="000000"/>
        </w:rPr>
      </w:pPr>
      <w:r>
        <w:rPr>
          <w:rFonts w:ascii="宋体" w:hAnsi="宋体"/>
          <w:color w:val="000000"/>
        </w:rPr>
        <w:t>B1.</w:t>
      </w:r>
      <w:r>
        <w:rPr>
          <w:rFonts w:hint="eastAsia" w:ascii="宋体" w:hAnsi="宋体"/>
          <w:color w:val="000000"/>
        </w:rPr>
        <w:t>7由委托代理人签字的情况，</w:t>
      </w:r>
      <w:r>
        <w:rPr>
          <w:rFonts w:ascii="宋体" w:hAnsi="宋体"/>
          <w:color w:val="000000"/>
        </w:rPr>
        <w:t>未</w:t>
      </w:r>
      <w:r>
        <w:rPr>
          <w:rFonts w:hint="eastAsia" w:ascii="宋体" w:hAnsi="宋体"/>
          <w:color w:val="000000"/>
        </w:rPr>
        <w:t>在开</w:t>
      </w:r>
      <w:r>
        <w:rPr>
          <w:rFonts w:ascii="宋体" w:hAnsi="宋体"/>
          <w:color w:val="000000"/>
        </w:rPr>
        <w:t>标</w:t>
      </w:r>
      <w:r>
        <w:rPr>
          <w:rFonts w:hint="eastAsia" w:ascii="宋体" w:hAnsi="宋体"/>
          <w:color w:val="000000"/>
        </w:rPr>
        <w:t>会现场</w:t>
      </w:r>
      <w:r>
        <w:rPr>
          <w:rFonts w:ascii="宋体" w:hAnsi="宋体"/>
          <w:color w:val="000000"/>
        </w:rPr>
        <w:t>或网上开标室提供</w:t>
      </w:r>
      <w:r>
        <w:rPr>
          <w:rFonts w:hint="eastAsia" w:ascii="宋体" w:hAnsi="宋体"/>
          <w:color w:val="000000"/>
        </w:rPr>
        <w:t>有效的“授权委托书”原件或原件扫描件的，</w:t>
      </w:r>
      <w:r>
        <w:rPr>
          <w:rFonts w:ascii="宋体" w:hAnsi="宋体"/>
          <w:color w:val="000000"/>
        </w:rPr>
        <w:t>或</w:t>
      </w:r>
      <w:r>
        <w:rPr>
          <w:rFonts w:hint="eastAsia" w:ascii="宋体" w:hAnsi="宋体"/>
          <w:color w:val="000000"/>
        </w:rPr>
        <w:t>未在电子投标文件提交有效的</w:t>
      </w:r>
      <w:r>
        <w:rPr>
          <w:rFonts w:ascii="宋体" w:hAnsi="宋体"/>
          <w:color w:val="000000"/>
        </w:rPr>
        <w:t>“</w:t>
      </w:r>
      <w:r>
        <w:rPr>
          <w:rFonts w:hint="eastAsia" w:ascii="宋体" w:hAnsi="宋体"/>
          <w:color w:val="000000"/>
        </w:rPr>
        <w:t>授权委托书</w:t>
      </w:r>
      <w:r>
        <w:rPr>
          <w:rFonts w:ascii="宋体" w:hAnsi="宋体"/>
          <w:color w:val="000000"/>
        </w:rPr>
        <w:t>”</w:t>
      </w:r>
      <w:r>
        <w:rPr>
          <w:rFonts w:hint="eastAsia" w:ascii="宋体" w:hAnsi="宋体"/>
          <w:color w:val="000000"/>
        </w:rPr>
        <w:t>原件扫描</w:t>
      </w:r>
      <w:r>
        <w:rPr>
          <w:rFonts w:ascii="宋体" w:hAnsi="宋体"/>
          <w:color w:val="000000"/>
        </w:rPr>
        <w:t>件</w:t>
      </w:r>
      <w:r>
        <w:rPr>
          <w:rFonts w:hint="eastAsia" w:ascii="宋体" w:hAnsi="宋体"/>
          <w:color w:val="000000"/>
        </w:rPr>
        <w:t>的；</w:t>
      </w:r>
    </w:p>
    <w:p>
      <w:pPr>
        <w:spacing w:line="360" w:lineRule="auto"/>
        <w:ind w:firstLine="420" w:firstLineChars="200"/>
        <w:rPr>
          <w:rFonts w:hint="eastAsia" w:ascii="宋体" w:hAnsi="宋体"/>
          <w:color w:val="000000"/>
        </w:rPr>
      </w:pPr>
      <w:r>
        <w:rPr>
          <w:rFonts w:hint="eastAsia" w:ascii="宋体" w:hAnsi="宋体"/>
          <w:color w:val="000000"/>
        </w:rPr>
        <w:t>B1.8 投标文件的关键内容字迹模糊、辨认不清的；</w:t>
      </w:r>
    </w:p>
    <w:p>
      <w:pPr>
        <w:spacing w:line="360" w:lineRule="auto"/>
        <w:ind w:firstLine="420" w:firstLineChars="200"/>
        <w:rPr>
          <w:rFonts w:ascii="宋体" w:hAnsi="宋体"/>
          <w:color w:val="000000"/>
        </w:rPr>
      </w:pPr>
      <w:bookmarkStart w:id="713" w:name="_Toc419363650"/>
      <w:r>
        <w:rPr>
          <w:rFonts w:ascii="宋体" w:hAnsi="宋体"/>
          <w:color w:val="000000"/>
        </w:rPr>
        <w:t>B1.</w:t>
      </w:r>
      <w:r>
        <w:rPr>
          <w:rFonts w:hint="eastAsia" w:ascii="宋体" w:hAnsi="宋体"/>
          <w:color w:val="000000"/>
        </w:rPr>
        <w:t>9不具备独立法人资格或作为独立法人资格但就本工程提交一个以上的投标文件的；</w:t>
      </w:r>
      <w:bookmarkEnd w:id="713"/>
    </w:p>
    <w:p>
      <w:pPr>
        <w:spacing w:line="360" w:lineRule="auto"/>
        <w:ind w:firstLine="420" w:firstLineChars="200"/>
        <w:rPr>
          <w:rFonts w:ascii="宋体" w:hAnsi="宋体"/>
          <w:color w:val="000000"/>
        </w:rPr>
      </w:pPr>
      <w:r>
        <w:rPr>
          <w:rFonts w:ascii="宋体" w:hAnsi="宋体"/>
          <w:color w:val="000000"/>
        </w:rPr>
        <w:t>B1.1</w:t>
      </w:r>
      <w:r>
        <w:rPr>
          <w:rFonts w:hint="eastAsia" w:ascii="宋体" w:hAnsi="宋体"/>
          <w:color w:val="000000"/>
        </w:rPr>
        <w:t>0</w:t>
      </w:r>
      <w:r>
        <w:rPr>
          <w:rFonts w:ascii="宋体" w:hAnsi="宋体"/>
          <w:color w:val="000000"/>
        </w:rPr>
        <w:t xml:space="preserve"> </w:t>
      </w:r>
      <w:r>
        <w:rPr>
          <w:rFonts w:hint="eastAsia" w:ascii="宋体" w:hAnsi="宋体"/>
          <w:color w:val="000000"/>
        </w:rPr>
        <w:t>投标文件实质上没有响应招标文件的要求的(包括：质量要求、工期、技术标准和要求、合同价款主要条款、投标有效期等)；</w:t>
      </w:r>
    </w:p>
    <w:p>
      <w:pPr>
        <w:spacing w:line="360" w:lineRule="auto"/>
        <w:ind w:firstLine="420" w:firstLineChars="200"/>
        <w:rPr>
          <w:rFonts w:ascii="宋体" w:hAnsi="宋体"/>
          <w:color w:val="000000"/>
        </w:rPr>
      </w:pPr>
      <w:r>
        <w:rPr>
          <w:rFonts w:hint="eastAsia" w:ascii="宋体" w:hAnsi="宋体"/>
          <w:color w:val="000000"/>
        </w:rPr>
        <w:t>B1.11 设有暂估价、暂列金额的，投标时未按招标人给出的暂估价总价、暂列金额总价计入投标总报价中的；</w:t>
      </w:r>
    </w:p>
    <w:p>
      <w:pPr>
        <w:spacing w:line="360" w:lineRule="auto"/>
        <w:ind w:firstLine="420" w:firstLineChars="200"/>
        <w:rPr>
          <w:rFonts w:ascii="宋体" w:hAnsi="宋体"/>
          <w:color w:val="000000"/>
        </w:rPr>
      </w:pPr>
      <w:r>
        <w:rPr>
          <w:rFonts w:hint="eastAsia" w:ascii="宋体" w:hAnsi="宋体"/>
          <w:color w:val="000000"/>
        </w:rPr>
        <w:t>B1.12 投标人未按照招标文件第二章投标人须知第3.4条的要求提供投标保证金的或未按规定提交投标保证金证明材料的</w:t>
      </w:r>
    </w:p>
    <w:p>
      <w:pPr>
        <w:spacing w:line="360" w:lineRule="auto"/>
        <w:ind w:firstLine="420" w:firstLineChars="200"/>
        <w:rPr>
          <w:rFonts w:hint="eastAsia" w:ascii="宋体" w:hAnsi="宋体"/>
          <w:color w:val="000000"/>
        </w:rPr>
      </w:pPr>
      <w:r>
        <w:rPr>
          <w:rFonts w:hint="eastAsia" w:ascii="宋体" w:hAnsi="宋体"/>
          <w:color w:val="000000"/>
        </w:rPr>
        <w:t>B1.13（1）投标人拟投入本工程的工程总承包项目经理、施工项目经理在在建项目或已中标未开工项目中任工程总承包项目经理或施工项目经理或</w:t>
      </w:r>
      <w:r>
        <w:rPr>
          <w:rFonts w:ascii="宋体" w:hAnsi="宋体"/>
          <w:color w:val="000000"/>
        </w:rPr>
        <w:t>总监理工程师</w:t>
      </w:r>
      <w:r>
        <w:rPr>
          <w:rFonts w:hint="eastAsia" w:ascii="宋体" w:hAnsi="宋体"/>
          <w:color w:val="000000"/>
        </w:rPr>
        <w:t>的（符合法规规定的特殊情况和桂建管﹝2013﹞17号文要求的除外）或已列为其他项目中标候选人第一名的工程总承包项目经理、施工项目经理、总监理工程师，施工项目经理无有效安全生产考核合格证（B类）的；</w:t>
      </w:r>
    </w:p>
    <w:p>
      <w:pPr>
        <w:spacing w:line="360" w:lineRule="auto"/>
        <w:ind w:firstLine="420" w:firstLineChars="200"/>
        <w:rPr>
          <w:rFonts w:hint="eastAsia" w:ascii="宋体" w:hAnsi="宋体"/>
          <w:color w:val="000000"/>
        </w:rPr>
      </w:pPr>
      <w:r>
        <w:rPr>
          <w:rFonts w:hint="eastAsia" w:ascii="宋体" w:hAnsi="宋体"/>
          <w:color w:val="000000"/>
        </w:rPr>
        <w:t>（2）投标人拟投入本工程的项目专职安全人员在在建项目中任专职安全生产管理人员的（符合法规规定的特殊情况和桂建管﹝2013﹞17号文要求的除外）或无有效安全生产考核合格证（C类）的；</w:t>
      </w:r>
    </w:p>
    <w:p>
      <w:pPr>
        <w:spacing w:line="360" w:lineRule="auto"/>
        <w:ind w:firstLine="420" w:firstLineChars="200"/>
        <w:rPr>
          <w:rFonts w:hint="eastAsia" w:ascii="宋体" w:hAnsi="宋体"/>
          <w:color w:val="000000"/>
        </w:rPr>
      </w:pPr>
      <w:r>
        <w:rPr>
          <w:rFonts w:hint="eastAsia" w:ascii="宋体" w:hAnsi="宋体"/>
          <w:color w:val="000000"/>
        </w:rPr>
        <w:t>B1.</w:t>
      </w:r>
      <w:r>
        <w:rPr>
          <w:rFonts w:ascii="宋体" w:hAnsi="宋体"/>
          <w:color w:val="000000"/>
        </w:rPr>
        <w:t>1</w:t>
      </w:r>
      <w:r>
        <w:rPr>
          <w:rFonts w:hint="eastAsia" w:ascii="宋体" w:hAnsi="宋体"/>
          <w:color w:val="000000"/>
        </w:rPr>
        <w:t>4组成联合体投标的，投标文件未附联合体各方共同投标协议书的；</w:t>
      </w:r>
    </w:p>
    <w:p>
      <w:pPr>
        <w:spacing w:line="360" w:lineRule="auto"/>
        <w:ind w:firstLine="420" w:firstLineChars="200"/>
        <w:rPr>
          <w:rFonts w:hint="eastAsia" w:ascii="宋体" w:hAnsi="宋体"/>
          <w:color w:val="000000"/>
        </w:rPr>
      </w:pPr>
      <w:r>
        <w:rPr>
          <w:rFonts w:hint="eastAsia" w:ascii="宋体" w:hAnsi="宋体"/>
          <w:color w:val="000000"/>
        </w:rPr>
        <w:t>B1.</w:t>
      </w:r>
      <w:r>
        <w:rPr>
          <w:rFonts w:ascii="宋体" w:hAnsi="宋体"/>
          <w:color w:val="000000"/>
        </w:rPr>
        <w:t>1</w:t>
      </w:r>
      <w:r>
        <w:rPr>
          <w:rFonts w:hint="eastAsia" w:ascii="宋体" w:hAnsi="宋体"/>
          <w:color w:val="000000"/>
        </w:rPr>
        <w:t>5投标人的投标总价超出招标控制价的；</w:t>
      </w:r>
    </w:p>
    <w:p>
      <w:pPr>
        <w:spacing w:line="360" w:lineRule="auto"/>
        <w:ind w:firstLine="420" w:firstLineChars="200"/>
        <w:rPr>
          <w:rFonts w:hint="eastAsia" w:ascii="宋体" w:hAnsi="宋体"/>
          <w:color w:val="000000"/>
        </w:rPr>
      </w:pPr>
      <w:r>
        <w:rPr>
          <w:rFonts w:hint="eastAsia" w:ascii="宋体" w:hAnsi="宋体"/>
          <w:color w:val="000000"/>
        </w:rPr>
        <w:t>B1.</w:t>
      </w:r>
      <w:r>
        <w:rPr>
          <w:rFonts w:ascii="宋体" w:hAnsi="宋体"/>
          <w:color w:val="000000"/>
        </w:rPr>
        <w:t>1</w:t>
      </w:r>
      <w:r>
        <w:rPr>
          <w:rFonts w:hint="eastAsia" w:ascii="宋体" w:hAnsi="宋体"/>
          <w:color w:val="000000"/>
        </w:rPr>
        <w:t>6 开标时通过身份证验证的专职投标员、施工项目经理、项目施工专职安全生产管理人员与投标文件中的专职投标员、施工项目经理、项目施工专职安全生产管理人员不一致的；</w:t>
      </w:r>
    </w:p>
    <w:p>
      <w:pPr>
        <w:spacing w:line="360" w:lineRule="auto"/>
        <w:ind w:firstLine="420" w:firstLineChars="200"/>
        <w:rPr>
          <w:rFonts w:hint="eastAsia" w:ascii="宋体" w:hAnsi="宋体"/>
          <w:color w:val="000000"/>
        </w:rPr>
      </w:pPr>
      <w:r>
        <w:rPr>
          <w:rFonts w:hint="eastAsia" w:ascii="宋体" w:hAnsi="宋体"/>
          <w:color w:val="000000"/>
        </w:rPr>
        <w:t>B1.</w:t>
      </w:r>
      <w:r>
        <w:rPr>
          <w:rFonts w:ascii="宋体" w:hAnsi="宋体"/>
          <w:color w:val="000000"/>
        </w:rPr>
        <w:t>1</w:t>
      </w:r>
      <w:r>
        <w:rPr>
          <w:rFonts w:hint="eastAsia" w:ascii="宋体" w:hAnsi="宋体"/>
          <w:color w:val="000000"/>
        </w:rPr>
        <w:t>7投标人编制的暗标投标文件（工程总承包工作大纲、施工组织设计、设计标为暗标），其正文中出现投标人的名称和其他可识别投标人身份的字符（图表）、徽标、业绩、荣誉或人员姓名以及其他特殊标记等。</w:t>
      </w:r>
    </w:p>
    <w:p>
      <w:pPr>
        <w:spacing w:line="360" w:lineRule="auto"/>
        <w:ind w:firstLine="420" w:firstLineChars="200"/>
        <w:rPr>
          <w:rFonts w:hint="eastAsia" w:ascii="宋体" w:hAnsi="宋体"/>
          <w:color w:val="000000"/>
        </w:rPr>
      </w:pPr>
      <w:r>
        <w:rPr>
          <w:rFonts w:hint="eastAsia" w:ascii="宋体" w:hAnsi="宋体"/>
          <w:color w:val="000000"/>
        </w:rPr>
        <w:t>B1.</w:t>
      </w:r>
      <w:r>
        <w:rPr>
          <w:rFonts w:ascii="宋体" w:hAnsi="宋体"/>
          <w:color w:val="000000"/>
        </w:rPr>
        <w:t>1</w:t>
      </w:r>
      <w:r>
        <w:rPr>
          <w:rFonts w:hint="eastAsia" w:ascii="宋体" w:hAnsi="宋体"/>
          <w:color w:val="000000"/>
        </w:rPr>
        <w:t>8投标人编制的投标文件技术标（含工程总承包工作大纲、施工组织设计）、</w:t>
      </w:r>
      <w:r>
        <w:rPr>
          <w:rFonts w:ascii="宋体" w:hAnsi="宋体"/>
          <w:color w:val="000000"/>
        </w:rPr>
        <w:t>设计</w:t>
      </w:r>
      <w:r>
        <w:rPr>
          <w:rFonts w:hint="eastAsia" w:ascii="宋体" w:hAnsi="宋体"/>
          <w:color w:val="000000"/>
        </w:rPr>
        <w:t>标暗标部分未按第七章投标文件格式暗标的编制要求编制的。</w:t>
      </w:r>
    </w:p>
    <w:p>
      <w:pPr>
        <w:spacing w:line="360" w:lineRule="auto"/>
        <w:ind w:firstLine="420" w:firstLineChars="200"/>
        <w:rPr>
          <w:rFonts w:ascii="宋体" w:hAnsi="宋体"/>
          <w:color w:val="000000"/>
        </w:rPr>
      </w:pPr>
      <w:r>
        <w:rPr>
          <w:rFonts w:ascii="宋体" w:hAnsi="宋体"/>
          <w:color w:val="000000"/>
        </w:rPr>
        <w:t>B1.</w:t>
      </w:r>
      <w:r>
        <w:rPr>
          <w:rFonts w:hint="eastAsia" w:ascii="宋体" w:hAnsi="宋体"/>
          <w:color w:val="000000"/>
        </w:rPr>
        <w:t>19</w:t>
      </w:r>
      <w:r>
        <w:rPr>
          <w:rFonts w:ascii="宋体" w:hAnsi="宋体"/>
          <w:color w:val="000000"/>
        </w:rPr>
        <w:t xml:space="preserve"> </w:t>
      </w:r>
      <w:r>
        <w:rPr>
          <w:rFonts w:hint="eastAsia" w:ascii="宋体" w:hAnsi="宋体"/>
          <w:color w:val="000000"/>
        </w:rPr>
        <w:t>法律法规规定的其他否决投标条款。</w:t>
      </w:r>
    </w:p>
    <w:p>
      <w:pPr>
        <w:pStyle w:val="444"/>
        <w:spacing w:line="360" w:lineRule="auto"/>
        <w:ind w:firstLine="420" w:firstLineChars="200"/>
        <w:rPr>
          <w:color w:val="000000"/>
        </w:rPr>
      </w:pPr>
    </w:p>
    <w:p>
      <w:pPr>
        <w:pStyle w:val="358"/>
        <w:spacing w:line="360" w:lineRule="auto"/>
        <w:rPr>
          <w:rFonts w:hint="eastAsia"/>
          <w:b/>
          <w:color w:val="000000"/>
        </w:rPr>
      </w:pPr>
      <w:r>
        <w:rPr>
          <w:b/>
          <w:color w:val="000000"/>
        </w:rPr>
        <w:t>备注：</w:t>
      </w:r>
    </w:p>
    <w:p>
      <w:pPr>
        <w:pStyle w:val="358"/>
        <w:spacing w:line="360" w:lineRule="auto"/>
        <w:ind w:firstLine="420" w:firstLineChars="200"/>
        <w:rPr>
          <w:color w:val="000000"/>
        </w:rPr>
        <w:sectPr>
          <w:footerReference r:id="rId6" w:type="default"/>
          <w:pgSz w:w="11906" w:h="16838"/>
          <w:pgMar w:top="1246" w:right="1134" w:bottom="1418" w:left="1134" w:header="851" w:footer="992" w:gutter="0"/>
          <w:cols w:space="720" w:num="1"/>
          <w:docGrid w:type="lines" w:linePitch="312" w:charSpace="0"/>
        </w:sectPr>
      </w:pPr>
      <w:r>
        <w:rPr>
          <w:color w:val="000000"/>
        </w:rPr>
        <w:t>如果工程所在地</w:t>
      </w:r>
      <w:r>
        <w:rPr>
          <w:rFonts w:hint="eastAsia"/>
          <w:color w:val="000000"/>
        </w:rPr>
        <w:t>招投标监督管理部门</w:t>
      </w:r>
      <w:r>
        <w:rPr>
          <w:color w:val="000000"/>
        </w:rPr>
        <w:t>要求评标委员会对判定为否决投标的投标文件说明否决投标情况的，应增加“否决投标情况说明表”格式，否决投标情况说明应当对照招标文件规定的否决投标条件以及投标文件存在的具体问题，并在中标</w:t>
      </w:r>
      <w:r>
        <w:rPr>
          <w:rFonts w:hint="eastAsia"/>
          <w:color w:val="000000"/>
        </w:rPr>
        <w:t>候选人</w:t>
      </w:r>
      <w:r>
        <w:rPr>
          <w:color w:val="000000"/>
        </w:rPr>
        <w:t>公示时予以公开。</w:t>
      </w:r>
    </w:p>
    <w:p>
      <w:pPr>
        <w:pStyle w:val="4"/>
        <w:spacing w:line="240" w:lineRule="auto"/>
        <w:rPr>
          <w:sz w:val="28"/>
          <w:szCs w:val="28"/>
        </w:rPr>
      </w:pPr>
      <w:bookmarkStart w:id="714" w:name="_Toc59203025"/>
      <w:r>
        <w:rPr>
          <w:rFonts w:hint="eastAsia"/>
          <w:sz w:val="28"/>
          <w:szCs w:val="28"/>
        </w:rPr>
        <w:t>附表</w:t>
      </w:r>
      <w:r>
        <w:rPr>
          <w:sz w:val="28"/>
          <w:szCs w:val="28"/>
        </w:rPr>
        <w:t>A</w:t>
      </w:r>
      <w:r>
        <w:rPr>
          <w:rFonts w:hint="eastAsia"/>
          <w:sz w:val="28"/>
          <w:szCs w:val="28"/>
        </w:rPr>
        <w:t>－</w:t>
      </w:r>
      <w:r>
        <w:rPr>
          <w:sz w:val="28"/>
          <w:szCs w:val="28"/>
        </w:rPr>
        <w:t>1</w:t>
      </w:r>
      <w:r>
        <w:rPr>
          <w:rFonts w:hint="eastAsia"/>
          <w:sz w:val="28"/>
          <w:szCs w:val="28"/>
        </w:rPr>
        <w:t>：投标单位签到表</w:t>
      </w:r>
      <w:bookmarkEnd w:id="714"/>
    </w:p>
    <w:p>
      <w:pPr>
        <w:adjustRightInd w:val="0"/>
        <w:snapToGrid w:val="0"/>
        <w:jc w:val="center"/>
        <w:rPr>
          <w:rFonts w:eastAsia="黑体"/>
          <w:color w:val="000000"/>
          <w:sz w:val="28"/>
          <w:szCs w:val="28"/>
        </w:rPr>
      </w:pPr>
      <w:r>
        <w:rPr>
          <w:rFonts w:hint="eastAsia" w:eastAsia="黑体" w:cs="黑体"/>
          <w:color w:val="000000"/>
          <w:sz w:val="28"/>
          <w:szCs w:val="28"/>
        </w:rPr>
        <w:t>投标单位签到表</w:t>
      </w:r>
    </w:p>
    <w:p>
      <w:pPr>
        <w:adjustRightInd w:val="0"/>
        <w:snapToGrid w:val="0"/>
        <w:jc w:val="center"/>
        <w:rPr>
          <w:rFonts w:eastAsia="黑体"/>
          <w:color w:val="000000"/>
          <w:sz w:val="28"/>
          <w:szCs w:val="28"/>
        </w:rPr>
      </w:pPr>
    </w:p>
    <w:p>
      <w:pPr>
        <w:spacing w:after="72" w:afterLines="30"/>
        <w:rPr>
          <w:color w:val="000000"/>
        </w:rPr>
      </w:pPr>
      <w:r>
        <w:rPr>
          <w:rFonts w:hint="eastAsia" w:cs="宋体"/>
          <w:color w:val="000000"/>
        </w:rPr>
        <w:t>项目名称：</w:t>
      </w:r>
      <w:r>
        <w:rPr>
          <w:color w:val="000000"/>
          <w:u w:val="single"/>
        </w:rPr>
        <w:t xml:space="preserve">             </w:t>
      </w:r>
      <w:r>
        <w:rPr>
          <w:rFonts w:hint="eastAsia" w:cs="宋体"/>
          <w:color w:val="000000"/>
        </w:rPr>
        <w:t>（项目名称）</w:t>
      </w:r>
      <w:r>
        <w:rPr>
          <w:color w:val="000000"/>
        </w:rPr>
        <w:t xml:space="preserve">       </w:t>
      </w:r>
      <w:r>
        <w:rPr>
          <w:rFonts w:hint="eastAsia" w:cs="宋体"/>
          <w:color w:val="000000"/>
        </w:rPr>
        <w:t>项目招标编号：</w:t>
      </w:r>
      <w:r>
        <w:rPr>
          <w:color w:val="000000"/>
          <w:u w:val="single"/>
        </w:rPr>
        <w:t xml:space="preserve">               </w:t>
      </w:r>
      <w:r>
        <w:rPr>
          <w:color w:val="000000"/>
        </w:rPr>
        <w:t xml:space="preserve">         </w:t>
      </w:r>
      <w:r>
        <w:rPr>
          <w:rFonts w:hint="eastAsia" w:cs="宋体"/>
          <w:color w:val="000000"/>
        </w:rPr>
        <w:t>开标时间：</w:t>
      </w:r>
      <w:r>
        <w:rPr>
          <w:color w:val="000000"/>
          <w:u w:val="single"/>
        </w:rPr>
        <w:t xml:space="preserve">           </w:t>
      </w:r>
      <w:r>
        <w:rPr>
          <w:rFonts w:hint="eastAsia" w:cs="宋体"/>
          <w:color w:val="000000"/>
        </w:rPr>
        <w:t>年</w:t>
      </w:r>
      <w:r>
        <w:rPr>
          <w:color w:val="000000"/>
          <w:u w:val="single"/>
        </w:rPr>
        <w:t xml:space="preserve">      </w:t>
      </w:r>
      <w:r>
        <w:rPr>
          <w:rFonts w:hint="eastAsia" w:cs="宋体"/>
          <w:color w:val="000000"/>
        </w:rPr>
        <w:t>月</w:t>
      </w:r>
      <w:r>
        <w:rPr>
          <w:color w:val="000000"/>
          <w:u w:val="single"/>
        </w:rPr>
        <w:t xml:space="preserve">      </w:t>
      </w:r>
      <w:r>
        <w:rPr>
          <w:rFonts w:hint="eastAsia" w:cs="宋体"/>
          <w:color w:val="000000"/>
        </w:rPr>
        <w:t>日</w:t>
      </w:r>
    </w:p>
    <w:p>
      <w:pPr>
        <w:spacing w:after="72" w:afterLines="30"/>
        <w:rPr>
          <w:color w:val="000000"/>
        </w:rPr>
      </w:pPr>
      <w:r>
        <w:rPr>
          <w:rFonts w:hint="eastAsia" w:cs="宋体"/>
          <w:color w:val="000000"/>
        </w:rPr>
        <w:t>招标人：</w:t>
      </w:r>
      <w:r>
        <w:rPr>
          <w:color w:val="000000"/>
          <w:u w:val="single"/>
        </w:rPr>
        <w:t xml:space="preserve">                            </w:t>
      </w:r>
      <w:r>
        <w:rPr>
          <w:color w:val="000000"/>
        </w:rPr>
        <w:t xml:space="preserve">       </w:t>
      </w:r>
      <w:r>
        <w:rPr>
          <w:rFonts w:hint="eastAsia" w:cs="宋体"/>
          <w:color w:val="000000"/>
        </w:rPr>
        <w:t>招标代理机构：</w:t>
      </w:r>
      <w:r>
        <w:rPr>
          <w:color w:val="000000"/>
          <w:u w:val="single"/>
        </w:rPr>
        <w:t xml:space="preserve">               </w:t>
      </w:r>
      <w:r>
        <w:rPr>
          <w:rFonts w:hint="eastAsia" w:cs="宋体"/>
          <w:color w:val="000000"/>
        </w:rPr>
        <w:t>招标代理员身份证号：</w:t>
      </w:r>
    </w:p>
    <w:tbl>
      <w:tblPr>
        <w:tblStyle w:val="83"/>
        <w:tblpPr w:leftFromText="180" w:rightFromText="180" w:vertAnchor="text" w:horzAnchor="margin" w:tblpY="52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3284"/>
        <w:gridCol w:w="1260"/>
        <w:gridCol w:w="2895"/>
        <w:gridCol w:w="1185"/>
        <w:gridCol w:w="821"/>
        <w:gridCol w:w="1559"/>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85" w:hRule="exact"/>
        </w:trPr>
        <w:tc>
          <w:tcPr>
            <w:tcW w:w="586" w:type="dxa"/>
            <w:vMerge w:val="restart"/>
            <w:noWrap w:val="0"/>
            <w:vAlign w:val="center"/>
          </w:tcPr>
          <w:p>
            <w:pPr>
              <w:spacing w:line="280" w:lineRule="exact"/>
              <w:jc w:val="center"/>
              <w:rPr>
                <w:color w:val="000000"/>
              </w:rPr>
            </w:pPr>
            <w:r>
              <w:rPr>
                <w:rFonts w:hint="eastAsia" w:cs="宋体"/>
                <w:color w:val="000000"/>
              </w:rPr>
              <w:t>序号</w:t>
            </w:r>
          </w:p>
        </w:tc>
        <w:tc>
          <w:tcPr>
            <w:tcW w:w="3284" w:type="dxa"/>
            <w:vMerge w:val="restart"/>
            <w:noWrap w:val="0"/>
            <w:vAlign w:val="center"/>
          </w:tcPr>
          <w:p>
            <w:pPr>
              <w:spacing w:line="280" w:lineRule="exact"/>
              <w:jc w:val="center"/>
              <w:rPr>
                <w:color w:val="000000"/>
              </w:rPr>
            </w:pPr>
            <w:r>
              <w:rPr>
                <w:rFonts w:hint="eastAsia" w:cs="宋体"/>
                <w:color w:val="000000"/>
              </w:rPr>
              <w:t>投标单位</w:t>
            </w:r>
          </w:p>
        </w:tc>
        <w:tc>
          <w:tcPr>
            <w:tcW w:w="5340" w:type="dxa"/>
            <w:gridSpan w:val="3"/>
            <w:noWrap w:val="0"/>
            <w:vAlign w:val="top"/>
          </w:tcPr>
          <w:p>
            <w:pPr>
              <w:spacing w:line="280" w:lineRule="exact"/>
              <w:jc w:val="center"/>
              <w:rPr>
                <w:color w:val="000000"/>
              </w:rPr>
            </w:pPr>
            <w:r>
              <w:rPr>
                <w:rFonts w:hint="eastAsia" w:cs="宋体"/>
                <w:color w:val="000000"/>
              </w:rPr>
              <w:t>专职投标员</w:t>
            </w:r>
          </w:p>
        </w:tc>
        <w:tc>
          <w:tcPr>
            <w:tcW w:w="821" w:type="dxa"/>
            <w:vMerge w:val="restart"/>
            <w:noWrap w:val="0"/>
            <w:vAlign w:val="center"/>
          </w:tcPr>
          <w:p>
            <w:pPr>
              <w:spacing w:line="280" w:lineRule="exact"/>
              <w:jc w:val="center"/>
              <w:rPr>
                <w:color w:val="000000"/>
              </w:rPr>
            </w:pPr>
            <w:r>
              <w:rPr>
                <w:rFonts w:hint="eastAsia" w:cs="宋体"/>
                <w:color w:val="000000"/>
              </w:rPr>
              <w:t>核查</w:t>
            </w:r>
          </w:p>
          <w:p>
            <w:pPr>
              <w:spacing w:line="280" w:lineRule="exact"/>
              <w:jc w:val="center"/>
              <w:rPr>
                <w:color w:val="000000"/>
              </w:rPr>
            </w:pPr>
            <w:r>
              <w:rPr>
                <w:rFonts w:hint="eastAsia" w:cs="宋体"/>
                <w:color w:val="000000"/>
              </w:rPr>
              <w:t>结论</w:t>
            </w:r>
          </w:p>
        </w:tc>
        <w:tc>
          <w:tcPr>
            <w:tcW w:w="1559" w:type="dxa"/>
            <w:vMerge w:val="restart"/>
            <w:noWrap w:val="0"/>
            <w:vAlign w:val="center"/>
          </w:tcPr>
          <w:p>
            <w:pPr>
              <w:spacing w:line="280" w:lineRule="exact"/>
              <w:jc w:val="center"/>
              <w:rPr>
                <w:color w:val="000000"/>
              </w:rPr>
            </w:pPr>
            <w:r>
              <w:rPr>
                <w:rFonts w:hint="eastAsia" w:cs="宋体"/>
                <w:color w:val="000000"/>
              </w:rPr>
              <w:t>法定代表人或专职投标员签字（必须为专职投标员持证本人）或盖法人单位电子</w:t>
            </w:r>
            <w:r>
              <w:rPr>
                <w:rFonts w:cs="宋体"/>
                <w:color w:val="000000"/>
              </w:rPr>
              <w:t>章</w:t>
            </w:r>
          </w:p>
        </w:tc>
        <w:tc>
          <w:tcPr>
            <w:tcW w:w="2126" w:type="dxa"/>
            <w:vMerge w:val="restart"/>
            <w:noWrap w:val="0"/>
            <w:vAlign w:val="top"/>
          </w:tcPr>
          <w:p>
            <w:pPr>
              <w:spacing w:line="280" w:lineRule="exact"/>
              <w:jc w:val="center"/>
              <w:rPr>
                <w:color w:val="000000"/>
              </w:rPr>
            </w:pPr>
            <w:r>
              <w:rPr>
                <w:rFonts w:hint="eastAsia" w:cs="宋体"/>
                <w:color w:val="000000"/>
              </w:rPr>
              <w:t>验证专职投标员与投标文件中专职投标员是否一致</w:t>
            </w:r>
          </w:p>
          <w:p>
            <w:pPr>
              <w:spacing w:line="280" w:lineRule="exact"/>
              <w:jc w:val="center"/>
              <w:rPr>
                <w:rFonts w:hint="eastAsia" w:cs="宋体"/>
                <w:color w:val="000000"/>
              </w:rPr>
            </w:pPr>
            <w:r>
              <w:rPr>
                <w:rFonts w:hint="eastAsia" w:cs="宋体"/>
                <w:color w:val="000000"/>
              </w:rPr>
              <w:t>（本列由评委填写）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67" w:hRule="exact"/>
        </w:trPr>
        <w:tc>
          <w:tcPr>
            <w:tcW w:w="586" w:type="dxa"/>
            <w:vMerge w:val="continue"/>
            <w:noWrap w:val="0"/>
            <w:vAlign w:val="center"/>
          </w:tcPr>
          <w:p>
            <w:pPr>
              <w:spacing w:line="200" w:lineRule="exact"/>
              <w:jc w:val="center"/>
              <w:rPr>
                <w:color w:val="000000"/>
              </w:rPr>
            </w:pPr>
          </w:p>
        </w:tc>
        <w:tc>
          <w:tcPr>
            <w:tcW w:w="3284" w:type="dxa"/>
            <w:vMerge w:val="continue"/>
            <w:noWrap w:val="0"/>
            <w:vAlign w:val="center"/>
          </w:tcPr>
          <w:p>
            <w:pPr>
              <w:spacing w:line="200" w:lineRule="exact"/>
              <w:jc w:val="center"/>
              <w:rPr>
                <w:color w:val="000000"/>
              </w:rPr>
            </w:pPr>
          </w:p>
        </w:tc>
        <w:tc>
          <w:tcPr>
            <w:tcW w:w="1260" w:type="dxa"/>
            <w:noWrap w:val="0"/>
            <w:vAlign w:val="center"/>
          </w:tcPr>
          <w:p>
            <w:pPr>
              <w:spacing w:line="200" w:lineRule="exact"/>
              <w:jc w:val="center"/>
              <w:rPr>
                <w:color w:val="000000"/>
                <w:sz w:val="18"/>
                <w:szCs w:val="18"/>
              </w:rPr>
            </w:pPr>
            <w:r>
              <w:rPr>
                <w:rFonts w:hint="eastAsia" w:cs="宋体"/>
                <w:color w:val="000000"/>
                <w:sz w:val="18"/>
                <w:szCs w:val="18"/>
              </w:rPr>
              <w:t>姓名</w:t>
            </w:r>
          </w:p>
        </w:tc>
        <w:tc>
          <w:tcPr>
            <w:tcW w:w="2895" w:type="dxa"/>
            <w:noWrap w:val="0"/>
            <w:vAlign w:val="center"/>
          </w:tcPr>
          <w:p>
            <w:pPr>
              <w:spacing w:line="200" w:lineRule="exact"/>
              <w:jc w:val="center"/>
              <w:rPr>
                <w:color w:val="000000"/>
                <w:sz w:val="18"/>
                <w:szCs w:val="18"/>
              </w:rPr>
            </w:pPr>
            <w:r>
              <w:rPr>
                <w:rFonts w:hint="eastAsia" w:cs="宋体"/>
                <w:color w:val="000000"/>
                <w:sz w:val="18"/>
                <w:szCs w:val="18"/>
              </w:rPr>
              <w:t>身份证号</w:t>
            </w:r>
          </w:p>
        </w:tc>
        <w:tc>
          <w:tcPr>
            <w:tcW w:w="1185" w:type="dxa"/>
            <w:noWrap w:val="0"/>
            <w:vAlign w:val="center"/>
          </w:tcPr>
          <w:p>
            <w:pPr>
              <w:spacing w:line="200" w:lineRule="exact"/>
              <w:jc w:val="center"/>
              <w:rPr>
                <w:color w:val="000000"/>
                <w:sz w:val="18"/>
                <w:szCs w:val="18"/>
              </w:rPr>
            </w:pPr>
            <w:r>
              <w:rPr>
                <w:rFonts w:hint="eastAsia" w:cs="宋体"/>
                <w:color w:val="000000"/>
                <w:sz w:val="18"/>
                <w:szCs w:val="18"/>
              </w:rPr>
              <w:t>诚信信息是否有效（处于启用状态方为有效）</w:t>
            </w:r>
          </w:p>
        </w:tc>
        <w:tc>
          <w:tcPr>
            <w:tcW w:w="821" w:type="dxa"/>
            <w:vMerge w:val="continue"/>
            <w:noWrap w:val="0"/>
            <w:vAlign w:val="center"/>
          </w:tcPr>
          <w:p>
            <w:pPr>
              <w:spacing w:line="200" w:lineRule="exact"/>
              <w:jc w:val="center"/>
              <w:rPr>
                <w:color w:val="000000"/>
                <w:sz w:val="18"/>
                <w:szCs w:val="18"/>
              </w:rPr>
            </w:pPr>
          </w:p>
        </w:tc>
        <w:tc>
          <w:tcPr>
            <w:tcW w:w="1559" w:type="dxa"/>
            <w:vMerge w:val="continue"/>
            <w:noWrap w:val="0"/>
            <w:vAlign w:val="center"/>
          </w:tcPr>
          <w:p>
            <w:pPr>
              <w:spacing w:line="200" w:lineRule="exact"/>
              <w:jc w:val="center"/>
              <w:rPr>
                <w:color w:val="000000"/>
                <w:sz w:val="18"/>
                <w:szCs w:val="18"/>
              </w:rPr>
            </w:pPr>
          </w:p>
        </w:tc>
        <w:tc>
          <w:tcPr>
            <w:tcW w:w="2126" w:type="dxa"/>
            <w:vMerge w:val="continue"/>
            <w:noWrap w:val="0"/>
            <w:vAlign w:val="top"/>
          </w:tcPr>
          <w:p>
            <w:pPr>
              <w:spacing w:line="20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56" w:hRule="atLeast"/>
        </w:trPr>
        <w:tc>
          <w:tcPr>
            <w:tcW w:w="586" w:type="dxa"/>
            <w:noWrap w:val="0"/>
            <w:vAlign w:val="center"/>
          </w:tcPr>
          <w:p>
            <w:pPr>
              <w:spacing w:line="200" w:lineRule="exact"/>
              <w:jc w:val="center"/>
              <w:rPr>
                <w:rFonts w:eastAsia="黑体"/>
                <w:color w:val="000000"/>
              </w:rPr>
            </w:pPr>
            <w:r>
              <w:rPr>
                <w:rFonts w:eastAsia="黑体"/>
                <w:color w:val="000000"/>
              </w:rPr>
              <w:t>1</w:t>
            </w:r>
          </w:p>
        </w:tc>
        <w:tc>
          <w:tcPr>
            <w:tcW w:w="3284" w:type="dxa"/>
            <w:noWrap w:val="0"/>
            <w:vAlign w:val="center"/>
          </w:tcPr>
          <w:p>
            <w:pPr>
              <w:spacing w:line="200" w:lineRule="exact"/>
              <w:jc w:val="center"/>
              <w:rPr>
                <w:color w:val="000000"/>
              </w:rPr>
            </w:pPr>
          </w:p>
        </w:tc>
        <w:tc>
          <w:tcPr>
            <w:tcW w:w="1260" w:type="dxa"/>
            <w:noWrap w:val="0"/>
            <w:vAlign w:val="center"/>
          </w:tcPr>
          <w:p>
            <w:pPr>
              <w:spacing w:line="200" w:lineRule="exact"/>
              <w:jc w:val="center"/>
              <w:rPr>
                <w:color w:val="000000"/>
              </w:rPr>
            </w:pPr>
          </w:p>
        </w:tc>
        <w:tc>
          <w:tcPr>
            <w:tcW w:w="2895" w:type="dxa"/>
            <w:noWrap w:val="0"/>
            <w:vAlign w:val="center"/>
          </w:tcPr>
          <w:p>
            <w:pPr>
              <w:spacing w:line="200" w:lineRule="exact"/>
              <w:jc w:val="center"/>
              <w:rPr>
                <w:color w:val="000000"/>
              </w:rPr>
            </w:pPr>
          </w:p>
        </w:tc>
        <w:tc>
          <w:tcPr>
            <w:tcW w:w="1185" w:type="dxa"/>
            <w:noWrap w:val="0"/>
            <w:vAlign w:val="center"/>
          </w:tcPr>
          <w:p>
            <w:pPr>
              <w:spacing w:line="200" w:lineRule="exact"/>
              <w:jc w:val="center"/>
              <w:rPr>
                <w:color w:val="000000"/>
              </w:rPr>
            </w:pPr>
          </w:p>
        </w:tc>
        <w:tc>
          <w:tcPr>
            <w:tcW w:w="821" w:type="dxa"/>
            <w:noWrap w:val="0"/>
            <w:vAlign w:val="center"/>
          </w:tcPr>
          <w:p>
            <w:pPr>
              <w:spacing w:line="200" w:lineRule="exact"/>
              <w:jc w:val="center"/>
              <w:rPr>
                <w:color w:val="000000"/>
              </w:rPr>
            </w:pPr>
          </w:p>
        </w:tc>
        <w:tc>
          <w:tcPr>
            <w:tcW w:w="1559" w:type="dxa"/>
            <w:noWrap w:val="0"/>
            <w:vAlign w:val="center"/>
          </w:tcPr>
          <w:p>
            <w:pPr>
              <w:spacing w:line="200" w:lineRule="exact"/>
              <w:jc w:val="center"/>
              <w:rPr>
                <w:color w:val="000000"/>
              </w:rPr>
            </w:pPr>
          </w:p>
        </w:tc>
        <w:tc>
          <w:tcPr>
            <w:tcW w:w="2126" w:type="dxa"/>
            <w:noWrap w:val="0"/>
            <w:vAlign w:val="top"/>
          </w:tcPr>
          <w:p>
            <w:pPr>
              <w:spacing w:line="20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60" w:hRule="atLeast"/>
        </w:trPr>
        <w:tc>
          <w:tcPr>
            <w:tcW w:w="586" w:type="dxa"/>
            <w:noWrap w:val="0"/>
            <w:vAlign w:val="center"/>
          </w:tcPr>
          <w:p>
            <w:pPr>
              <w:spacing w:line="200" w:lineRule="exact"/>
              <w:jc w:val="center"/>
              <w:rPr>
                <w:rFonts w:eastAsia="黑体"/>
                <w:color w:val="000000"/>
              </w:rPr>
            </w:pPr>
            <w:r>
              <w:rPr>
                <w:rFonts w:eastAsia="黑体"/>
                <w:color w:val="000000"/>
              </w:rPr>
              <w:t>2</w:t>
            </w:r>
          </w:p>
        </w:tc>
        <w:tc>
          <w:tcPr>
            <w:tcW w:w="3284" w:type="dxa"/>
            <w:noWrap w:val="0"/>
            <w:vAlign w:val="center"/>
          </w:tcPr>
          <w:p>
            <w:pPr>
              <w:spacing w:line="200" w:lineRule="exact"/>
              <w:jc w:val="center"/>
              <w:rPr>
                <w:color w:val="000000"/>
              </w:rPr>
            </w:pPr>
          </w:p>
        </w:tc>
        <w:tc>
          <w:tcPr>
            <w:tcW w:w="1260" w:type="dxa"/>
            <w:noWrap w:val="0"/>
            <w:vAlign w:val="center"/>
          </w:tcPr>
          <w:p>
            <w:pPr>
              <w:spacing w:line="200" w:lineRule="exact"/>
              <w:jc w:val="center"/>
              <w:rPr>
                <w:color w:val="000000"/>
              </w:rPr>
            </w:pPr>
          </w:p>
        </w:tc>
        <w:tc>
          <w:tcPr>
            <w:tcW w:w="2895" w:type="dxa"/>
            <w:noWrap w:val="0"/>
            <w:vAlign w:val="center"/>
          </w:tcPr>
          <w:p>
            <w:pPr>
              <w:spacing w:line="200" w:lineRule="exact"/>
              <w:jc w:val="center"/>
              <w:rPr>
                <w:color w:val="000000"/>
              </w:rPr>
            </w:pPr>
          </w:p>
        </w:tc>
        <w:tc>
          <w:tcPr>
            <w:tcW w:w="1185" w:type="dxa"/>
            <w:noWrap w:val="0"/>
            <w:vAlign w:val="center"/>
          </w:tcPr>
          <w:p>
            <w:pPr>
              <w:spacing w:line="200" w:lineRule="exact"/>
              <w:jc w:val="center"/>
              <w:rPr>
                <w:color w:val="000000"/>
              </w:rPr>
            </w:pPr>
          </w:p>
        </w:tc>
        <w:tc>
          <w:tcPr>
            <w:tcW w:w="821" w:type="dxa"/>
            <w:noWrap w:val="0"/>
            <w:vAlign w:val="center"/>
          </w:tcPr>
          <w:p>
            <w:pPr>
              <w:spacing w:line="200" w:lineRule="exact"/>
              <w:jc w:val="center"/>
              <w:rPr>
                <w:color w:val="000000"/>
              </w:rPr>
            </w:pPr>
          </w:p>
        </w:tc>
        <w:tc>
          <w:tcPr>
            <w:tcW w:w="1559" w:type="dxa"/>
            <w:noWrap w:val="0"/>
            <w:vAlign w:val="center"/>
          </w:tcPr>
          <w:p>
            <w:pPr>
              <w:spacing w:line="200" w:lineRule="exact"/>
              <w:jc w:val="center"/>
              <w:rPr>
                <w:color w:val="000000"/>
              </w:rPr>
            </w:pPr>
          </w:p>
        </w:tc>
        <w:tc>
          <w:tcPr>
            <w:tcW w:w="2126" w:type="dxa"/>
            <w:noWrap w:val="0"/>
            <w:vAlign w:val="top"/>
          </w:tcPr>
          <w:p>
            <w:pPr>
              <w:spacing w:line="20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44" w:hRule="atLeast"/>
        </w:trPr>
        <w:tc>
          <w:tcPr>
            <w:tcW w:w="586" w:type="dxa"/>
            <w:noWrap w:val="0"/>
            <w:vAlign w:val="center"/>
          </w:tcPr>
          <w:p>
            <w:pPr>
              <w:spacing w:line="200" w:lineRule="exact"/>
              <w:jc w:val="center"/>
              <w:rPr>
                <w:rFonts w:eastAsia="黑体"/>
                <w:color w:val="000000"/>
              </w:rPr>
            </w:pPr>
            <w:r>
              <w:rPr>
                <w:rFonts w:eastAsia="黑体"/>
                <w:color w:val="000000"/>
              </w:rPr>
              <w:t>…</w:t>
            </w:r>
          </w:p>
        </w:tc>
        <w:tc>
          <w:tcPr>
            <w:tcW w:w="3284" w:type="dxa"/>
            <w:noWrap w:val="0"/>
            <w:vAlign w:val="center"/>
          </w:tcPr>
          <w:p>
            <w:pPr>
              <w:spacing w:line="200" w:lineRule="exact"/>
              <w:jc w:val="center"/>
              <w:rPr>
                <w:color w:val="000000"/>
              </w:rPr>
            </w:pPr>
          </w:p>
        </w:tc>
        <w:tc>
          <w:tcPr>
            <w:tcW w:w="1260" w:type="dxa"/>
            <w:noWrap w:val="0"/>
            <w:vAlign w:val="center"/>
          </w:tcPr>
          <w:p>
            <w:pPr>
              <w:spacing w:line="200" w:lineRule="exact"/>
              <w:jc w:val="center"/>
              <w:rPr>
                <w:color w:val="000000"/>
              </w:rPr>
            </w:pPr>
          </w:p>
        </w:tc>
        <w:tc>
          <w:tcPr>
            <w:tcW w:w="2895" w:type="dxa"/>
            <w:noWrap w:val="0"/>
            <w:vAlign w:val="center"/>
          </w:tcPr>
          <w:p>
            <w:pPr>
              <w:spacing w:line="200" w:lineRule="exact"/>
              <w:jc w:val="center"/>
              <w:rPr>
                <w:color w:val="000000"/>
              </w:rPr>
            </w:pPr>
          </w:p>
        </w:tc>
        <w:tc>
          <w:tcPr>
            <w:tcW w:w="1185" w:type="dxa"/>
            <w:noWrap w:val="0"/>
            <w:vAlign w:val="center"/>
          </w:tcPr>
          <w:p>
            <w:pPr>
              <w:spacing w:line="200" w:lineRule="exact"/>
              <w:jc w:val="center"/>
              <w:rPr>
                <w:color w:val="000000"/>
              </w:rPr>
            </w:pPr>
          </w:p>
        </w:tc>
        <w:tc>
          <w:tcPr>
            <w:tcW w:w="821" w:type="dxa"/>
            <w:noWrap w:val="0"/>
            <w:vAlign w:val="center"/>
          </w:tcPr>
          <w:p>
            <w:pPr>
              <w:spacing w:line="200" w:lineRule="exact"/>
              <w:jc w:val="center"/>
              <w:rPr>
                <w:color w:val="000000"/>
              </w:rPr>
            </w:pPr>
          </w:p>
        </w:tc>
        <w:tc>
          <w:tcPr>
            <w:tcW w:w="1559" w:type="dxa"/>
            <w:noWrap w:val="0"/>
            <w:vAlign w:val="center"/>
          </w:tcPr>
          <w:p>
            <w:pPr>
              <w:spacing w:line="200" w:lineRule="exact"/>
              <w:jc w:val="center"/>
              <w:rPr>
                <w:color w:val="000000"/>
              </w:rPr>
            </w:pPr>
          </w:p>
        </w:tc>
        <w:tc>
          <w:tcPr>
            <w:tcW w:w="2126" w:type="dxa"/>
            <w:noWrap w:val="0"/>
            <w:vAlign w:val="top"/>
          </w:tcPr>
          <w:p>
            <w:pPr>
              <w:spacing w:line="200" w:lineRule="exact"/>
              <w:jc w:val="center"/>
              <w:rPr>
                <w:color w:val="000000"/>
              </w:rPr>
            </w:pPr>
          </w:p>
        </w:tc>
      </w:tr>
    </w:tbl>
    <w:p>
      <w:pPr>
        <w:rPr>
          <w:rFonts w:ascii="宋体"/>
          <w:color w:val="000000"/>
        </w:rPr>
      </w:pPr>
    </w:p>
    <w:p>
      <w:pPr>
        <w:rPr>
          <w:rFonts w:hint="eastAsia" w:ascii="宋体" w:hAnsi="宋体" w:cs="宋体"/>
          <w:color w:val="000000"/>
        </w:rPr>
      </w:pPr>
    </w:p>
    <w:p>
      <w:pPr>
        <w:rPr>
          <w:rFonts w:ascii="宋体"/>
          <w:color w:val="000000"/>
        </w:rPr>
      </w:pPr>
      <w:r>
        <w:rPr>
          <w:rFonts w:hint="eastAsia" w:ascii="宋体" w:hAnsi="宋体" w:cs="宋体"/>
          <w:color w:val="000000"/>
        </w:rPr>
        <w:t>招标人授权代表（签字）：</w:t>
      </w:r>
      <w:r>
        <w:rPr>
          <w:rFonts w:ascii="宋体" w:hAnsi="宋体" w:cs="宋体"/>
          <w:color w:val="000000"/>
        </w:rPr>
        <w:t xml:space="preserve">                            </w:t>
      </w:r>
      <w:r>
        <w:rPr>
          <w:rFonts w:hint="eastAsia" w:ascii="宋体" w:hAnsi="宋体" w:cs="宋体"/>
          <w:color w:val="000000"/>
        </w:rPr>
        <w:t>记录人（签字）：</w:t>
      </w:r>
      <w:r>
        <w:rPr>
          <w:rFonts w:ascii="宋体" w:hAnsi="宋体" w:cs="宋体"/>
          <w:color w:val="000000"/>
        </w:rPr>
        <w:t xml:space="preserve">                             </w:t>
      </w:r>
      <w:r>
        <w:rPr>
          <w:rFonts w:hint="eastAsia" w:ascii="宋体" w:hAnsi="宋体" w:cs="宋体"/>
          <w:color w:val="000000"/>
        </w:rPr>
        <w:t>监督人员（签字）：</w:t>
      </w:r>
    </w:p>
    <w:p>
      <w:pPr>
        <w:rPr>
          <w:rFonts w:hint="eastAsia" w:cs="宋体"/>
          <w:color w:val="000000"/>
        </w:rPr>
      </w:pPr>
      <w:r>
        <w:rPr>
          <w:rFonts w:hint="eastAsia" w:cs="宋体"/>
          <w:color w:val="000000"/>
        </w:rPr>
        <w:t>注：开标前身份证验证时，如投标单位的专职投标员的</w:t>
      </w:r>
      <w:r>
        <w:rPr>
          <w:rFonts w:hint="eastAsia"/>
          <w:color w:val="000000"/>
        </w:rPr>
        <w:t>诚信信息未处</w:t>
      </w:r>
      <w:r>
        <w:rPr>
          <w:rFonts w:hint="eastAsia" w:cs="宋体"/>
          <w:color w:val="000000"/>
        </w:rPr>
        <w:t>于有效状态，则为</w:t>
      </w:r>
      <w:r>
        <w:rPr>
          <w:rFonts w:hint="eastAsia"/>
          <w:color w:val="000000"/>
        </w:rPr>
        <w:t>诚信信息</w:t>
      </w:r>
      <w:r>
        <w:rPr>
          <w:rFonts w:hint="eastAsia" w:cs="宋体"/>
          <w:color w:val="000000"/>
        </w:rPr>
        <w:t>未通过验证，该投标</w:t>
      </w:r>
      <w:r>
        <w:rPr>
          <w:rFonts w:cs="宋体"/>
          <w:color w:val="000000"/>
        </w:rPr>
        <w:t>文件</w:t>
      </w:r>
      <w:r>
        <w:rPr>
          <w:rFonts w:hint="eastAsia" w:cs="宋体"/>
          <w:color w:val="000000"/>
        </w:rPr>
        <w:t>投标无</w:t>
      </w:r>
      <w:r>
        <w:rPr>
          <w:rFonts w:cs="宋体"/>
          <w:color w:val="000000"/>
        </w:rPr>
        <w:t>效</w:t>
      </w:r>
      <w:r>
        <w:rPr>
          <w:rFonts w:hint="eastAsia" w:cs="宋体"/>
          <w:color w:val="000000"/>
        </w:rPr>
        <w:t>。评标时，如评委发现投标单位投标文件中专职投标员与开标时所验身份证的专职投标员不相符时，应视作该投标单位的</w:t>
      </w:r>
      <w:r>
        <w:rPr>
          <w:rFonts w:hint="eastAsia"/>
          <w:color w:val="000000"/>
        </w:rPr>
        <w:t>诚信信息</w:t>
      </w:r>
      <w:r>
        <w:rPr>
          <w:rFonts w:hint="eastAsia" w:cs="宋体"/>
          <w:color w:val="000000"/>
        </w:rPr>
        <w:t>未通过验证。</w:t>
      </w:r>
    </w:p>
    <w:p>
      <w:pPr>
        <w:pStyle w:val="4"/>
        <w:spacing w:line="240" w:lineRule="auto"/>
        <w:rPr>
          <w:rFonts w:hint="eastAsia"/>
        </w:rPr>
      </w:pPr>
      <w:r>
        <w:rPr>
          <w:rFonts w:eastAsia="黑体"/>
          <w:sz w:val="24"/>
        </w:rPr>
        <w:br w:type="page"/>
      </w:r>
      <w:bookmarkStart w:id="715" w:name="_Toc59203026"/>
      <w:r>
        <w:rPr>
          <w:rFonts w:hint="eastAsia"/>
          <w:sz w:val="28"/>
          <w:szCs w:val="28"/>
        </w:rPr>
        <w:t>附表</w:t>
      </w:r>
      <w:r>
        <w:rPr>
          <w:sz w:val="28"/>
          <w:szCs w:val="28"/>
        </w:rPr>
        <w:t>A</w:t>
      </w:r>
      <w:r>
        <w:rPr>
          <w:rFonts w:hint="eastAsia"/>
          <w:sz w:val="28"/>
          <w:szCs w:val="28"/>
        </w:rPr>
        <w:t>－2：投标单位人员诚信状态核查情况记录表</w:t>
      </w:r>
      <w:bookmarkEnd w:id="715"/>
    </w:p>
    <w:p>
      <w:pPr>
        <w:spacing w:line="440" w:lineRule="exact"/>
        <w:jc w:val="center"/>
        <w:rPr>
          <w:rFonts w:cs="宋体"/>
          <w:b/>
          <w:bCs/>
          <w:color w:val="000000"/>
        </w:rPr>
      </w:pPr>
      <w:r>
        <w:rPr>
          <w:rFonts w:hint="eastAsia" w:eastAsia="黑体" w:cs="黑体"/>
          <w:color w:val="000000"/>
          <w:sz w:val="28"/>
          <w:szCs w:val="28"/>
        </w:rPr>
        <w:t>投标单位人员诚信状态核查情况记录表</w:t>
      </w:r>
    </w:p>
    <w:p>
      <w:pPr>
        <w:spacing w:after="72" w:afterLines="30"/>
        <w:rPr>
          <w:color w:val="000000"/>
        </w:rPr>
      </w:pPr>
      <w:r>
        <w:rPr>
          <w:rFonts w:hint="eastAsia" w:cs="宋体"/>
          <w:color w:val="000000"/>
        </w:rPr>
        <w:t>项目名称：</w:t>
      </w:r>
      <w:r>
        <w:rPr>
          <w:color w:val="000000"/>
          <w:u w:val="single"/>
        </w:rPr>
        <w:t xml:space="preserve">             </w:t>
      </w:r>
      <w:r>
        <w:rPr>
          <w:rFonts w:hint="eastAsia" w:cs="宋体"/>
          <w:color w:val="000000"/>
        </w:rPr>
        <w:t>（项目名称）</w:t>
      </w:r>
      <w:r>
        <w:rPr>
          <w:color w:val="000000"/>
        </w:rPr>
        <w:t xml:space="preserve">       </w:t>
      </w:r>
      <w:r>
        <w:rPr>
          <w:rFonts w:hint="eastAsia" w:cs="宋体"/>
          <w:color w:val="000000"/>
        </w:rPr>
        <w:t>项目招标编号：</w:t>
      </w:r>
      <w:r>
        <w:rPr>
          <w:color w:val="000000"/>
          <w:u w:val="single"/>
        </w:rPr>
        <w:t xml:space="preserve">               </w:t>
      </w:r>
      <w:r>
        <w:rPr>
          <w:color w:val="000000"/>
        </w:rPr>
        <w:t xml:space="preserve">         </w:t>
      </w:r>
      <w:r>
        <w:rPr>
          <w:rFonts w:hint="eastAsia" w:cs="宋体"/>
          <w:color w:val="000000"/>
        </w:rPr>
        <w:t>开标时间：</w:t>
      </w:r>
      <w:r>
        <w:rPr>
          <w:color w:val="000000"/>
          <w:u w:val="single"/>
        </w:rPr>
        <w:t xml:space="preserve">           </w:t>
      </w:r>
      <w:r>
        <w:rPr>
          <w:rFonts w:hint="eastAsia" w:cs="宋体"/>
          <w:color w:val="000000"/>
        </w:rPr>
        <w:t>年</w:t>
      </w:r>
      <w:r>
        <w:rPr>
          <w:color w:val="000000"/>
          <w:u w:val="single"/>
        </w:rPr>
        <w:t xml:space="preserve">      </w:t>
      </w:r>
      <w:r>
        <w:rPr>
          <w:rFonts w:hint="eastAsia" w:cs="宋体"/>
          <w:color w:val="000000"/>
        </w:rPr>
        <w:t>月</w:t>
      </w:r>
      <w:r>
        <w:rPr>
          <w:color w:val="000000"/>
          <w:u w:val="single"/>
        </w:rPr>
        <w:t xml:space="preserve">      </w:t>
      </w:r>
      <w:r>
        <w:rPr>
          <w:rFonts w:hint="eastAsia" w:cs="宋体"/>
          <w:color w:val="000000"/>
        </w:rPr>
        <w:t>日</w:t>
      </w:r>
    </w:p>
    <w:p>
      <w:pPr>
        <w:spacing w:after="72" w:afterLines="30"/>
        <w:rPr>
          <w:rFonts w:ascii="宋体"/>
          <w:color w:val="000000"/>
        </w:rPr>
      </w:pPr>
      <w:r>
        <w:rPr>
          <w:rFonts w:hint="eastAsia" w:cs="宋体"/>
          <w:color w:val="000000"/>
        </w:rPr>
        <w:t>招标人：</w:t>
      </w:r>
      <w:r>
        <w:rPr>
          <w:color w:val="000000"/>
          <w:u w:val="single"/>
        </w:rPr>
        <w:t xml:space="preserve">                                                         </w:t>
      </w:r>
      <w:r>
        <w:rPr>
          <w:color w:val="000000"/>
        </w:rPr>
        <w:t xml:space="preserve">         </w:t>
      </w:r>
      <w:r>
        <w:rPr>
          <w:rFonts w:hint="eastAsia" w:cs="宋体"/>
          <w:color w:val="000000"/>
        </w:rPr>
        <w:t>招标代理机构：</w:t>
      </w:r>
      <w:r>
        <w:rPr>
          <w:color w:val="000000"/>
          <w:u w:val="single"/>
        </w:rPr>
        <w:t xml:space="preserve">               </w:t>
      </w:r>
      <w:r>
        <w:rPr>
          <w:rFonts w:hint="eastAsia"/>
          <w:color w:val="000000"/>
          <w:u w:val="single"/>
        </w:rPr>
        <w:t xml:space="preserve">                </w:t>
      </w:r>
    </w:p>
    <w:tbl>
      <w:tblPr>
        <w:tblStyle w:val="83"/>
        <w:tblpPr w:leftFromText="180" w:rightFromText="180" w:vertAnchor="text" w:horzAnchor="page" w:tblpX="1145" w:tblpY="7"/>
        <w:tblOverlap w:val="never"/>
        <w:tblW w:w="148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205"/>
        <w:gridCol w:w="1418"/>
        <w:gridCol w:w="850"/>
        <w:gridCol w:w="1276"/>
        <w:gridCol w:w="992"/>
        <w:gridCol w:w="1276"/>
        <w:gridCol w:w="709"/>
        <w:gridCol w:w="992"/>
        <w:gridCol w:w="1276"/>
        <w:gridCol w:w="709"/>
        <w:gridCol w:w="141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70" w:hRule="exact"/>
        </w:trPr>
        <w:tc>
          <w:tcPr>
            <w:tcW w:w="604" w:type="dxa"/>
            <w:vMerge w:val="restart"/>
            <w:noWrap w:val="0"/>
            <w:vAlign w:val="center"/>
          </w:tcPr>
          <w:p>
            <w:pPr>
              <w:spacing w:line="280" w:lineRule="exact"/>
              <w:jc w:val="center"/>
              <w:rPr>
                <w:color w:val="000000"/>
              </w:rPr>
            </w:pPr>
            <w:r>
              <w:rPr>
                <w:rFonts w:hint="eastAsia" w:cs="宋体"/>
                <w:color w:val="000000"/>
              </w:rPr>
              <w:t>序号</w:t>
            </w:r>
          </w:p>
        </w:tc>
        <w:tc>
          <w:tcPr>
            <w:tcW w:w="1205" w:type="dxa"/>
            <w:vMerge w:val="restart"/>
            <w:noWrap w:val="0"/>
            <w:vAlign w:val="center"/>
          </w:tcPr>
          <w:p>
            <w:pPr>
              <w:spacing w:line="280" w:lineRule="exact"/>
              <w:jc w:val="center"/>
              <w:rPr>
                <w:color w:val="000000"/>
              </w:rPr>
            </w:pPr>
            <w:r>
              <w:rPr>
                <w:rFonts w:hint="eastAsia" w:cs="宋体"/>
                <w:color w:val="000000"/>
              </w:rPr>
              <w:t>投标单位</w:t>
            </w:r>
          </w:p>
        </w:tc>
        <w:tc>
          <w:tcPr>
            <w:tcW w:w="5812" w:type="dxa"/>
            <w:gridSpan w:val="5"/>
            <w:noWrap w:val="0"/>
            <w:vAlign w:val="top"/>
          </w:tcPr>
          <w:p>
            <w:pPr>
              <w:spacing w:line="280" w:lineRule="exact"/>
              <w:jc w:val="center"/>
              <w:rPr>
                <w:color w:val="000000"/>
              </w:rPr>
            </w:pPr>
            <w:r>
              <w:rPr>
                <w:rFonts w:hint="eastAsia" w:cs="宋体"/>
                <w:color w:val="000000"/>
              </w:rPr>
              <w:t>工程总承包项目经理、施工项目经理</w:t>
            </w:r>
          </w:p>
        </w:tc>
        <w:tc>
          <w:tcPr>
            <w:tcW w:w="2977" w:type="dxa"/>
            <w:gridSpan w:val="3"/>
            <w:noWrap w:val="0"/>
            <w:vAlign w:val="top"/>
          </w:tcPr>
          <w:p>
            <w:pPr>
              <w:spacing w:line="280" w:lineRule="exact"/>
              <w:jc w:val="center"/>
              <w:rPr>
                <w:color w:val="000000"/>
              </w:rPr>
            </w:pPr>
            <w:r>
              <w:rPr>
                <w:rFonts w:hint="eastAsia" w:cs="宋体"/>
                <w:color w:val="000000"/>
              </w:rPr>
              <w:t>专职安全生产管理人员</w:t>
            </w:r>
          </w:p>
        </w:tc>
        <w:tc>
          <w:tcPr>
            <w:tcW w:w="709" w:type="dxa"/>
            <w:vMerge w:val="restart"/>
            <w:noWrap w:val="0"/>
            <w:vAlign w:val="center"/>
          </w:tcPr>
          <w:p>
            <w:pPr>
              <w:spacing w:line="280" w:lineRule="exact"/>
              <w:jc w:val="center"/>
              <w:rPr>
                <w:color w:val="000000"/>
              </w:rPr>
            </w:pPr>
            <w:r>
              <w:rPr>
                <w:rFonts w:hint="eastAsia" w:cs="宋体"/>
                <w:color w:val="000000"/>
              </w:rPr>
              <w:t>核查</w:t>
            </w:r>
          </w:p>
          <w:p>
            <w:pPr>
              <w:spacing w:line="280" w:lineRule="exact"/>
              <w:jc w:val="center"/>
              <w:rPr>
                <w:color w:val="000000"/>
              </w:rPr>
            </w:pPr>
            <w:r>
              <w:rPr>
                <w:rFonts w:hint="eastAsia" w:cs="宋体"/>
                <w:color w:val="000000"/>
              </w:rPr>
              <w:t>结论</w:t>
            </w:r>
          </w:p>
        </w:tc>
        <w:tc>
          <w:tcPr>
            <w:tcW w:w="1417" w:type="dxa"/>
            <w:vMerge w:val="restart"/>
            <w:noWrap w:val="0"/>
            <w:vAlign w:val="center"/>
          </w:tcPr>
          <w:p>
            <w:pPr>
              <w:spacing w:line="280" w:lineRule="exact"/>
              <w:jc w:val="center"/>
              <w:rPr>
                <w:rFonts w:hint="eastAsia" w:cs="宋体"/>
                <w:color w:val="000000"/>
              </w:rPr>
            </w:pPr>
            <w:r>
              <w:rPr>
                <w:rFonts w:hint="eastAsia" w:cs="宋体"/>
                <w:color w:val="000000"/>
              </w:rPr>
              <w:t>法定代表人或专职投标员签字（必须为专职投标员持证本人）或盖法人单位电子章</w:t>
            </w:r>
          </w:p>
        </w:tc>
        <w:tc>
          <w:tcPr>
            <w:tcW w:w="2126" w:type="dxa"/>
            <w:vMerge w:val="restart"/>
            <w:noWrap w:val="0"/>
            <w:vAlign w:val="center"/>
          </w:tcPr>
          <w:p>
            <w:pPr>
              <w:spacing w:line="280" w:lineRule="exact"/>
              <w:jc w:val="center"/>
              <w:rPr>
                <w:color w:val="000000"/>
              </w:rPr>
            </w:pPr>
            <w:r>
              <w:rPr>
                <w:rFonts w:hint="eastAsia" w:cs="宋体"/>
                <w:color w:val="000000"/>
              </w:rPr>
              <w:t>验证工程总承包项目经理、施工项目经理和专职安全生产管理人员与投标文件中拟投入者是否一致</w:t>
            </w:r>
          </w:p>
          <w:p>
            <w:pPr>
              <w:spacing w:line="280" w:lineRule="exact"/>
              <w:jc w:val="center"/>
              <w:rPr>
                <w:color w:val="000000"/>
              </w:rPr>
            </w:pPr>
            <w:r>
              <w:rPr>
                <w:rFonts w:hint="eastAsia" w:cs="宋体"/>
                <w:color w:val="000000"/>
              </w:rPr>
              <w:t>（本列由评委填写）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816" w:hRule="exact"/>
        </w:trPr>
        <w:tc>
          <w:tcPr>
            <w:tcW w:w="604" w:type="dxa"/>
            <w:vMerge w:val="continue"/>
            <w:noWrap w:val="0"/>
            <w:vAlign w:val="center"/>
          </w:tcPr>
          <w:p>
            <w:pPr>
              <w:spacing w:line="200" w:lineRule="exact"/>
              <w:jc w:val="center"/>
              <w:rPr>
                <w:color w:val="000000"/>
              </w:rPr>
            </w:pPr>
          </w:p>
        </w:tc>
        <w:tc>
          <w:tcPr>
            <w:tcW w:w="1205" w:type="dxa"/>
            <w:vMerge w:val="continue"/>
            <w:noWrap w:val="0"/>
            <w:vAlign w:val="center"/>
          </w:tcPr>
          <w:p>
            <w:pPr>
              <w:spacing w:line="200" w:lineRule="exact"/>
              <w:jc w:val="center"/>
              <w:rPr>
                <w:color w:val="000000"/>
              </w:rPr>
            </w:pPr>
          </w:p>
        </w:tc>
        <w:tc>
          <w:tcPr>
            <w:tcW w:w="2268" w:type="dxa"/>
            <w:gridSpan w:val="2"/>
            <w:noWrap w:val="0"/>
            <w:vAlign w:val="center"/>
          </w:tcPr>
          <w:p>
            <w:pPr>
              <w:spacing w:line="200" w:lineRule="exact"/>
              <w:jc w:val="center"/>
              <w:rPr>
                <w:color w:val="000000"/>
                <w:sz w:val="18"/>
                <w:szCs w:val="18"/>
              </w:rPr>
            </w:pPr>
            <w:r>
              <w:rPr>
                <w:rFonts w:hint="eastAsia" w:cs="宋体"/>
                <w:color w:val="000000"/>
                <w:sz w:val="18"/>
                <w:szCs w:val="18"/>
              </w:rPr>
              <w:t>姓名</w:t>
            </w:r>
          </w:p>
        </w:tc>
        <w:tc>
          <w:tcPr>
            <w:tcW w:w="1276" w:type="dxa"/>
            <w:noWrap w:val="0"/>
            <w:vAlign w:val="center"/>
          </w:tcPr>
          <w:p>
            <w:pPr>
              <w:spacing w:line="200" w:lineRule="exact"/>
              <w:jc w:val="center"/>
              <w:rPr>
                <w:color w:val="000000"/>
                <w:sz w:val="18"/>
                <w:szCs w:val="18"/>
              </w:rPr>
            </w:pPr>
            <w:r>
              <w:rPr>
                <w:rFonts w:hint="eastAsia" w:cs="宋体"/>
                <w:color w:val="000000"/>
                <w:sz w:val="18"/>
                <w:szCs w:val="18"/>
              </w:rPr>
              <w:t>身份证号</w:t>
            </w:r>
          </w:p>
        </w:tc>
        <w:tc>
          <w:tcPr>
            <w:tcW w:w="992" w:type="dxa"/>
            <w:noWrap w:val="0"/>
            <w:vAlign w:val="center"/>
          </w:tcPr>
          <w:p>
            <w:pPr>
              <w:spacing w:line="200" w:lineRule="exact"/>
              <w:jc w:val="center"/>
              <w:rPr>
                <w:color w:val="000000"/>
                <w:sz w:val="18"/>
                <w:szCs w:val="18"/>
              </w:rPr>
            </w:pPr>
            <w:r>
              <w:rPr>
                <w:rFonts w:hint="eastAsia" w:cs="宋体"/>
                <w:color w:val="000000"/>
                <w:sz w:val="18"/>
                <w:szCs w:val="18"/>
              </w:rPr>
              <w:t>存在在建工程及不良行为情况</w:t>
            </w:r>
          </w:p>
        </w:tc>
        <w:tc>
          <w:tcPr>
            <w:tcW w:w="1276" w:type="dxa"/>
            <w:noWrap w:val="0"/>
            <w:vAlign w:val="center"/>
          </w:tcPr>
          <w:p>
            <w:pPr>
              <w:spacing w:line="200" w:lineRule="exact"/>
              <w:jc w:val="center"/>
              <w:rPr>
                <w:color w:val="000000"/>
                <w:sz w:val="18"/>
                <w:szCs w:val="18"/>
              </w:rPr>
            </w:pPr>
            <w:r>
              <w:rPr>
                <w:rFonts w:hint="eastAsia" w:cs="宋体"/>
                <w:color w:val="000000"/>
                <w:sz w:val="18"/>
                <w:szCs w:val="18"/>
              </w:rPr>
              <w:t>诚信信息是否有效（处于启用状态方为有效）</w:t>
            </w:r>
          </w:p>
        </w:tc>
        <w:tc>
          <w:tcPr>
            <w:tcW w:w="709" w:type="dxa"/>
            <w:noWrap w:val="0"/>
            <w:vAlign w:val="center"/>
          </w:tcPr>
          <w:p>
            <w:pPr>
              <w:spacing w:line="200" w:lineRule="exact"/>
              <w:jc w:val="center"/>
              <w:rPr>
                <w:color w:val="000000"/>
                <w:sz w:val="18"/>
                <w:szCs w:val="18"/>
              </w:rPr>
            </w:pPr>
            <w:r>
              <w:rPr>
                <w:rFonts w:hint="eastAsia" w:cs="宋体"/>
                <w:color w:val="000000"/>
                <w:sz w:val="18"/>
                <w:szCs w:val="18"/>
              </w:rPr>
              <w:t>姓名</w:t>
            </w:r>
          </w:p>
        </w:tc>
        <w:tc>
          <w:tcPr>
            <w:tcW w:w="992" w:type="dxa"/>
            <w:noWrap w:val="0"/>
            <w:vAlign w:val="center"/>
          </w:tcPr>
          <w:p>
            <w:pPr>
              <w:spacing w:line="200" w:lineRule="exact"/>
              <w:jc w:val="center"/>
              <w:rPr>
                <w:color w:val="000000"/>
                <w:sz w:val="18"/>
                <w:szCs w:val="18"/>
              </w:rPr>
            </w:pPr>
            <w:r>
              <w:rPr>
                <w:rFonts w:hint="eastAsia" w:cs="宋体"/>
                <w:color w:val="000000"/>
                <w:sz w:val="18"/>
                <w:szCs w:val="18"/>
              </w:rPr>
              <w:t>身份证号</w:t>
            </w:r>
          </w:p>
        </w:tc>
        <w:tc>
          <w:tcPr>
            <w:tcW w:w="1276" w:type="dxa"/>
            <w:noWrap w:val="0"/>
            <w:vAlign w:val="center"/>
          </w:tcPr>
          <w:p>
            <w:pPr>
              <w:spacing w:line="200" w:lineRule="exact"/>
              <w:jc w:val="center"/>
              <w:rPr>
                <w:color w:val="000000"/>
                <w:sz w:val="18"/>
                <w:szCs w:val="18"/>
              </w:rPr>
            </w:pPr>
            <w:r>
              <w:rPr>
                <w:rFonts w:hint="eastAsia" w:cs="宋体"/>
                <w:color w:val="000000"/>
                <w:sz w:val="18"/>
                <w:szCs w:val="18"/>
              </w:rPr>
              <w:t>诚信信息是否有效（处于启用状态方为有效）</w:t>
            </w:r>
          </w:p>
        </w:tc>
        <w:tc>
          <w:tcPr>
            <w:tcW w:w="709" w:type="dxa"/>
            <w:vMerge w:val="continue"/>
            <w:noWrap w:val="0"/>
            <w:vAlign w:val="center"/>
          </w:tcPr>
          <w:p>
            <w:pPr>
              <w:spacing w:line="200" w:lineRule="exact"/>
              <w:jc w:val="center"/>
              <w:rPr>
                <w:color w:val="000000"/>
                <w:sz w:val="18"/>
                <w:szCs w:val="18"/>
              </w:rPr>
            </w:pPr>
          </w:p>
        </w:tc>
        <w:tc>
          <w:tcPr>
            <w:tcW w:w="1417" w:type="dxa"/>
            <w:vMerge w:val="continue"/>
            <w:noWrap w:val="0"/>
            <w:vAlign w:val="top"/>
          </w:tcPr>
          <w:p>
            <w:pPr>
              <w:spacing w:line="200" w:lineRule="exact"/>
              <w:jc w:val="center"/>
              <w:rPr>
                <w:color w:val="000000"/>
                <w:sz w:val="18"/>
                <w:szCs w:val="18"/>
              </w:rPr>
            </w:pPr>
          </w:p>
        </w:tc>
        <w:tc>
          <w:tcPr>
            <w:tcW w:w="2126" w:type="dxa"/>
            <w:vMerge w:val="continue"/>
            <w:noWrap w:val="0"/>
            <w:vAlign w:val="center"/>
          </w:tcPr>
          <w:p>
            <w:pPr>
              <w:spacing w:line="20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14" w:hRule="atLeast"/>
        </w:trPr>
        <w:tc>
          <w:tcPr>
            <w:tcW w:w="604" w:type="dxa"/>
            <w:vMerge w:val="restart"/>
            <w:noWrap w:val="0"/>
            <w:vAlign w:val="center"/>
          </w:tcPr>
          <w:p>
            <w:pPr>
              <w:spacing w:line="200" w:lineRule="exact"/>
              <w:jc w:val="center"/>
              <w:rPr>
                <w:rFonts w:eastAsia="黑体"/>
                <w:color w:val="000000"/>
              </w:rPr>
            </w:pPr>
            <w:r>
              <w:rPr>
                <w:rFonts w:eastAsia="黑体"/>
                <w:color w:val="000000"/>
              </w:rPr>
              <w:t>1</w:t>
            </w:r>
          </w:p>
        </w:tc>
        <w:tc>
          <w:tcPr>
            <w:tcW w:w="1205" w:type="dxa"/>
            <w:vMerge w:val="restart"/>
            <w:noWrap w:val="0"/>
            <w:vAlign w:val="center"/>
          </w:tcPr>
          <w:p>
            <w:pPr>
              <w:spacing w:line="200" w:lineRule="exact"/>
              <w:jc w:val="center"/>
              <w:rPr>
                <w:color w:val="000000"/>
              </w:rPr>
            </w:pPr>
          </w:p>
        </w:tc>
        <w:tc>
          <w:tcPr>
            <w:tcW w:w="1418" w:type="dxa"/>
            <w:noWrap w:val="0"/>
            <w:vAlign w:val="center"/>
          </w:tcPr>
          <w:p>
            <w:pPr>
              <w:spacing w:line="200" w:lineRule="exact"/>
              <w:jc w:val="center"/>
              <w:rPr>
                <w:rFonts w:cs="宋体"/>
                <w:color w:val="000000"/>
                <w:sz w:val="18"/>
                <w:szCs w:val="18"/>
              </w:rPr>
            </w:pPr>
            <w:r>
              <w:rPr>
                <w:rFonts w:hint="eastAsia" w:cs="宋体"/>
                <w:color w:val="000000"/>
                <w:sz w:val="18"/>
                <w:szCs w:val="18"/>
              </w:rPr>
              <w:t>工程总承包项目经理</w:t>
            </w:r>
          </w:p>
        </w:tc>
        <w:tc>
          <w:tcPr>
            <w:tcW w:w="850" w:type="dxa"/>
            <w:noWrap w:val="0"/>
            <w:vAlign w:val="center"/>
          </w:tcPr>
          <w:p>
            <w:pPr>
              <w:spacing w:line="200" w:lineRule="exact"/>
              <w:rPr>
                <w:rFonts w:hint="eastAsia"/>
                <w:color w:val="000000"/>
              </w:rPr>
            </w:pPr>
          </w:p>
        </w:tc>
        <w:tc>
          <w:tcPr>
            <w:tcW w:w="1276" w:type="dxa"/>
            <w:noWrap w:val="0"/>
            <w:vAlign w:val="center"/>
          </w:tcPr>
          <w:p>
            <w:pPr>
              <w:spacing w:line="200" w:lineRule="exact"/>
              <w:jc w:val="center"/>
              <w:rPr>
                <w:rFonts w:hint="eastAsia"/>
                <w:color w:val="000000"/>
              </w:rPr>
            </w:pPr>
          </w:p>
        </w:tc>
        <w:tc>
          <w:tcPr>
            <w:tcW w:w="992" w:type="dxa"/>
            <w:noWrap w:val="0"/>
            <w:vAlign w:val="center"/>
          </w:tcPr>
          <w:p>
            <w:pPr>
              <w:spacing w:line="200" w:lineRule="exact"/>
              <w:jc w:val="center"/>
              <w:rPr>
                <w:rFonts w:hint="eastAsia"/>
                <w:color w:val="000000"/>
              </w:rPr>
            </w:pPr>
          </w:p>
        </w:tc>
        <w:tc>
          <w:tcPr>
            <w:tcW w:w="1276" w:type="dxa"/>
            <w:noWrap w:val="0"/>
            <w:vAlign w:val="center"/>
          </w:tcPr>
          <w:p>
            <w:pPr>
              <w:spacing w:line="200" w:lineRule="exact"/>
              <w:jc w:val="center"/>
              <w:rPr>
                <w:rFonts w:hint="eastAsia"/>
                <w:color w:val="000000"/>
              </w:rPr>
            </w:pPr>
          </w:p>
        </w:tc>
        <w:tc>
          <w:tcPr>
            <w:tcW w:w="709" w:type="dxa"/>
            <w:noWrap w:val="0"/>
            <w:vAlign w:val="center"/>
          </w:tcPr>
          <w:p>
            <w:pPr>
              <w:spacing w:line="200" w:lineRule="exact"/>
              <w:jc w:val="center"/>
              <w:rPr>
                <w:color w:val="000000"/>
              </w:rPr>
            </w:pPr>
          </w:p>
        </w:tc>
        <w:tc>
          <w:tcPr>
            <w:tcW w:w="992" w:type="dxa"/>
            <w:noWrap w:val="0"/>
            <w:vAlign w:val="center"/>
          </w:tcPr>
          <w:p>
            <w:pPr>
              <w:spacing w:line="200" w:lineRule="exact"/>
              <w:jc w:val="center"/>
              <w:rPr>
                <w:color w:val="000000"/>
              </w:rPr>
            </w:pPr>
          </w:p>
        </w:tc>
        <w:tc>
          <w:tcPr>
            <w:tcW w:w="1276" w:type="dxa"/>
            <w:noWrap w:val="0"/>
            <w:vAlign w:val="center"/>
          </w:tcPr>
          <w:p>
            <w:pPr>
              <w:spacing w:line="200" w:lineRule="exact"/>
              <w:jc w:val="center"/>
              <w:rPr>
                <w:color w:val="000000"/>
              </w:rPr>
            </w:pPr>
          </w:p>
        </w:tc>
        <w:tc>
          <w:tcPr>
            <w:tcW w:w="709" w:type="dxa"/>
            <w:vMerge w:val="restart"/>
            <w:noWrap w:val="0"/>
            <w:vAlign w:val="center"/>
          </w:tcPr>
          <w:p>
            <w:pPr>
              <w:spacing w:line="200" w:lineRule="exact"/>
              <w:jc w:val="center"/>
              <w:rPr>
                <w:color w:val="000000"/>
              </w:rPr>
            </w:pPr>
          </w:p>
        </w:tc>
        <w:tc>
          <w:tcPr>
            <w:tcW w:w="1417" w:type="dxa"/>
            <w:vMerge w:val="restart"/>
            <w:noWrap w:val="0"/>
            <w:vAlign w:val="center"/>
          </w:tcPr>
          <w:p>
            <w:pPr>
              <w:spacing w:line="200" w:lineRule="exact"/>
              <w:jc w:val="center"/>
              <w:rPr>
                <w:color w:val="000000"/>
              </w:rPr>
            </w:pPr>
          </w:p>
        </w:tc>
        <w:tc>
          <w:tcPr>
            <w:tcW w:w="2126" w:type="dxa"/>
            <w:vMerge w:val="restart"/>
            <w:noWrap w:val="0"/>
            <w:vAlign w:val="center"/>
          </w:tcPr>
          <w:p>
            <w:pPr>
              <w:spacing w:line="20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4" w:hRule="atLeast"/>
        </w:trPr>
        <w:tc>
          <w:tcPr>
            <w:tcW w:w="604" w:type="dxa"/>
            <w:vMerge w:val="continue"/>
            <w:noWrap w:val="0"/>
            <w:vAlign w:val="center"/>
          </w:tcPr>
          <w:p>
            <w:pPr>
              <w:spacing w:line="200" w:lineRule="exact"/>
              <w:jc w:val="center"/>
              <w:rPr>
                <w:rFonts w:eastAsia="黑体"/>
                <w:color w:val="000000"/>
              </w:rPr>
            </w:pPr>
          </w:p>
        </w:tc>
        <w:tc>
          <w:tcPr>
            <w:tcW w:w="1205" w:type="dxa"/>
            <w:vMerge w:val="continue"/>
            <w:noWrap w:val="0"/>
            <w:vAlign w:val="center"/>
          </w:tcPr>
          <w:p>
            <w:pPr>
              <w:spacing w:line="200" w:lineRule="exact"/>
              <w:jc w:val="center"/>
              <w:rPr>
                <w:color w:val="000000"/>
              </w:rPr>
            </w:pPr>
          </w:p>
        </w:tc>
        <w:tc>
          <w:tcPr>
            <w:tcW w:w="1418" w:type="dxa"/>
            <w:vMerge w:val="restart"/>
            <w:noWrap w:val="0"/>
            <w:vAlign w:val="center"/>
          </w:tcPr>
          <w:p>
            <w:pPr>
              <w:spacing w:line="200" w:lineRule="exact"/>
              <w:jc w:val="center"/>
              <w:rPr>
                <w:rFonts w:cs="宋体"/>
                <w:color w:val="000000"/>
                <w:sz w:val="18"/>
                <w:szCs w:val="18"/>
              </w:rPr>
            </w:pPr>
            <w:r>
              <w:rPr>
                <w:rFonts w:hint="eastAsia" w:cs="宋体"/>
                <w:color w:val="000000"/>
                <w:sz w:val="18"/>
                <w:szCs w:val="18"/>
              </w:rPr>
              <w:t>施工项目经理</w:t>
            </w:r>
          </w:p>
        </w:tc>
        <w:tc>
          <w:tcPr>
            <w:tcW w:w="850" w:type="dxa"/>
            <w:vMerge w:val="restart"/>
            <w:noWrap w:val="0"/>
            <w:vAlign w:val="center"/>
          </w:tcPr>
          <w:p>
            <w:pPr>
              <w:spacing w:line="200" w:lineRule="exact"/>
              <w:jc w:val="center"/>
              <w:rPr>
                <w:color w:val="000000"/>
              </w:rPr>
            </w:pPr>
          </w:p>
        </w:tc>
        <w:tc>
          <w:tcPr>
            <w:tcW w:w="1276" w:type="dxa"/>
            <w:vMerge w:val="restart"/>
            <w:noWrap w:val="0"/>
            <w:vAlign w:val="center"/>
          </w:tcPr>
          <w:p>
            <w:pPr>
              <w:spacing w:line="200" w:lineRule="exact"/>
              <w:jc w:val="center"/>
              <w:rPr>
                <w:color w:val="000000"/>
              </w:rPr>
            </w:pPr>
          </w:p>
        </w:tc>
        <w:tc>
          <w:tcPr>
            <w:tcW w:w="992" w:type="dxa"/>
            <w:vMerge w:val="restart"/>
            <w:noWrap w:val="0"/>
            <w:vAlign w:val="center"/>
          </w:tcPr>
          <w:p>
            <w:pPr>
              <w:spacing w:line="200" w:lineRule="exact"/>
              <w:jc w:val="center"/>
              <w:rPr>
                <w:color w:val="000000"/>
              </w:rPr>
            </w:pPr>
          </w:p>
        </w:tc>
        <w:tc>
          <w:tcPr>
            <w:tcW w:w="1276" w:type="dxa"/>
            <w:vMerge w:val="restart"/>
            <w:noWrap w:val="0"/>
            <w:vAlign w:val="center"/>
          </w:tcPr>
          <w:p>
            <w:pPr>
              <w:spacing w:line="200" w:lineRule="exact"/>
              <w:jc w:val="center"/>
              <w:rPr>
                <w:color w:val="000000"/>
              </w:rPr>
            </w:pPr>
          </w:p>
        </w:tc>
        <w:tc>
          <w:tcPr>
            <w:tcW w:w="709" w:type="dxa"/>
            <w:noWrap w:val="0"/>
            <w:vAlign w:val="center"/>
          </w:tcPr>
          <w:p>
            <w:pPr>
              <w:spacing w:line="200" w:lineRule="exact"/>
              <w:jc w:val="center"/>
              <w:rPr>
                <w:color w:val="000000"/>
              </w:rPr>
            </w:pPr>
          </w:p>
        </w:tc>
        <w:tc>
          <w:tcPr>
            <w:tcW w:w="992" w:type="dxa"/>
            <w:noWrap w:val="0"/>
            <w:vAlign w:val="center"/>
          </w:tcPr>
          <w:p>
            <w:pPr>
              <w:spacing w:line="200" w:lineRule="exact"/>
              <w:jc w:val="center"/>
              <w:rPr>
                <w:color w:val="000000"/>
              </w:rPr>
            </w:pPr>
          </w:p>
        </w:tc>
        <w:tc>
          <w:tcPr>
            <w:tcW w:w="1276" w:type="dxa"/>
            <w:noWrap w:val="0"/>
            <w:vAlign w:val="center"/>
          </w:tcPr>
          <w:p>
            <w:pPr>
              <w:spacing w:line="200" w:lineRule="exact"/>
              <w:jc w:val="center"/>
              <w:rPr>
                <w:color w:val="000000"/>
              </w:rPr>
            </w:pPr>
          </w:p>
        </w:tc>
        <w:tc>
          <w:tcPr>
            <w:tcW w:w="709" w:type="dxa"/>
            <w:vMerge w:val="continue"/>
            <w:noWrap w:val="0"/>
            <w:vAlign w:val="center"/>
          </w:tcPr>
          <w:p>
            <w:pPr>
              <w:spacing w:line="200" w:lineRule="exact"/>
              <w:jc w:val="center"/>
              <w:rPr>
                <w:color w:val="000000"/>
              </w:rPr>
            </w:pPr>
          </w:p>
        </w:tc>
        <w:tc>
          <w:tcPr>
            <w:tcW w:w="1417" w:type="dxa"/>
            <w:vMerge w:val="continue"/>
            <w:noWrap w:val="0"/>
            <w:vAlign w:val="center"/>
          </w:tcPr>
          <w:p>
            <w:pPr>
              <w:spacing w:line="200" w:lineRule="exact"/>
              <w:jc w:val="center"/>
              <w:rPr>
                <w:color w:val="000000"/>
              </w:rPr>
            </w:pPr>
          </w:p>
        </w:tc>
        <w:tc>
          <w:tcPr>
            <w:tcW w:w="2126" w:type="dxa"/>
            <w:vMerge w:val="continue"/>
            <w:noWrap w:val="0"/>
            <w:vAlign w:val="center"/>
          </w:tcPr>
          <w:p>
            <w:pPr>
              <w:spacing w:line="20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4" w:hRule="atLeast"/>
        </w:trPr>
        <w:tc>
          <w:tcPr>
            <w:tcW w:w="604" w:type="dxa"/>
            <w:vMerge w:val="continue"/>
            <w:noWrap w:val="0"/>
            <w:vAlign w:val="center"/>
          </w:tcPr>
          <w:p>
            <w:pPr>
              <w:spacing w:line="200" w:lineRule="exact"/>
              <w:jc w:val="center"/>
              <w:rPr>
                <w:rFonts w:eastAsia="黑体"/>
                <w:color w:val="000000"/>
              </w:rPr>
            </w:pPr>
          </w:p>
        </w:tc>
        <w:tc>
          <w:tcPr>
            <w:tcW w:w="1205" w:type="dxa"/>
            <w:vMerge w:val="continue"/>
            <w:noWrap w:val="0"/>
            <w:vAlign w:val="center"/>
          </w:tcPr>
          <w:p>
            <w:pPr>
              <w:spacing w:line="200" w:lineRule="exact"/>
              <w:jc w:val="center"/>
              <w:rPr>
                <w:color w:val="000000"/>
              </w:rPr>
            </w:pPr>
          </w:p>
        </w:tc>
        <w:tc>
          <w:tcPr>
            <w:tcW w:w="1418" w:type="dxa"/>
            <w:vMerge w:val="continue"/>
            <w:noWrap w:val="0"/>
            <w:vAlign w:val="center"/>
          </w:tcPr>
          <w:p>
            <w:pPr>
              <w:spacing w:line="200" w:lineRule="exact"/>
              <w:jc w:val="center"/>
              <w:rPr>
                <w:color w:val="000000"/>
              </w:rPr>
            </w:pPr>
          </w:p>
        </w:tc>
        <w:tc>
          <w:tcPr>
            <w:tcW w:w="850" w:type="dxa"/>
            <w:vMerge w:val="continue"/>
            <w:noWrap w:val="0"/>
            <w:vAlign w:val="center"/>
          </w:tcPr>
          <w:p>
            <w:pPr>
              <w:spacing w:line="200" w:lineRule="exact"/>
              <w:jc w:val="center"/>
              <w:rPr>
                <w:color w:val="000000"/>
              </w:rPr>
            </w:pPr>
          </w:p>
        </w:tc>
        <w:tc>
          <w:tcPr>
            <w:tcW w:w="1276" w:type="dxa"/>
            <w:vMerge w:val="continue"/>
            <w:noWrap w:val="0"/>
            <w:vAlign w:val="center"/>
          </w:tcPr>
          <w:p>
            <w:pPr>
              <w:spacing w:line="200" w:lineRule="exact"/>
              <w:jc w:val="center"/>
              <w:rPr>
                <w:color w:val="000000"/>
              </w:rPr>
            </w:pPr>
          </w:p>
        </w:tc>
        <w:tc>
          <w:tcPr>
            <w:tcW w:w="992" w:type="dxa"/>
            <w:vMerge w:val="continue"/>
            <w:noWrap w:val="0"/>
            <w:vAlign w:val="center"/>
          </w:tcPr>
          <w:p>
            <w:pPr>
              <w:spacing w:line="200" w:lineRule="exact"/>
              <w:jc w:val="center"/>
              <w:rPr>
                <w:color w:val="000000"/>
              </w:rPr>
            </w:pPr>
          </w:p>
        </w:tc>
        <w:tc>
          <w:tcPr>
            <w:tcW w:w="1276" w:type="dxa"/>
            <w:vMerge w:val="continue"/>
            <w:noWrap w:val="0"/>
            <w:vAlign w:val="center"/>
          </w:tcPr>
          <w:p>
            <w:pPr>
              <w:spacing w:line="200" w:lineRule="exact"/>
              <w:jc w:val="center"/>
              <w:rPr>
                <w:color w:val="000000"/>
              </w:rPr>
            </w:pPr>
          </w:p>
        </w:tc>
        <w:tc>
          <w:tcPr>
            <w:tcW w:w="709" w:type="dxa"/>
            <w:noWrap w:val="0"/>
            <w:vAlign w:val="center"/>
          </w:tcPr>
          <w:p>
            <w:pPr>
              <w:spacing w:line="200" w:lineRule="exact"/>
              <w:jc w:val="center"/>
              <w:rPr>
                <w:color w:val="000000"/>
              </w:rPr>
            </w:pPr>
          </w:p>
        </w:tc>
        <w:tc>
          <w:tcPr>
            <w:tcW w:w="992" w:type="dxa"/>
            <w:noWrap w:val="0"/>
            <w:vAlign w:val="center"/>
          </w:tcPr>
          <w:p>
            <w:pPr>
              <w:spacing w:line="200" w:lineRule="exact"/>
              <w:jc w:val="center"/>
              <w:rPr>
                <w:color w:val="000000"/>
              </w:rPr>
            </w:pPr>
          </w:p>
        </w:tc>
        <w:tc>
          <w:tcPr>
            <w:tcW w:w="1276" w:type="dxa"/>
            <w:noWrap w:val="0"/>
            <w:vAlign w:val="center"/>
          </w:tcPr>
          <w:p>
            <w:pPr>
              <w:spacing w:line="200" w:lineRule="exact"/>
              <w:jc w:val="center"/>
              <w:rPr>
                <w:color w:val="000000"/>
              </w:rPr>
            </w:pPr>
          </w:p>
        </w:tc>
        <w:tc>
          <w:tcPr>
            <w:tcW w:w="709" w:type="dxa"/>
            <w:vMerge w:val="continue"/>
            <w:noWrap w:val="0"/>
            <w:vAlign w:val="center"/>
          </w:tcPr>
          <w:p>
            <w:pPr>
              <w:spacing w:line="200" w:lineRule="exact"/>
              <w:jc w:val="center"/>
              <w:rPr>
                <w:color w:val="000000"/>
              </w:rPr>
            </w:pPr>
          </w:p>
        </w:tc>
        <w:tc>
          <w:tcPr>
            <w:tcW w:w="1417" w:type="dxa"/>
            <w:vMerge w:val="continue"/>
            <w:noWrap w:val="0"/>
            <w:vAlign w:val="center"/>
          </w:tcPr>
          <w:p>
            <w:pPr>
              <w:spacing w:line="200" w:lineRule="exact"/>
              <w:jc w:val="center"/>
              <w:rPr>
                <w:color w:val="000000"/>
              </w:rPr>
            </w:pPr>
          </w:p>
        </w:tc>
        <w:tc>
          <w:tcPr>
            <w:tcW w:w="2126" w:type="dxa"/>
            <w:vMerge w:val="continue"/>
            <w:noWrap w:val="0"/>
            <w:vAlign w:val="center"/>
          </w:tcPr>
          <w:p>
            <w:pPr>
              <w:spacing w:line="20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4" w:hRule="atLeast"/>
        </w:trPr>
        <w:tc>
          <w:tcPr>
            <w:tcW w:w="604" w:type="dxa"/>
            <w:vMerge w:val="restart"/>
            <w:noWrap w:val="0"/>
            <w:vAlign w:val="center"/>
          </w:tcPr>
          <w:p>
            <w:pPr>
              <w:spacing w:line="200" w:lineRule="exact"/>
              <w:jc w:val="center"/>
              <w:rPr>
                <w:rFonts w:eastAsia="黑体"/>
                <w:color w:val="000000"/>
              </w:rPr>
            </w:pPr>
            <w:r>
              <w:rPr>
                <w:rFonts w:eastAsia="黑体"/>
                <w:color w:val="000000"/>
              </w:rPr>
              <w:t>2</w:t>
            </w:r>
          </w:p>
        </w:tc>
        <w:tc>
          <w:tcPr>
            <w:tcW w:w="1205" w:type="dxa"/>
            <w:vMerge w:val="restart"/>
            <w:noWrap w:val="0"/>
            <w:vAlign w:val="center"/>
          </w:tcPr>
          <w:p>
            <w:pPr>
              <w:spacing w:line="200" w:lineRule="exact"/>
              <w:jc w:val="center"/>
              <w:rPr>
                <w:color w:val="000000"/>
              </w:rPr>
            </w:pPr>
          </w:p>
        </w:tc>
        <w:tc>
          <w:tcPr>
            <w:tcW w:w="1418" w:type="dxa"/>
            <w:noWrap w:val="0"/>
            <w:vAlign w:val="center"/>
          </w:tcPr>
          <w:p>
            <w:pPr>
              <w:spacing w:line="200" w:lineRule="exact"/>
              <w:jc w:val="center"/>
              <w:rPr>
                <w:color w:val="000000"/>
              </w:rPr>
            </w:pPr>
            <w:r>
              <w:rPr>
                <w:rFonts w:hint="eastAsia" w:cs="宋体"/>
                <w:color w:val="000000"/>
                <w:sz w:val="18"/>
                <w:szCs w:val="18"/>
              </w:rPr>
              <w:t>工程总承包项目经理</w:t>
            </w:r>
          </w:p>
        </w:tc>
        <w:tc>
          <w:tcPr>
            <w:tcW w:w="850" w:type="dxa"/>
            <w:noWrap w:val="0"/>
            <w:vAlign w:val="center"/>
          </w:tcPr>
          <w:p>
            <w:pPr>
              <w:spacing w:line="200" w:lineRule="exact"/>
              <w:jc w:val="center"/>
              <w:rPr>
                <w:rFonts w:hint="eastAsia"/>
                <w:color w:val="000000"/>
              </w:rPr>
            </w:pPr>
          </w:p>
        </w:tc>
        <w:tc>
          <w:tcPr>
            <w:tcW w:w="1276" w:type="dxa"/>
            <w:noWrap w:val="0"/>
            <w:vAlign w:val="center"/>
          </w:tcPr>
          <w:p>
            <w:pPr>
              <w:spacing w:line="200" w:lineRule="exact"/>
              <w:jc w:val="center"/>
              <w:rPr>
                <w:color w:val="000000"/>
              </w:rPr>
            </w:pPr>
          </w:p>
          <w:p>
            <w:pPr>
              <w:spacing w:line="200" w:lineRule="exact"/>
              <w:jc w:val="center"/>
              <w:rPr>
                <w:rFonts w:hint="eastAsia"/>
                <w:color w:val="000000"/>
              </w:rPr>
            </w:pPr>
          </w:p>
        </w:tc>
        <w:tc>
          <w:tcPr>
            <w:tcW w:w="992" w:type="dxa"/>
            <w:noWrap w:val="0"/>
            <w:vAlign w:val="center"/>
          </w:tcPr>
          <w:p>
            <w:pPr>
              <w:spacing w:line="200" w:lineRule="exact"/>
              <w:jc w:val="center"/>
              <w:rPr>
                <w:color w:val="000000"/>
              </w:rPr>
            </w:pPr>
          </w:p>
          <w:p>
            <w:pPr>
              <w:spacing w:line="200" w:lineRule="exact"/>
              <w:jc w:val="center"/>
              <w:rPr>
                <w:color w:val="000000"/>
              </w:rPr>
            </w:pPr>
          </w:p>
        </w:tc>
        <w:tc>
          <w:tcPr>
            <w:tcW w:w="1276" w:type="dxa"/>
            <w:noWrap w:val="0"/>
            <w:vAlign w:val="center"/>
          </w:tcPr>
          <w:p>
            <w:pPr>
              <w:spacing w:line="200" w:lineRule="exact"/>
              <w:jc w:val="center"/>
              <w:rPr>
                <w:color w:val="000000"/>
              </w:rPr>
            </w:pPr>
          </w:p>
          <w:p>
            <w:pPr>
              <w:spacing w:line="200" w:lineRule="exact"/>
              <w:jc w:val="center"/>
              <w:rPr>
                <w:color w:val="000000"/>
              </w:rPr>
            </w:pPr>
          </w:p>
        </w:tc>
        <w:tc>
          <w:tcPr>
            <w:tcW w:w="709" w:type="dxa"/>
            <w:noWrap w:val="0"/>
            <w:vAlign w:val="center"/>
          </w:tcPr>
          <w:p>
            <w:pPr>
              <w:spacing w:line="200" w:lineRule="exact"/>
              <w:jc w:val="center"/>
              <w:rPr>
                <w:color w:val="000000"/>
              </w:rPr>
            </w:pPr>
          </w:p>
        </w:tc>
        <w:tc>
          <w:tcPr>
            <w:tcW w:w="992" w:type="dxa"/>
            <w:noWrap w:val="0"/>
            <w:vAlign w:val="center"/>
          </w:tcPr>
          <w:p>
            <w:pPr>
              <w:spacing w:line="200" w:lineRule="exact"/>
              <w:jc w:val="center"/>
              <w:rPr>
                <w:color w:val="000000"/>
              </w:rPr>
            </w:pPr>
          </w:p>
        </w:tc>
        <w:tc>
          <w:tcPr>
            <w:tcW w:w="1276" w:type="dxa"/>
            <w:noWrap w:val="0"/>
            <w:vAlign w:val="center"/>
          </w:tcPr>
          <w:p>
            <w:pPr>
              <w:spacing w:line="200" w:lineRule="exact"/>
              <w:jc w:val="center"/>
              <w:rPr>
                <w:color w:val="000000"/>
              </w:rPr>
            </w:pPr>
          </w:p>
        </w:tc>
        <w:tc>
          <w:tcPr>
            <w:tcW w:w="709" w:type="dxa"/>
            <w:vMerge w:val="restart"/>
            <w:noWrap w:val="0"/>
            <w:vAlign w:val="center"/>
          </w:tcPr>
          <w:p>
            <w:pPr>
              <w:spacing w:line="200" w:lineRule="exact"/>
              <w:jc w:val="center"/>
              <w:rPr>
                <w:color w:val="000000"/>
              </w:rPr>
            </w:pPr>
          </w:p>
        </w:tc>
        <w:tc>
          <w:tcPr>
            <w:tcW w:w="1417" w:type="dxa"/>
            <w:vMerge w:val="restart"/>
            <w:noWrap w:val="0"/>
            <w:vAlign w:val="center"/>
          </w:tcPr>
          <w:p>
            <w:pPr>
              <w:spacing w:line="200" w:lineRule="exact"/>
              <w:jc w:val="center"/>
              <w:rPr>
                <w:color w:val="000000"/>
              </w:rPr>
            </w:pPr>
          </w:p>
        </w:tc>
        <w:tc>
          <w:tcPr>
            <w:tcW w:w="2126" w:type="dxa"/>
            <w:vMerge w:val="restart"/>
            <w:noWrap w:val="0"/>
            <w:vAlign w:val="center"/>
          </w:tcPr>
          <w:p>
            <w:pPr>
              <w:spacing w:line="20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4" w:hRule="atLeast"/>
        </w:trPr>
        <w:tc>
          <w:tcPr>
            <w:tcW w:w="604" w:type="dxa"/>
            <w:vMerge w:val="continue"/>
            <w:noWrap w:val="0"/>
            <w:vAlign w:val="center"/>
          </w:tcPr>
          <w:p>
            <w:pPr>
              <w:spacing w:line="200" w:lineRule="exact"/>
              <w:jc w:val="center"/>
              <w:rPr>
                <w:rFonts w:eastAsia="黑体"/>
                <w:color w:val="000000"/>
              </w:rPr>
            </w:pPr>
          </w:p>
        </w:tc>
        <w:tc>
          <w:tcPr>
            <w:tcW w:w="1205" w:type="dxa"/>
            <w:vMerge w:val="continue"/>
            <w:noWrap w:val="0"/>
            <w:vAlign w:val="center"/>
          </w:tcPr>
          <w:p>
            <w:pPr>
              <w:spacing w:line="200" w:lineRule="exact"/>
              <w:jc w:val="center"/>
              <w:rPr>
                <w:color w:val="000000"/>
              </w:rPr>
            </w:pPr>
          </w:p>
        </w:tc>
        <w:tc>
          <w:tcPr>
            <w:tcW w:w="1418" w:type="dxa"/>
            <w:vMerge w:val="restart"/>
            <w:noWrap w:val="0"/>
            <w:vAlign w:val="center"/>
          </w:tcPr>
          <w:p>
            <w:pPr>
              <w:spacing w:line="200" w:lineRule="exact"/>
              <w:jc w:val="center"/>
              <w:rPr>
                <w:color w:val="000000"/>
              </w:rPr>
            </w:pPr>
            <w:r>
              <w:rPr>
                <w:rFonts w:hint="eastAsia" w:cs="宋体"/>
                <w:color w:val="000000"/>
                <w:sz w:val="18"/>
                <w:szCs w:val="18"/>
              </w:rPr>
              <w:t>施工项目经理</w:t>
            </w:r>
          </w:p>
        </w:tc>
        <w:tc>
          <w:tcPr>
            <w:tcW w:w="850" w:type="dxa"/>
            <w:vMerge w:val="restart"/>
            <w:noWrap w:val="0"/>
            <w:vAlign w:val="center"/>
          </w:tcPr>
          <w:p>
            <w:pPr>
              <w:spacing w:line="200" w:lineRule="exact"/>
              <w:jc w:val="center"/>
              <w:rPr>
                <w:color w:val="000000"/>
              </w:rPr>
            </w:pPr>
          </w:p>
        </w:tc>
        <w:tc>
          <w:tcPr>
            <w:tcW w:w="1276" w:type="dxa"/>
            <w:vMerge w:val="restart"/>
            <w:noWrap w:val="0"/>
            <w:vAlign w:val="center"/>
          </w:tcPr>
          <w:p>
            <w:pPr>
              <w:spacing w:line="200" w:lineRule="exact"/>
              <w:jc w:val="center"/>
              <w:rPr>
                <w:color w:val="000000"/>
              </w:rPr>
            </w:pPr>
          </w:p>
        </w:tc>
        <w:tc>
          <w:tcPr>
            <w:tcW w:w="992" w:type="dxa"/>
            <w:vMerge w:val="restart"/>
            <w:noWrap w:val="0"/>
            <w:vAlign w:val="center"/>
          </w:tcPr>
          <w:p>
            <w:pPr>
              <w:spacing w:line="200" w:lineRule="exact"/>
              <w:jc w:val="center"/>
              <w:rPr>
                <w:color w:val="000000"/>
              </w:rPr>
            </w:pPr>
          </w:p>
        </w:tc>
        <w:tc>
          <w:tcPr>
            <w:tcW w:w="1276" w:type="dxa"/>
            <w:vMerge w:val="restart"/>
            <w:noWrap w:val="0"/>
            <w:vAlign w:val="center"/>
          </w:tcPr>
          <w:p>
            <w:pPr>
              <w:spacing w:line="200" w:lineRule="exact"/>
              <w:jc w:val="center"/>
              <w:rPr>
                <w:color w:val="000000"/>
              </w:rPr>
            </w:pPr>
          </w:p>
        </w:tc>
        <w:tc>
          <w:tcPr>
            <w:tcW w:w="709" w:type="dxa"/>
            <w:noWrap w:val="0"/>
            <w:vAlign w:val="center"/>
          </w:tcPr>
          <w:p>
            <w:pPr>
              <w:spacing w:line="200" w:lineRule="exact"/>
              <w:jc w:val="center"/>
              <w:rPr>
                <w:color w:val="000000"/>
              </w:rPr>
            </w:pPr>
          </w:p>
        </w:tc>
        <w:tc>
          <w:tcPr>
            <w:tcW w:w="992" w:type="dxa"/>
            <w:noWrap w:val="0"/>
            <w:vAlign w:val="center"/>
          </w:tcPr>
          <w:p>
            <w:pPr>
              <w:spacing w:line="200" w:lineRule="exact"/>
              <w:jc w:val="center"/>
              <w:rPr>
                <w:color w:val="000000"/>
              </w:rPr>
            </w:pPr>
          </w:p>
        </w:tc>
        <w:tc>
          <w:tcPr>
            <w:tcW w:w="1276" w:type="dxa"/>
            <w:noWrap w:val="0"/>
            <w:vAlign w:val="center"/>
          </w:tcPr>
          <w:p>
            <w:pPr>
              <w:spacing w:line="200" w:lineRule="exact"/>
              <w:jc w:val="center"/>
              <w:rPr>
                <w:color w:val="000000"/>
              </w:rPr>
            </w:pPr>
          </w:p>
        </w:tc>
        <w:tc>
          <w:tcPr>
            <w:tcW w:w="709" w:type="dxa"/>
            <w:vMerge w:val="continue"/>
            <w:noWrap w:val="0"/>
            <w:vAlign w:val="center"/>
          </w:tcPr>
          <w:p>
            <w:pPr>
              <w:spacing w:line="200" w:lineRule="exact"/>
              <w:jc w:val="center"/>
              <w:rPr>
                <w:color w:val="000000"/>
              </w:rPr>
            </w:pPr>
          </w:p>
        </w:tc>
        <w:tc>
          <w:tcPr>
            <w:tcW w:w="1417" w:type="dxa"/>
            <w:vMerge w:val="continue"/>
            <w:noWrap w:val="0"/>
            <w:vAlign w:val="center"/>
          </w:tcPr>
          <w:p>
            <w:pPr>
              <w:spacing w:line="200" w:lineRule="exact"/>
              <w:jc w:val="center"/>
              <w:rPr>
                <w:color w:val="000000"/>
              </w:rPr>
            </w:pPr>
          </w:p>
        </w:tc>
        <w:tc>
          <w:tcPr>
            <w:tcW w:w="2126" w:type="dxa"/>
            <w:vMerge w:val="continue"/>
            <w:noWrap w:val="0"/>
            <w:vAlign w:val="center"/>
          </w:tcPr>
          <w:p>
            <w:pPr>
              <w:spacing w:line="20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4" w:hRule="atLeast"/>
        </w:trPr>
        <w:tc>
          <w:tcPr>
            <w:tcW w:w="604" w:type="dxa"/>
            <w:vMerge w:val="continue"/>
            <w:noWrap w:val="0"/>
            <w:vAlign w:val="center"/>
          </w:tcPr>
          <w:p>
            <w:pPr>
              <w:spacing w:line="200" w:lineRule="exact"/>
              <w:jc w:val="center"/>
              <w:rPr>
                <w:rFonts w:eastAsia="黑体"/>
                <w:color w:val="000000"/>
              </w:rPr>
            </w:pPr>
          </w:p>
        </w:tc>
        <w:tc>
          <w:tcPr>
            <w:tcW w:w="1205" w:type="dxa"/>
            <w:vMerge w:val="continue"/>
            <w:noWrap w:val="0"/>
            <w:vAlign w:val="center"/>
          </w:tcPr>
          <w:p>
            <w:pPr>
              <w:spacing w:line="200" w:lineRule="exact"/>
              <w:jc w:val="center"/>
              <w:rPr>
                <w:color w:val="000000"/>
              </w:rPr>
            </w:pPr>
          </w:p>
        </w:tc>
        <w:tc>
          <w:tcPr>
            <w:tcW w:w="1418" w:type="dxa"/>
            <w:vMerge w:val="continue"/>
            <w:noWrap w:val="0"/>
            <w:vAlign w:val="center"/>
          </w:tcPr>
          <w:p>
            <w:pPr>
              <w:spacing w:line="200" w:lineRule="exact"/>
              <w:jc w:val="center"/>
              <w:rPr>
                <w:color w:val="000000"/>
              </w:rPr>
            </w:pPr>
          </w:p>
        </w:tc>
        <w:tc>
          <w:tcPr>
            <w:tcW w:w="850" w:type="dxa"/>
            <w:vMerge w:val="continue"/>
            <w:noWrap w:val="0"/>
            <w:vAlign w:val="center"/>
          </w:tcPr>
          <w:p>
            <w:pPr>
              <w:spacing w:line="200" w:lineRule="exact"/>
              <w:jc w:val="center"/>
              <w:rPr>
                <w:color w:val="000000"/>
              </w:rPr>
            </w:pPr>
          </w:p>
        </w:tc>
        <w:tc>
          <w:tcPr>
            <w:tcW w:w="1276" w:type="dxa"/>
            <w:vMerge w:val="continue"/>
            <w:noWrap w:val="0"/>
            <w:vAlign w:val="center"/>
          </w:tcPr>
          <w:p>
            <w:pPr>
              <w:spacing w:line="200" w:lineRule="exact"/>
              <w:jc w:val="center"/>
              <w:rPr>
                <w:color w:val="000000"/>
              </w:rPr>
            </w:pPr>
          </w:p>
        </w:tc>
        <w:tc>
          <w:tcPr>
            <w:tcW w:w="992" w:type="dxa"/>
            <w:vMerge w:val="continue"/>
            <w:noWrap w:val="0"/>
            <w:vAlign w:val="center"/>
          </w:tcPr>
          <w:p>
            <w:pPr>
              <w:spacing w:line="200" w:lineRule="exact"/>
              <w:jc w:val="center"/>
              <w:rPr>
                <w:color w:val="000000"/>
              </w:rPr>
            </w:pPr>
          </w:p>
        </w:tc>
        <w:tc>
          <w:tcPr>
            <w:tcW w:w="1276" w:type="dxa"/>
            <w:vMerge w:val="continue"/>
            <w:noWrap w:val="0"/>
            <w:vAlign w:val="center"/>
          </w:tcPr>
          <w:p>
            <w:pPr>
              <w:spacing w:line="200" w:lineRule="exact"/>
              <w:jc w:val="center"/>
              <w:rPr>
                <w:color w:val="000000"/>
              </w:rPr>
            </w:pPr>
          </w:p>
        </w:tc>
        <w:tc>
          <w:tcPr>
            <w:tcW w:w="709" w:type="dxa"/>
            <w:noWrap w:val="0"/>
            <w:vAlign w:val="center"/>
          </w:tcPr>
          <w:p>
            <w:pPr>
              <w:spacing w:line="200" w:lineRule="exact"/>
              <w:jc w:val="center"/>
              <w:rPr>
                <w:color w:val="000000"/>
              </w:rPr>
            </w:pPr>
          </w:p>
        </w:tc>
        <w:tc>
          <w:tcPr>
            <w:tcW w:w="992" w:type="dxa"/>
            <w:noWrap w:val="0"/>
            <w:vAlign w:val="center"/>
          </w:tcPr>
          <w:p>
            <w:pPr>
              <w:spacing w:line="200" w:lineRule="exact"/>
              <w:jc w:val="center"/>
              <w:rPr>
                <w:color w:val="000000"/>
              </w:rPr>
            </w:pPr>
          </w:p>
        </w:tc>
        <w:tc>
          <w:tcPr>
            <w:tcW w:w="1276" w:type="dxa"/>
            <w:noWrap w:val="0"/>
            <w:vAlign w:val="center"/>
          </w:tcPr>
          <w:p>
            <w:pPr>
              <w:spacing w:line="200" w:lineRule="exact"/>
              <w:jc w:val="center"/>
              <w:rPr>
                <w:color w:val="000000"/>
              </w:rPr>
            </w:pPr>
          </w:p>
        </w:tc>
        <w:tc>
          <w:tcPr>
            <w:tcW w:w="709" w:type="dxa"/>
            <w:vMerge w:val="continue"/>
            <w:noWrap w:val="0"/>
            <w:vAlign w:val="center"/>
          </w:tcPr>
          <w:p>
            <w:pPr>
              <w:spacing w:line="200" w:lineRule="exact"/>
              <w:jc w:val="center"/>
              <w:rPr>
                <w:color w:val="000000"/>
              </w:rPr>
            </w:pPr>
          </w:p>
        </w:tc>
        <w:tc>
          <w:tcPr>
            <w:tcW w:w="1417" w:type="dxa"/>
            <w:vMerge w:val="continue"/>
            <w:noWrap w:val="0"/>
            <w:vAlign w:val="center"/>
          </w:tcPr>
          <w:p>
            <w:pPr>
              <w:spacing w:line="200" w:lineRule="exact"/>
              <w:jc w:val="center"/>
              <w:rPr>
                <w:color w:val="000000"/>
              </w:rPr>
            </w:pPr>
          </w:p>
        </w:tc>
        <w:tc>
          <w:tcPr>
            <w:tcW w:w="2126" w:type="dxa"/>
            <w:vMerge w:val="continue"/>
            <w:noWrap w:val="0"/>
            <w:vAlign w:val="center"/>
          </w:tcPr>
          <w:p>
            <w:pPr>
              <w:spacing w:line="20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4" w:hRule="atLeast"/>
        </w:trPr>
        <w:tc>
          <w:tcPr>
            <w:tcW w:w="604" w:type="dxa"/>
            <w:vMerge w:val="restart"/>
            <w:noWrap w:val="0"/>
            <w:vAlign w:val="center"/>
          </w:tcPr>
          <w:p>
            <w:pPr>
              <w:spacing w:line="200" w:lineRule="exact"/>
              <w:jc w:val="center"/>
              <w:rPr>
                <w:rFonts w:eastAsia="黑体"/>
                <w:color w:val="000000"/>
              </w:rPr>
            </w:pPr>
            <w:r>
              <w:rPr>
                <w:rFonts w:eastAsia="黑体"/>
                <w:color w:val="000000"/>
              </w:rPr>
              <w:t>…</w:t>
            </w:r>
          </w:p>
        </w:tc>
        <w:tc>
          <w:tcPr>
            <w:tcW w:w="1205" w:type="dxa"/>
            <w:vMerge w:val="restart"/>
            <w:noWrap w:val="0"/>
            <w:vAlign w:val="center"/>
          </w:tcPr>
          <w:p>
            <w:pPr>
              <w:spacing w:line="200" w:lineRule="exact"/>
              <w:jc w:val="center"/>
              <w:rPr>
                <w:color w:val="000000"/>
              </w:rPr>
            </w:pPr>
          </w:p>
        </w:tc>
        <w:tc>
          <w:tcPr>
            <w:tcW w:w="1418" w:type="dxa"/>
            <w:noWrap w:val="0"/>
            <w:vAlign w:val="center"/>
          </w:tcPr>
          <w:p>
            <w:pPr>
              <w:spacing w:line="200" w:lineRule="exact"/>
              <w:jc w:val="center"/>
              <w:rPr>
                <w:color w:val="000000"/>
              </w:rPr>
            </w:pPr>
            <w:r>
              <w:rPr>
                <w:rFonts w:hint="eastAsia" w:cs="宋体"/>
                <w:color w:val="000000"/>
                <w:sz w:val="18"/>
                <w:szCs w:val="18"/>
              </w:rPr>
              <w:t>工程总承包项目经理</w:t>
            </w:r>
          </w:p>
        </w:tc>
        <w:tc>
          <w:tcPr>
            <w:tcW w:w="850" w:type="dxa"/>
            <w:noWrap w:val="0"/>
            <w:vAlign w:val="center"/>
          </w:tcPr>
          <w:p>
            <w:pPr>
              <w:spacing w:line="200" w:lineRule="exact"/>
              <w:jc w:val="center"/>
              <w:rPr>
                <w:color w:val="000000"/>
              </w:rPr>
            </w:pPr>
          </w:p>
        </w:tc>
        <w:tc>
          <w:tcPr>
            <w:tcW w:w="1276" w:type="dxa"/>
            <w:noWrap w:val="0"/>
            <w:vAlign w:val="center"/>
          </w:tcPr>
          <w:p>
            <w:pPr>
              <w:spacing w:line="200" w:lineRule="exact"/>
              <w:jc w:val="center"/>
              <w:rPr>
                <w:color w:val="000000"/>
              </w:rPr>
            </w:pPr>
          </w:p>
          <w:p>
            <w:pPr>
              <w:spacing w:line="200" w:lineRule="exact"/>
              <w:jc w:val="center"/>
              <w:rPr>
                <w:color w:val="000000"/>
              </w:rPr>
            </w:pPr>
          </w:p>
        </w:tc>
        <w:tc>
          <w:tcPr>
            <w:tcW w:w="992" w:type="dxa"/>
            <w:noWrap w:val="0"/>
            <w:vAlign w:val="center"/>
          </w:tcPr>
          <w:p>
            <w:pPr>
              <w:spacing w:line="200" w:lineRule="exact"/>
              <w:jc w:val="center"/>
              <w:rPr>
                <w:color w:val="000000"/>
              </w:rPr>
            </w:pPr>
          </w:p>
          <w:p>
            <w:pPr>
              <w:spacing w:line="200" w:lineRule="exact"/>
              <w:jc w:val="center"/>
              <w:rPr>
                <w:color w:val="000000"/>
              </w:rPr>
            </w:pPr>
          </w:p>
        </w:tc>
        <w:tc>
          <w:tcPr>
            <w:tcW w:w="1276" w:type="dxa"/>
            <w:noWrap w:val="0"/>
            <w:vAlign w:val="center"/>
          </w:tcPr>
          <w:p>
            <w:pPr>
              <w:spacing w:line="200" w:lineRule="exact"/>
              <w:jc w:val="center"/>
              <w:rPr>
                <w:color w:val="000000"/>
              </w:rPr>
            </w:pPr>
          </w:p>
          <w:p>
            <w:pPr>
              <w:spacing w:line="200" w:lineRule="exact"/>
              <w:jc w:val="center"/>
              <w:rPr>
                <w:color w:val="000000"/>
              </w:rPr>
            </w:pPr>
          </w:p>
        </w:tc>
        <w:tc>
          <w:tcPr>
            <w:tcW w:w="709" w:type="dxa"/>
            <w:noWrap w:val="0"/>
            <w:vAlign w:val="center"/>
          </w:tcPr>
          <w:p>
            <w:pPr>
              <w:spacing w:line="200" w:lineRule="exact"/>
              <w:jc w:val="center"/>
              <w:rPr>
                <w:color w:val="000000"/>
              </w:rPr>
            </w:pPr>
          </w:p>
        </w:tc>
        <w:tc>
          <w:tcPr>
            <w:tcW w:w="992" w:type="dxa"/>
            <w:noWrap w:val="0"/>
            <w:vAlign w:val="center"/>
          </w:tcPr>
          <w:p>
            <w:pPr>
              <w:spacing w:line="200" w:lineRule="exact"/>
              <w:jc w:val="center"/>
              <w:rPr>
                <w:color w:val="000000"/>
              </w:rPr>
            </w:pPr>
          </w:p>
        </w:tc>
        <w:tc>
          <w:tcPr>
            <w:tcW w:w="1276" w:type="dxa"/>
            <w:noWrap w:val="0"/>
            <w:vAlign w:val="center"/>
          </w:tcPr>
          <w:p>
            <w:pPr>
              <w:spacing w:line="200" w:lineRule="exact"/>
              <w:jc w:val="center"/>
              <w:rPr>
                <w:color w:val="000000"/>
              </w:rPr>
            </w:pPr>
          </w:p>
        </w:tc>
        <w:tc>
          <w:tcPr>
            <w:tcW w:w="709" w:type="dxa"/>
            <w:vMerge w:val="restart"/>
            <w:noWrap w:val="0"/>
            <w:vAlign w:val="center"/>
          </w:tcPr>
          <w:p>
            <w:pPr>
              <w:spacing w:line="200" w:lineRule="exact"/>
              <w:jc w:val="center"/>
              <w:rPr>
                <w:color w:val="000000"/>
              </w:rPr>
            </w:pPr>
          </w:p>
        </w:tc>
        <w:tc>
          <w:tcPr>
            <w:tcW w:w="1417" w:type="dxa"/>
            <w:vMerge w:val="restart"/>
            <w:noWrap w:val="0"/>
            <w:vAlign w:val="center"/>
          </w:tcPr>
          <w:p>
            <w:pPr>
              <w:spacing w:line="200" w:lineRule="exact"/>
              <w:jc w:val="center"/>
              <w:rPr>
                <w:color w:val="000000"/>
              </w:rPr>
            </w:pPr>
          </w:p>
        </w:tc>
        <w:tc>
          <w:tcPr>
            <w:tcW w:w="2126" w:type="dxa"/>
            <w:vMerge w:val="restart"/>
            <w:noWrap w:val="0"/>
            <w:vAlign w:val="center"/>
          </w:tcPr>
          <w:p>
            <w:pPr>
              <w:spacing w:line="20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4" w:hRule="atLeast"/>
        </w:trPr>
        <w:tc>
          <w:tcPr>
            <w:tcW w:w="604" w:type="dxa"/>
            <w:vMerge w:val="continue"/>
            <w:noWrap w:val="0"/>
            <w:vAlign w:val="center"/>
          </w:tcPr>
          <w:p>
            <w:pPr>
              <w:spacing w:line="200" w:lineRule="exact"/>
              <w:jc w:val="center"/>
              <w:rPr>
                <w:rFonts w:eastAsia="黑体"/>
                <w:color w:val="000000"/>
              </w:rPr>
            </w:pPr>
          </w:p>
        </w:tc>
        <w:tc>
          <w:tcPr>
            <w:tcW w:w="1205" w:type="dxa"/>
            <w:vMerge w:val="continue"/>
            <w:noWrap w:val="0"/>
            <w:vAlign w:val="center"/>
          </w:tcPr>
          <w:p>
            <w:pPr>
              <w:spacing w:line="200" w:lineRule="exact"/>
              <w:jc w:val="center"/>
              <w:rPr>
                <w:color w:val="000000"/>
              </w:rPr>
            </w:pPr>
          </w:p>
        </w:tc>
        <w:tc>
          <w:tcPr>
            <w:tcW w:w="1418" w:type="dxa"/>
            <w:vMerge w:val="restart"/>
            <w:noWrap w:val="0"/>
            <w:vAlign w:val="center"/>
          </w:tcPr>
          <w:p>
            <w:pPr>
              <w:spacing w:line="200" w:lineRule="exact"/>
              <w:jc w:val="center"/>
              <w:rPr>
                <w:color w:val="000000"/>
              </w:rPr>
            </w:pPr>
            <w:r>
              <w:rPr>
                <w:rFonts w:hint="eastAsia" w:cs="宋体"/>
                <w:color w:val="000000"/>
                <w:sz w:val="18"/>
                <w:szCs w:val="18"/>
              </w:rPr>
              <w:t>施工项目经理</w:t>
            </w:r>
          </w:p>
        </w:tc>
        <w:tc>
          <w:tcPr>
            <w:tcW w:w="850" w:type="dxa"/>
            <w:vMerge w:val="restart"/>
            <w:noWrap w:val="0"/>
            <w:vAlign w:val="center"/>
          </w:tcPr>
          <w:p>
            <w:pPr>
              <w:spacing w:line="200" w:lineRule="exact"/>
              <w:jc w:val="center"/>
              <w:rPr>
                <w:color w:val="000000"/>
              </w:rPr>
            </w:pPr>
          </w:p>
        </w:tc>
        <w:tc>
          <w:tcPr>
            <w:tcW w:w="1276" w:type="dxa"/>
            <w:vMerge w:val="restart"/>
            <w:noWrap w:val="0"/>
            <w:vAlign w:val="center"/>
          </w:tcPr>
          <w:p>
            <w:pPr>
              <w:spacing w:line="200" w:lineRule="exact"/>
              <w:jc w:val="center"/>
              <w:rPr>
                <w:color w:val="000000"/>
              </w:rPr>
            </w:pPr>
          </w:p>
        </w:tc>
        <w:tc>
          <w:tcPr>
            <w:tcW w:w="992" w:type="dxa"/>
            <w:vMerge w:val="restart"/>
            <w:noWrap w:val="0"/>
            <w:vAlign w:val="center"/>
          </w:tcPr>
          <w:p>
            <w:pPr>
              <w:spacing w:line="200" w:lineRule="exact"/>
              <w:jc w:val="center"/>
              <w:rPr>
                <w:color w:val="000000"/>
              </w:rPr>
            </w:pPr>
          </w:p>
        </w:tc>
        <w:tc>
          <w:tcPr>
            <w:tcW w:w="1276" w:type="dxa"/>
            <w:vMerge w:val="restart"/>
            <w:noWrap w:val="0"/>
            <w:vAlign w:val="center"/>
          </w:tcPr>
          <w:p>
            <w:pPr>
              <w:spacing w:line="200" w:lineRule="exact"/>
              <w:jc w:val="center"/>
              <w:rPr>
                <w:color w:val="000000"/>
              </w:rPr>
            </w:pPr>
          </w:p>
        </w:tc>
        <w:tc>
          <w:tcPr>
            <w:tcW w:w="709" w:type="dxa"/>
            <w:noWrap w:val="0"/>
            <w:vAlign w:val="center"/>
          </w:tcPr>
          <w:p>
            <w:pPr>
              <w:spacing w:line="200" w:lineRule="exact"/>
              <w:jc w:val="center"/>
              <w:rPr>
                <w:color w:val="000000"/>
              </w:rPr>
            </w:pPr>
          </w:p>
        </w:tc>
        <w:tc>
          <w:tcPr>
            <w:tcW w:w="992" w:type="dxa"/>
            <w:noWrap w:val="0"/>
            <w:vAlign w:val="center"/>
          </w:tcPr>
          <w:p>
            <w:pPr>
              <w:spacing w:line="200" w:lineRule="exact"/>
              <w:jc w:val="center"/>
              <w:rPr>
                <w:color w:val="000000"/>
              </w:rPr>
            </w:pPr>
          </w:p>
        </w:tc>
        <w:tc>
          <w:tcPr>
            <w:tcW w:w="1276" w:type="dxa"/>
            <w:noWrap w:val="0"/>
            <w:vAlign w:val="center"/>
          </w:tcPr>
          <w:p>
            <w:pPr>
              <w:spacing w:line="200" w:lineRule="exact"/>
              <w:jc w:val="center"/>
              <w:rPr>
                <w:color w:val="000000"/>
              </w:rPr>
            </w:pPr>
          </w:p>
        </w:tc>
        <w:tc>
          <w:tcPr>
            <w:tcW w:w="709" w:type="dxa"/>
            <w:vMerge w:val="continue"/>
            <w:noWrap w:val="0"/>
            <w:vAlign w:val="center"/>
          </w:tcPr>
          <w:p>
            <w:pPr>
              <w:spacing w:line="200" w:lineRule="exact"/>
              <w:jc w:val="center"/>
              <w:rPr>
                <w:color w:val="000000"/>
              </w:rPr>
            </w:pPr>
          </w:p>
        </w:tc>
        <w:tc>
          <w:tcPr>
            <w:tcW w:w="1417" w:type="dxa"/>
            <w:vMerge w:val="continue"/>
            <w:noWrap w:val="0"/>
            <w:vAlign w:val="top"/>
          </w:tcPr>
          <w:p>
            <w:pPr>
              <w:spacing w:line="200" w:lineRule="exact"/>
              <w:jc w:val="center"/>
              <w:rPr>
                <w:color w:val="000000"/>
              </w:rPr>
            </w:pPr>
          </w:p>
        </w:tc>
        <w:tc>
          <w:tcPr>
            <w:tcW w:w="2126" w:type="dxa"/>
            <w:vMerge w:val="continue"/>
            <w:noWrap w:val="0"/>
            <w:vAlign w:val="top"/>
          </w:tcPr>
          <w:p>
            <w:pPr>
              <w:spacing w:line="20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13" w:hRule="atLeast"/>
        </w:trPr>
        <w:tc>
          <w:tcPr>
            <w:tcW w:w="604" w:type="dxa"/>
            <w:vMerge w:val="continue"/>
            <w:noWrap w:val="0"/>
            <w:vAlign w:val="center"/>
          </w:tcPr>
          <w:p>
            <w:pPr>
              <w:spacing w:line="200" w:lineRule="exact"/>
              <w:jc w:val="center"/>
              <w:rPr>
                <w:rFonts w:eastAsia="黑体"/>
                <w:color w:val="000000"/>
              </w:rPr>
            </w:pPr>
          </w:p>
        </w:tc>
        <w:tc>
          <w:tcPr>
            <w:tcW w:w="1205" w:type="dxa"/>
            <w:vMerge w:val="continue"/>
            <w:noWrap w:val="0"/>
            <w:vAlign w:val="center"/>
          </w:tcPr>
          <w:p>
            <w:pPr>
              <w:spacing w:line="200" w:lineRule="exact"/>
              <w:jc w:val="center"/>
              <w:rPr>
                <w:color w:val="000000"/>
              </w:rPr>
            </w:pPr>
          </w:p>
        </w:tc>
        <w:tc>
          <w:tcPr>
            <w:tcW w:w="1418" w:type="dxa"/>
            <w:vMerge w:val="continue"/>
            <w:noWrap w:val="0"/>
            <w:vAlign w:val="center"/>
          </w:tcPr>
          <w:p>
            <w:pPr>
              <w:spacing w:line="200" w:lineRule="exact"/>
              <w:jc w:val="center"/>
              <w:rPr>
                <w:color w:val="000000"/>
              </w:rPr>
            </w:pPr>
          </w:p>
        </w:tc>
        <w:tc>
          <w:tcPr>
            <w:tcW w:w="850" w:type="dxa"/>
            <w:vMerge w:val="continue"/>
            <w:noWrap w:val="0"/>
            <w:vAlign w:val="center"/>
          </w:tcPr>
          <w:p>
            <w:pPr>
              <w:spacing w:line="200" w:lineRule="exact"/>
              <w:jc w:val="center"/>
              <w:rPr>
                <w:color w:val="000000"/>
              </w:rPr>
            </w:pPr>
          </w:p>
        </w:tc>
        <w:tc>
          <w:tcPr>
            <w:tcW w:w="1276" w:type="dxa"/>
            <w:vMerge w:val="continue"/>
            <w:noWrap w:val="0"/>
            <w:vAlign w:val="center"/>
          </w:tcPr>
          <w:p>
            <w:pPr>
              <w:spacing w:line="200" w:lineRule="exact"/>
              <w:jc w:val="center"/>
              <w:rPr>
                <w:color w:val="000000"/>
              </w:rPr>
            </w:pPr>
          </w:p>
        </w:tc>
        <w:tc>
          <w:tcPr>
            <w:tcW w:w="992" w:type="dxa"/>
            <w:vMerge w:val="continue"/>
            <w:noWrap w:val="0"/>
            <w:vAlign w:val="center"/>
          </w:tcPr>
          <w:p>
            <w:pPr>
              <w:spacing w:line="200" w:lineRule="exact"/>
              <w:jc w:val="center"/>
              <w:rPr>
                <w:color w:val="000000"/>
              </w:rPr>
            </w:pPr>
          </w:p>
        </w:tc>
        <w:tc>
          <w:tcPr>
            <w:tcW w:w="1276" w:type="dxa"/>
            <w:vMerge w:val="continue"/>
            <w:noWrap w:val="0"/>
            <w:vAlign w:val="center"/>
          </w:tcPr>
          <w:p>
            <w:pPr>
              <w:spacing w:line="200" w:lineRule="exact"/>
              <w:jc w:val="center"/>
              <w:rPr>
                <w:color w:val="000000"/>
              </w:rPr>
            </w:pPr>
          </w:p>
        </w:tc>
        <w:tc>
          <w:tcPr>
            <w:tcW w:w="709" w:type="dxa"/>
            <w:noWrap w:val="0"/>
            <w:vAlign w:val="center"/>
          </w:tcPr>
          <w:p>
            <w:pPr>
              <w:spacing w:line="200" w:lineRule="exact"/>
              <w:jc w:val="center"/>
              <w:rPr>
                <w:color w:val="000000"/>
              </w:rPr>
            </w:pPr>
          </w:p>
        </w:tc>
        <w:tc>
          <w:tcPr>
            <w:tcW w:w="992" w:type="dxa"/>
            <w:noWrap w:val="0"/>
            <w:vAlign w:val="center"/>
          </w:tcPr>
          <w:p>
            <w:pPr>
              <w:spacing w:line="200" w:lineRule="exact"/>
              <w:jc w:val="center"/>
              <w:rPr>
                <w:color w:val="000000"/>
              </w:rPr>
            </w:pPr>
          </w:p>
        </w:tc>
        <w:tc>
          <w:tcPr>
            <w:tcW w:w="1276" w:type="dxa"/>
            <w:noWrap w:val="0"/>
            <w:vAlign w:val="center"/>
          </w:tcPr>
          <w:p>
            <w:pPr>
              <w:spacing w:line="200" w:lineRule="exact"/>
              <w:jc w:val="center"/>
              <w:rPr>
                <w:color w:val="000000"/>
              </w:rPr>
            </w:pPr>
          </w:p>
        </w:tc>
        <w:tc>
          <w:tcPr>
            <w:tcW w:w="709" w:type="dxa"/>
            <w:vMerge w:val="continue"/>
            <w:noWrap w:val="0"/>
            <w:vAlign w:val="center"/>
          </w:tcPr>
          <w:p>
            <w:pPr>
              <w:spacing w:line="200" w:lineRule="exact"/>
              <w:jc w:val="center"/>
              <w:rPr>
                <w:color w:val="000000"/>
              </w:rPr>
            </w:pPr>
          </w:p>
        </w:tc>
        <w:tc>
          <w:tcPr>
            <w:tcW w:w="1417" w:type="dxa"/>
            <w:vMerge w:val="continue"/>
            <w:noWrap w:val="0"/>
            <w:vAlign w:val="top"/>
          </w:tcPr>
          <w:p>
            <w:pPr>
              <w:spacing w:line="200" w:lineRule="exact"/>
              <w:jc w:val="center"/>
              <w:rPr>
                <w:color w:val="000000"/>
              </w:rPr>
            </w:pPr>
          </w:p>
        </w:tc>
        <w:tc>
          <w:tcPr>
            <w:tcW w:w="2126" w:type="dxa"/>
            <w:vMerge w:val="continue"/>
            <w:noWrap w:val="0"/>
            <w:vAlign w:val="top"/>
          </w:tcPr>
          <w:p>
            <w:pPr>
              <w:spacing w:line="200" w:lineRule="exact"/>
              <w:jc w:val="center"/>
              <w:rPr>
                <w:color w:val="000000"/>
              </w:rPr>
            </w:pPr>
          </w:p>
        </w:tc>
      </w:tr>
    </w:tbl>
    <w:p>
      <w:pPr>
        <w:rPr>
          <w:rFonts w:ascii="宋体"/>
          <w:color w:val="000000"/>
        </w:rPr>
      </w:pPr>
      <w:r>
        <w:rPr>
          <w:rFonts w:hint="eastAsia" w:ascii="宋体" w:hAnsi="宋体" w:cs="宋体"/>
          <w:color w:val="000000"/>
        </w:rPr>
        <w:t>招标人授权代表（签字）：</w:t>
      </w:r>
      <w:r>
        <w:rPr>
          <w:rFonts w:ascii="宋体" w:hAnsi="宋体" w:cs="宋体"/>
          <w:color w:val="000000"/>
        </w:rPr>
        <w:t xml:space="preserve">                            </w:t>
      </w:r>
      <w:r>
        <w:rPr>
          <w:rFonts w:hint="eastAsia" w:ascii="宋体" w:hAnsi="宋体" w:cs="宋体"/>
          <w:color w:val="000000"/>
        </w:rPr>
        <w:t>记录人（签字）：</w:t>
      </w:r>
      <w:r>
        <w:rPr>
          <w:rFonts w:ascii="宋体" w:hAnsi="宋体" w:cs="宋体"/>
          <w:color w:val="000000"/>
        </w:rPr>
        <w:t xml:space="preserve">                             </w:t>
      </w:r>
      <w:r>
        <w:rPr>
          <w:rFonts w:hint="eastAsia" w:ascii="宋体" w:hAnsi="宋体" w:cs="宋体"/>
          <w:color w:val="000000"/>
        </w:rPr>
        <w:t>监督人员（签字）：</w:t>
      </w:r>
    </w:p>
    <w:p>
      <w:pPr>
        <w:rPr>
          <w:color w:val="000000"/>
        </w:rPr>
      </w:pPr>
      <w:r>
        <w:rPr>
          <w:rFonts w:hint="eastAsia" w:cs="宋体"/>
          <w:color w:val="000000"/>
        </w:rPr>
        <w:t>评委签字（仅负责核查投标文件中拟投入的工程总承包项目经理、施工项目经理或专职安全生产管理人员与本记录表中的工程总承包项目经理、施工项目经理或专职安全生产管理人员是否相符）：</w:t>
      </w:r>
    </w:p>
    <w:p>
      <w:pPr>
        <w:spacing w:line="440" w:lineRule="exact"/>
        <w:rPr>
          <w:rFonts w:cs="宋体"/>
          <w:color w:val="000000"/>
        </w:rPr>
      </w:pPr>
      <w:r>
        <w:rPr>
          <w:rFonts w:hint="eastAsia" w:cs="宋体"/>
          <w:color w:val="000000"/>
        </w:rPr>
        <w:t>注：开标时对工程总承包项目经理、施工项目经理和专职安全生产管理人员进行身份证验证，如投标单位的工程总承包项目经理、施工项目经理和专职安全生产管理人员中有一人的</w:t>
      </w:r>
      <w:r>
        <w:rPr>
          <w:rFonts w:hint="eastAsia"/>
          <w:color w:val="000000"/>
        </w:rPr>
        <w:t>诚信信息未处</w:t>
      </w:r>
      <w:r>
        <w:rPr>
          <w:rFonts w:hint="eastAsia" w:cs="宋体"/>
          <w:color w:val="000000"/>
        </w:rPr>
        <w:t>于有效状态，则为</w:t>
      </w:r>
      <w:r>
        <w:rPr>
          <w:rFonts w:hint="eastAsia"/>
          <w:color w:val="000000"/>
        </w:rPr>
        <w:t>诚信信息</w:t>
      </w:r>
      <w:r>
        <w:rPr>
          <w:rFonts w:hint="eastAsia" w:cs="宋体"/>
          <w:color w:val="000000"/>
        </w:rPr>
        <w:t>未通过验证，则该投标</w:t>
      </w:r>
      <w:r>
        <w:rPr>
          <w:rFonts w:cs="宋体"/>
          <w:color w:val="000000"/>
        </w:rPr>
        <w:t>文件</w:t>
      </w:r>
      <w:r>
        <w:rPr>
          <w:rFonts w:hint="eastAsia" w:cs="宋体"/>
          <w:color w:val="000000"/>
        </w:rPr>
        <w:t>投标无</w:t>
      </w:r>
      <w:r>
        <w:rPr>
          <w:rFonts w:cs="宋体"/>
          <w:color w:val="000000"/>
        </w:rPr>
        <w:t>效</w:t>
      </w:r>
      <w:r>
        <w:rPr>
          <w:rFonts w:hint="eastAsia" w:cs="宋体"/>
          <w:color w:val="000000"/>
        </w:rPr>
        <w:t>；评标时，如评委发现投标单位投标文件中拟投入的工程总承包项目经理、施工项目经理或专职安全生产管理人员与开标时所验身份证的工程总承包项目经理、施工项目经理或专职安全生产管理人员不相符时，应视作该投标单位的</w:t>
      </w:r>
      <w:r>
        <w:rPr>
          <w:rFonts w:hint="eastAsia"/>
          <w:color w:val="000000"/>
        </w:rPr>
        <w:t>诚信信息</w:t>
      </w:r>
      <w:r>
        <w:rPr>
          <w:rFonts w:hint="eastAsia" w:cs="宋体"/>
          <w:color w:val="000000"/>
        </w:rPr>
        <w:t>未通过验证。</w:t>
      </w:r>
    </w:p>
    <w:p>
      <w:pPr>
        <w:pStyle w:val="4"/>
        <w:spacing w:line="240" w:lineRule="auto"/>
        <w:rPr>
          <w:sz w:val="28"/>
          <w:szCs w:val="28"/>
        </w:rPr>
      </w:pPr>
      <w:bookmarkStart w:id="716" w:name="_Toc59203027"/>
      <w:r>
        <w:rPr>
          <w:sz w:val="28"/>
          <w:szCs w:val="28"/>
        </w:rPr>
        <w:t>附表A－3：</w:t>
      </w:r>
      <w:r>
        <w:rPr>
          <w:rFonts w:hint="eastAsia"/>
          <w:sz w:val="28"/>
          <w:szCs w:val="28"/>
        </w:rPr>
        <w:t>开标记录表</w:t>
      </w:r>
      <w:bookmarkEnd w:id="716"/>
    </w:p>
    <w:p>
      <w:pPr>
        <w:jc w:val="center"/>
        <w:rPr>
          <w:rFonts w:ascii="宋体" w:hAnsi="宋体"/>
          <w:b/>
          <w:color w:val="000000"/>
          <w:sz w:val="28"/>
          <w:szCs w:val="28"/>
        </w:rPr>
      </w:pPr>
      <w:r>
        <w:rPr>
          <w:rFonts w:hint="eastAsia" w:ascii="宋体" w:hAnsi="宋体"/>
          <w:b/>
          <w:color w:val="000000"/>
          <w:sz w:val="28"/>
          <w:szCs w:val="28"/>
        </w:rPr>
        <w:t>开标记录表</w:t>
      </w:r>
    </w:p>
    <w:p>
      <w:pPr>
        <w:adjustRightInd w:val="0"/>
        <w:snapToGrid w:val="0"/>
        <w:spacing w:line="420" w:lineRule="exact"/>
        <w:jc w:val="center"/>
        <w:rPr>
          <w:rFonts w:eastAsia="黑体"/>
          <w:color w:val="000000"/>
          <w:sz w:val="28"/>
          <w:szCs w:val="28"/>
        </w:rPr>
      </w:pPr>
    </w:p>
    <w:p>
      <w:pPr>
        <w:spacing w:after="72" w:afterLines="30"/>
        <w:rPr>
          <w:color w:val="000000"/>
        </w:rPr>
      </w:pPr>
      <w:r>
        <w:rPr>
          <w:color w:val="000000"/>
        </w:rPr>
        <w:t>工程名称：</w:t>
      </w:r>
      <w:r>
        <w:rPr>
          <w:color w:val="000000"/>
          <w:u w:val="single"/>
        </w:rPr>
        <w:t xml:space="preserve">             </w:t>
      </w:r>
      <w:r>
        <w:rPr>
          <w:rFonts w:hint="eastAsia"/>
          <w:color w:val="000000"/>
        </w:rPr>
        <w:t>（</w:t>
      </w:r>
      <w:r>
        <w:rPr>
          <w:color w:val="000000"/>
        </w:rPr>
        <w:t>项目名称</w:t>
      </w:r>
      <w:r>
        <w:rPr>
          <w:rFonts w:hint="eastAsia"/>
          <w:color w:val="000000"/>
        </w:rPr>
        <w:t>）</w:t>
      </w:r>
      <w:r>
        <w:rPr>
          <w:color w:val="000000"/>
        </w:rPr>
        <w:t xml:space="preserve">       </w:t>
      </w:r>
      <w:r>
        <w:rPr>
          <w:rFonts w:hint="eastAsia"/>
          <w:color w:val="000000"/>
        </w:rPr>
        <w:t>项目招标编号：</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开</w:t>
      </w:r>
      <w:r>
        <w:rPr>
          <w:color w:val="000000"/>
        </w:rPr>
        <w:t>标时间：</w:t>
      </w:r>
      <w:r>
        <w:rPr>
          <w:color w:val="000000"/>
          <w:u w:val="single"/>
        </w:rPr>
        <w:t xml:space="preserve">  </w:t>
      </w:r>
      <w:r>
        <w:rPr>
          <w:rFonts w:hint="eastAsia"/>
          <w:color w:val="000000"/>
          <w:u w:val="single"/>
        </w:rPr>
        <w:t xml:space="preserve">    </w:t>
      </w:r>
      <w:r>
        <w:rPr>
          <w:color w:val="000000"/>
          <w:u w:val="single"/>
        </w:rPr>
        <w:t xml:space="preserve">    </w:t>
      </w:r>
      <w:r>
        <w:rPr>
          <w:color w:val="000000"/>
        </w:rPr>
        <w:t>年</w:t>
      </w:r>
      <w:r>
        <w:rPr>
          <w:color w:val="000000"/>
          <w:u w:val="single"/>
        </w:rPr>
        <w:t xml:space="preserve">      </w:t>
      </w:r>
      <w:r>
        <w:rPr>
          <w:color w:val="000000"/>
        </w:rPr>
        <w:t>月</w:t>
      </w:r>
      <w:r>
        <w:rPr>
          <w:color w:val="000000"/>
          <w:u w:val="single"/>
        </w:rPr>
        <w:t xml:space="preserve">      </w:t>
      </w:r>
      <w:r>
        <w:rPr>
          <w:color w:val="000000"/>
        </w:rPr>
        <w:t>日</w:t>
      </w:r>
    </w:p>
    <w:p>
      <w:pPr>
        <w:spacing w:line="400" w:lineRule="exact"/>
        <w:rPr>
          <w:color w:val="000000"/>
        </w:rPr>
      </w:pPr>
      <w:r>
        <w:rPr>
          <w:rFonts w:hint="eastAsia"/>
          <w:color w:val="000000"/>
        </w:rPr>
        <w:t>招标人</w:t>
      </w:r>
      <w:r>
        <w:rPr>
          <w:color w:val="000000"/>
        </w:rPr>
        <w:t>：</w:t>
      </w:r>
      <w:r>
        <w:rPr>
          <w:color w:val="000000"/>
          <w:u w:val="single"/>
        </w:rPr>
        <w:t xml:space="preserve">  </w:t>
      </w:r>
      <w:r>
        <w:rPr>
          <w:rFonts w:hint="eastAsia"/>
          <w:color w:val="000000"/>
          <w:u w:val="single"/>
        </w:rPr>
        <w:t xml:space="preserve">              </w:t>
      </w:r>
      <w:r>
        <w:rPr>
          <w:color w:val="000000"/>
          <w:u w:val="single"/>
        </w:rPr>
        <w:t xml:space="preserve">           </w:t>
      </w:r>
      <w:r>
        <w:rPr>
          <w:rFonts w:hint="eastAsia"/>
          <w:color w:val="000000"/>
          <w:u w:val="single"/>
        </w:rPr>
        <w:t xml:space="preserve">                              </w:t>
      </w:r>
      <w:r>
        <w:rPr>
          <w:rFonts w:hint="eastAsia"/>
          <w:color w:val="000000"/>
        </w:rPr>
        <w:t xml:space="preserve">         招标代理机构</w:t>
      </w:r>
      <w:r>
        <w:rPr>
          <w:color w:val="000000"/>
        </w:rPr>
        <w:t>：</w:t>
      </w:r>
      <w:r>
        <w:rPr>
          <w:color w:val="000000"/>
          <w:u w:val="single"/>
        </w:rPr>
        <w:t xml:space="preserve"> </w:t>
      </w:r>
      <w:r>
        <w:rPr>
          <w:rFonts w:hint="eastAsia"/>
          <w:color w:val="000000"/>
          <w:u w:val="single"/>
        </w:rPr>
        <w:t xml:space="preserve">                        </w:t>
      </w:r>
    </w:p>
    <w:p>
      <w:pPr>
        <w:spacing w:line="400" w:lineRule="exact"/>
        <w:ind w:right="420" w:firstLine="4515" w:firstLineChars="2150"/>
        <w:rPr>
          <w:color w:val="000000"/>
        </w:rPr>
      </w:pPr>
    </w:p>
    <w:tbl>
      <w:tblPr>
        <w:tblStyle w:val="83"/>
        <w:tblW w:w="145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980"/>
        <w:gridCol w:w="900"/>
        <w:gridCol w:w="1080"/>
        <w:gridCol w:w="900"/>
        <w:gridCol w:w="1106"/>
        <w:gridCol w:w="1080"/>
        <w:gridCol w:w="900"/>
        <w:gridCol w:w="900"/>
        <w:gridCol w:w="900"/>
        <w:gridCol w:w="900"/>
        <w:gridCol w:w="498"/>
        <w:gridCol w:w="900"/>
        <w:gridCol w:w="900"/>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75" w:hRule="exact"/>
          <w:jc w:val="center"/>
        </w:trPr>
        <w:tc>
          <w:tcPr>
            <w:tcW w:w="497" w:type="dxa"/>
            <w:vMerge w:val="restart"/>
            <w:noWrap w:val="0"/>
            <w:vAlign w:val="center"/>
          </w:tcPr>
          <w:p>
            <w:pPr>
              <w:spacing w:line="280" w:lineRule="exact"/>
              <w:jc w:val="center"/>
              <w:rPr>
                <w:color w:val="000000"/>
                <w:szCs w:val="21"/>
              </w:rPr>
            </w:pPr>
            <w:r>
              <w:rPr>
                <w:rFonts w:hint="eastAsia"/>
                <w:color w:val="000000"/>
                <w:szCs w:val="21"/>
              </w:rPr>
              <w:t>序号</w:t>
            </w:r>
          </w:p>
        </w:tc>
        <w:tc>
          <w:tcPr>
            <w:tcW w:w="1980" w:type="dxa"/>
            <w:vMerge w:val="restart"/>
            <w:noWrap w:val="0"/>
            <w:vAlign w:val="center"/>
          </w:tcPr>
          <w:p>
            <w:pPr>
              <w:spacing w:line="280" w:lineRule="exact"/>
              <w:jc w:val="center"/>
              <w:rPr>
                <w:color w:val="000000"/>
                <w:szCs w:val="21"/>
              </w:rPr>
            </w:pPr>
            <w:r>
              <w:rPr>
                <w:rFonts w:hint="eastAsia"/>
                <w:color w:val="000000"/>
                <w:szCs w:val="21"/>
              </w:rPr>
              <w:t>投标单位</w:t>
            </w:r>
          </w:p>
        </w:tc>
        <w:tc>
          <w:tcPr>
            <w:tcW w:w="900" w:type="dxa"/>
            <w:vMerge w:val="restart"/>
            <w:noWrap w:val="0"/>
            <w:vAlign w:val="center"/>
          </w:tcPr>
          <w:p>
            <w:pPr>
              <w:spacing w:line="280" w:lineRule="exact"/>
              <w:jc w:val="center"/>
              <w:rPr>
                <w:color w:val="000000"/>
                <w:szCs w:val="21"/>
              </w:rPr>
            </w:pPr>
            <w:r>
              <w:rPr>
                <w:rFonts w:hint="eastAsia"/>
                <w:color w:val="000000"/>
                <w:szCs w:val="21"/>
              </w:rPr>
              <w:t>是否按时递交投标文件</w:t>
            </w:r>
          </w:p>
        </w:tc>
        <w:tc>
          <w:tcPr>
            <w:tcW w:w="1080" w:type="dxa"/>
            <w:vMerge w:val="restart"/>
            <w:noWrap w:val="0"/>
            <w:vAlign w:val="center"/>
          </w:tcPr>
          <w:p>
            <w:pPr>
              <w:spacing w:line="280" w:lineRule="exact"/>
              <w:jc w:val="center"/>
              <w:rPr>
                <w:color w:val="000000"/>
                <w:szCs w:val="21"/>
              </w:rPr>
            </w:pPr>
            <w:r>
              <w:rPr>
                <w:rFonts w:hint="eastAsia"/>
                <w:color w:val="000000"/>
                <w:szCs w:val="21"/>
              </w:rPr>
              <w:t>投标文件密封性</w:t>
            </w:r>
          </w:p>
        </w:tc>
        <w:tc>
          <w:tcPr>
            <w:tcW w:w="900" w:type="dxa"/>
            <w:vMerge w:val="restart"/>
            <w:noWrap w:val="0"/>
            <w:vAlign w:val="center"/>
          </w:tcPr>
          <w:p>
            <w:pPr>
              <w:spacing w:line="280" w:lineRule="exact"/>
              <w:jc w:val="center"/>
              <w:rPr>
                <w:color w:val="000000"/>
                <w:szCs w:val="21"/>
              </w:rPr>
            </w:pPr>
            <w:r>
              <w:rPr>
                <w:rFonts w:hint="eastAsia"/>
                <w:color w:val="000000"/>
                <w:szCs w:val="21"/>
              </w:rPr>
              <w:t>资格证件是否有效</w:t>
            </w:r>
          </w:p>
        </w:tc>
        <w:tc>
          <w:tcPr>
            <w:tcW w:w="1106" w:type="dxa"/>
            <w:vMerge w:val="restart"/>
            <w:noWrap w:val="0"/>
            <w:vAlign w:val="center"/>
          </w:tcPr>
          <w:p>
            <w:pPr>
              <w:spacing w:line="280" w:lineRule="exact"/>
              <w:jc w:val="center"/>
              <w:rPr>
                <w:color w:val="000000"/>
                <w:szCs w:val="21"/>
              </w:rPr>
            </w:pPr>
            <w:r>
              <w:rPr>
                <w:rFonts w:hint="eastAsia"/>
                <w:color w:val="000000"/>
                <w:szCs w:val="21"/>
              </w:rPr>
              <w:t>投标文件是否有效</w:t>
            </w:r>
          </w:p>
        </w:tc>
        <w:tc>
          <w:tcPr>
            <w:tcW w:w="1080" w:type="dxa"/>
            <w:vMerge w:val="restart"/>
            <w:noWrap w:val="0"/>
            <w:vAlign w:val="center"/>
          </w:tcPr>
          <w:p>
            <w:pPr>
              <w:spacing w:line="280" w:lineRule="exact"/>
              <w:jc w:val="center"/>
              <w:rPr>
                <w:color w:val="000000"/>
                <w:szCs w:val="21"/>
              </w:rPr>
            </w:pPr>
            <w:r>
              <w:rPr>
                <w:rFonts w:hint="eastAsia"/>
                <w:color w:val="000000"/>
                <w:szCs w:val="21"/>
              </w:rPr>
              <w:t>提交的投标保证金（万元）</w:t>
            </w:r>
          </w:p>
        </w:tc>
        <w:tc>
          <w:tcPr>
            <w:tcW w:w="3600" w:type="dxa"/>
            <w:gridSpan w:val="4"/>
            <w:noWrap w:val="0"/>
            <w:vAlign w:val="center"/>
          </w:tcPr>
          <w:p>
            <w:pPr>
              <w:spacing w:line="280" w:lineRule="exact"/>
              <w:jc w:val="center"/>
              <w:rPr>
                <w:color w:val="000000"/>
                <w:szCs w:val="21"/>
              </w:rPr>
            </w:pPr>
            <w:r>
              <w:rPr>
                <w:rFonts w:hint="eastAsia"/>
                <w:color w:val="000000"/>
                <w:szCs w:val="21"/>
              </w:rPr>
              <w:t>投标总报价（元）</w:t>
            </w:r>
          </w:p>
        </w:tc>
        <w:tc>
          <w:tcPr>
            <w:tcW w:w="498" w:type="dxa"/>
            <w:vMerge w:val="restart"/>
            <w:noWrap w:val="0"/>
            <w:vAlign w:val="center"/>
          </w:tcPr>
          <w:p>
            <w:pPr>
              <w:spacing w:line="280" w:lineRule="exact"/>
              <w:jc w:val="center"/>
              <w:rPr>
                <w:color w:val="000000"/>
                <w:szCs w:val="21"/>
              </w:rPr>
            </w:pPr>
            <w:r>
              <w:rPr>
                <w:rFonts w:hint="eastAsia"/>
                <w:color w:val="000000"/>
                <w:szCs w:val="21"/>
              </w:rPr>
              <w:t>工期</w:t>
            </w:r>
          </w:p>
        </w:tc>
        <w:tc>
          <w:tcPr>
            <w:tcW w:w="900" w:type="dxa"/>
            <w:vMerge w:val="restart"/>
            <w:noWrap w:val="0"/>
            <w:vAlign w:val="center"/>
          </w:tcPr>
          <w:p>
            <w:pPr>
              <w:spacing w:line="280" w:lineRule="exact"/>
              <w:jc w:val="center"/>
              <w:rPr>
                <w:rFonts w:ascii="宋体" w:hAnsi="宋体" w:cs="宋体"/>
                <w:color w:val="000000"/>
                <w:szCs w:val="21"/>
              </w:rPr>
            </w:pPr>
            <w:r>
              <w:rPr>
                <w:rFonts w:hint="eastAsia"/>
                <w:color w:val="000000"/>
                <w:szCs w:val="21"/>
              </w:rPr>
              <w:t>质量等级</w:t>
            </w:r>
          </w:p>
        </w:tc>
        <w:tc>
          <w:tcPr>
            <w:tcW w:w="900" w:type="dxa"/>
            <w:vMerge w:val="restart"/>
            <w:noWrap w:val="0"/>
            <w:vAlign w:val="center"/>
          </w:tcPr>
          <w:p>
            <w:pPr>
              <w:spacing w:line="280" w:lineRule="exact"/>
              <w:jc w:val="center"/>
              <w:rPr>
                <w:color w:val="000000"/>
                <w:szCs w:val="21"/>
              </w:rPr>
            </w:pPr>
            <w:r>
              <w:rPr>
                <w:rFonts w:hint="eastAsia"/>
                <w:color w:val="000000"/>
                <w:szCs w:val="21"/>
              </w:rPr>
              <w:t>备注</w:t>
            </w:r>
          </w:p>
        </w:tc>
        <w:tc>
          <w:tcPr>
            <w:tcW w:w="1122" w:type="dxa"/>
            <w:vMerge w:val="restart"/>
            <w:noWrap w:val="0"/>
            <w:vAlign w:val="center"/>
          </w:tcPr>
          <w:p>
            <w:pPr>
              <w:spacing w:line="280" w:lineRule="exact"/>
              <w:jc w:val="center"/>
              <w:rPr>
                <w:color w:val="000000"/>
                <w:szCs w:val="21"/>
              </w:rPr>
            </w:pPr>
            <w:r>
              <w:rPr>
                <w:rFonts w:hint="eastAsia"/>
                <w:color w:val="000000"/>
                <w:szCs w:val="21"/>
              </w:rPr>
              <w:t>法定代表人或专职投标员签字（必须为专职投标员持证本人）或盖法人单位电子章确认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01" w:hRule="exact"/>
          <w:jc w:val="center"/>
        </w:trPr>
        <w:tc>
          <w:tcPr>
            <w:tcW w:w="497" w:type="dxa"/>
            <w:vMerge w:val="continue"/>
            <w:noWrap w:val="0"/>
            <w:vAlign w:val="center"/>
          </w:tcPr>
          <w:p>
            <w:pPr>
              <w:spacing w:line="280" w:lineRule="exact"/>
              <w:jc w:val="center"/>
              <w:rPr>
                <w:rFonts w:hint="eastAsia"/>
                <w:color w:val="000000"/>
                <w:szCs w:val="21"/>
              </w:rPr>
            </w:pPr>
          </w:p>
        </w:tc>
        <w:tc>
          <w:tcPr>
            <w:tcW w:w="1980" w:type="dxa"/>
            <w:vMerge w:val="continue"/>
            <w:noWrap w:val="0"/>
            <w:vAlign w:val="center"/>
          </w:tcPr>
          <w:p>
            <w:pPr>
              <w:spacing w:line="280" w:lineRule="exact"/>
              <w:jc w:val="center"/>
              <w:rPr>
                <w:rFonts w:hint="eastAsia"/>
                <w:color w:val="000000"/>
                <w:szCs w:val="21"/>
              </w:rPr>
            </w:pPr>
          </w:p>
        </w:tc>
        <w:tc>
          <w:tcPr>
            <w:tcW w:w="900" w:type="dxa"/>
            <w:vMerge w:val="continue"/>
            <w:noWrap w:val="0"/>
            <w:vAlign w:val="center"/>
          </w:tcPr>
          <w:p>
            <w:pPr>
              <w:spacing w:line="280" w:lineRule="exact"/>
              <w:jc w:val="center"/>
              <w:rPr>
                <w:rFonts w:hint="eastAsia"/>
                <w:color w:val="000000"/>
                <w:szCs w:val="21"/>
              </w:rPr>
            </w:pPr>
          </w:p>
        </w:tc>
        <w:tc>
          <w:tcPr>
            <w:tcW w:w="1080" w:type="dxa"/>
            <w:vMerge w:val="continue"/>
            <w:noWrap w:val="0"/>
            <w:vAlign w:val="center"/>
          </w:tcPr>
          <w:p>
            <w:pPr>
              <w:spacing w:line="280" w:lineRule="exact"/>
              <w:jc w:val="center"/>
              <w:rPr>
                <w:rFonts w:hint="eastAsia"/>
                <w:color w:val="000000"/>
                <w:szCs w:val="21"/>
              </w:rPr>
            </w:pPr>
          </w:p>
        </w:tc>
        <w:tc>
          <w:tcPr>
            <w:tcW w:w="900" w:type="dxa"/>
            <w:vMerge w:val="continue"/>
            <w:noWrap w:val="0"/>
            <w:vAlign w:val="center"/>
          </w:tcPr>
          <w:p>
            <w:pPr>
              <w:spacing w:line="280" w:lineRule="exact"/>
              <w:jc w:val="center"/>
              <w:rPr>
                <w:rFonts w:hint="eastAsia"/>
                <w:color w:val="000000"/>
                <w:szCs w:val="21"/>
              </w:rPr>
            </w:pPr>
          </w:p>
        </w:tc>
        <w:tc>
          <w:tcPr>
            <w:tcW w:w="1106" w:type="dxa"/>
            <w:vMerge w:val="continue"/>
            <w:noWrap w:val="0"/>
            <w:vAlign w:val="center"/>
          </w:tcPr>
          <w:p>
            <w:pPr>
              <w:spacing w:line="280" w:lineRule="exact"/>
              <w:jc w:val="center"/>
              <w:rPr>
                <w:rFonts w:hint="eastAsia"/>
                <w:color w:val="000000"/>
                <w:szCs w:val="21"/>
              </w:rPr>
            </w:pPr>
          </w:p>
        </w:tc>
        <w:tc>
          <w:tcPr>
            <w:tcW w:w="1080" w:type="dxa"/>
            <w:vMerge w:val="continue"/>
            <w:noWrap w:val="0"/>
            <w:vAlign w:val="center"/>
          </w:tcPr>
          <w:p>
            <w:pPr>
              <w:spacing w:line="280" w:lineRule="exact"/>
              <w:jc w:val="center"/>
              <w:rPr>
                <w:rFonts w:hint="eastAsia"/>
                <w:color w:val="000000"/>
                <w:szCs w:val="21"/>
              </w:rPr>
            </w:pPr>
          </w:p>
        </w:tc>
        <w:tc>
          <w:tcPr>
            <w:tcW w:w="900" w:type="dxa"/>
            <w:noWrap w:val="0"/>
            <w:vAlign w:val="center"/>
          </w:tcPr>
          <w:p>
            <w:pPr>
              <w:spacing w:line="280" w:lineRule="exact"/>
              <w:jc w:val="center"/>
              <w:rPr>
                <w:rFonts w:hint="eastAsia"/>
                <w:color w:val="000000"/>
                <w:szCs w:val="21"/>
              </w:rPr>
            </w:pPr>
            <w:r>
              <w:rPr>
                <w:rFonts w:hint="eastAsia"/>
                <w:color w:val="000000"/>
                <w:szCs w:val="21"/>
              </w:rPr>
              <w:t>设计费报价</w:t>
            </w:r>
          </w:p>
          <w:p>
            <w:pPr>
              <w:spacing w:line="280" w:lineRule="exact"/>
              <w:jc w:val="center"/>
              <w:rPr>
                <w:rFonts w:hint="eastAsia"/>
                <w:color w:val="000000"/>
                <w:szCs w:val="21"/>
              </w:rPr>
            </w:pPr>
            <w:r>
              <w:rPr>
                <w:rFonts w:hint="eastAsia"/>
                <w:color w:val="000000"/>
                <w:szCs w:val="21"/>
              </w:rPr>
              <w:t>（元）</w:t>
            </w:r>
          </w:p>
        </w:tc>
        <w:tc>
          <w:tcPr>
            <w:tcW w:w="900" w:type="dxa"/>
            <w:noWrap w:val="0"/>
            <w:vAlign w:val="center"/>
          </w:tcPr>
          <w:p>
            <w:pPr>
              <w:spacing w:line="280" w:lineRule="exact"/>
              <w:jc w:val="center"/>
              <w:rPr>
                <w:rFonts w:hint="eastAsia"/>
                <w:color w:val="000000"/>
                <w:szCs w:val="21"/>
              </w:rPr>
            </w:pPr>
            <w:r>
              <w:rPr>
                <w:rFonts w:hint="eastAsia"/>
                <w:color w:val="000000"/>
                <w:szCs w:val="21"/>
              </w:rPr>
              <w:t xml:space="preserve">建筑安装工程费报价        </w:t>
            </w:r>
          </w:p>
          <w:p>
            <w:pPr>
              <w:spacing w:line="280" w:lineRule="exact"/>
              <w:jc w:val="center"/>
              <w:rPr>
                <w:color w:val="000000"/>
                <w:szCs w:val="21"/>
              </w:rPr>
            </w:pPr>
            <w:r>
              <w:rPr>
                <w:rFonts w:hint="eastAsia"/>
                <w:color w:val="000000"/>
                <w:szCs w:val="21"/>
              </w:rPr>
              <w:t>（元）</w:t>
            </w:r>
          </w:p>
          <w:p>
            <w:pPr>
              <w:spacing w:line="280" w:lineRule="exact"/>
              <w:jc w:val="center"/>
              <w:rPr>
                <w:rFonts w:hint="eastAsia"/>
                <w:color w:val="000000"/>
                <w:szCs w:val="21"/>
              </w:rPr>
            </w:pPr>
          </w:p>
        </w:tc>
        <w:tc>
          <w:tcPr>
            <w:tcW w:w="900" w:type="dxa"/>
            <w:noWrap w:val="0"/>
            <w:vAlign w:val="center"/>
          </w:tcPr>
          <w:p>
            <w:pPr>
              <w:spacing w:line="280" w:lineRule="exact"/>
              <w:jc w:val="center"/>
              <w:rPr>
                <w:rFonts w:hint="eastAsia"/>
                <w:color w:val="000000"/>
                <w:szCs w:val="21"/>
              </w:rPr>
            </w:pPr>
            <w:r>
              <w:rPr>
                <w:rFonts w:hint="eastAsia"/>
                <w:color w:val="000000"/>
                <w:szCs w:val="21"/>
              </w:rPr>
              <w:t>其中暂估价（元）</w:t>
            </w:r>
          </w:p>
        </w:tc>
        <w:tc>
          <w:tcPr>
            <w:tcW w:w="900" w:type="dxa"/>
            <w:noWrap w:val="0"/>
            <w:vAlign w:val="center"/>
          </w:tcPr>
          <w:p>
            <w:pPr>
              <w:spacing w:line="280" w:lineRule="exact"/>
              <w:jc w:val="center"/>
              <w:rPr>
                <w:rFonts w:hint="eastAsia"/>
                <w:color w:val="000000"/>
                <w:szCs w:val="21"/>
              </w:rPr>
            </w:pPr>
            <w:r>
              <w:rPr>
                <w:rFonts w:hint="eastAsia"/>
                <w:color w:val="000000"/>
                <w:szCs w:val="21"/>
              </w:rPr>
              <w:t>其中暂列费用</w:t>
            </w:r>
          </w:p>
          <w:p>
            <w:pPr>
              <w:spacing w:line="280" w:lineRule="exact"/>
              <w:jc w:val="center"/>
              <w:rPr>
                <w:rFonts w:hint="eastAsia"/>
                <w:color w:val="000000"/>
                <w:szCs w:val="21"/>
              </w:rPr>
            </w:pPr>
            <w:r>
              <w:rPr>
                <w:rFonts w:hint="eastAsia"/>
                <w:color w:val="000000"/>
                <w:szCs w:val="21"/>
              </w:rPr>
              <w:t>（元）</w:t>
            </w:r>
            <w:r>
              <w:rPr>
                <w:color w:val="000000"/>
                <w:szCs w:val="21"/>
              </w:rPr>
              <w:t>…</w:t>
            </w:r>
            <w:r>
              <w:rPr>
                <w:rFonts w:hint="eastAsia"/>
                <w:color w:val="000000"/>
                <w:szCs w:val="21"/>
              </w:rPr>
              <w:t>..</w:t>
            </w:r>
          </w:p>
        </w:tc>
        <w:tc>
          <w:tcPr>
            <w:tcW w:w="498" w:type="dxa"/>
            <w:vMerge w:val="continue"/>
            <w:noWrap w:val="0"/>
            <w:vAlign w:val="center"/>
          </w:tcPr>
          <w:p>
            <w:pPr>
              <w:spacing w:line="280" w:lineRule="exact"/>
              <w:jc w:val="center"/>
              <w:rPr>
                <w:rFonts w:hint="eastAsia"/>
                <w:color w:val="000000"/>
                <w:szCs w:val="21"/>
              </w:rPr>
            </w:pPr>
          </w:p>
        </w:tc>
        <w:tc>
          <w:tcPr>
            <w:tcW w:w="900" w:type="dxa"/>
            <w:vMerge w:val="continue"/>
            <w:noWrap w:val="0"/>
            <w:vAlign w:val="center"/>
          </w:tcPr>
          <w:p>
            <w:pPr>
              <w:spacing w:line="280" w:lineRule="exact"/>
              <w:jc w:val="center"/>
              <w:rPr>
                <w:rFonts w:hint="eastAsia"/>
                <w:color w:val="000000"/>
                <w:szCs w:val="21"/>
              </w:rPr>
            </w:pPr>
          </w:p>
        </w:tc>
        <w:tc>
          <w:tcPr>
            <w:tcW w:w="900" w:type="dxa"/>
            <w:vMerge w:val="continue"/>
            <w:noWrap w:val="0"/>
            <w:vAlign w:val="center"/>
          </w:tcPr>
          <w:p>
            <w:pPr>
              <w:spacing w:line="280" w:lineRule="exact"/>
              <w:jc w:val="center"/>
              <w:rPr>
                <w:rFonts w:hint="eastAsia"/>
                <w:color w:val="000000"/>
                <w:szCs w:val="21"/>
              </w:rPr>
            </w:pPr>
          </w:p>
        </w:tc>
        <w:tc>
          <w:tcPr>
            <w:tcW w:w="1122" w:type="dxa"/>
            <w:vMerge w:val="continue"/>
            <w:noWrap w:val="0"/>
            <w:vAlign w:val="center"/>
          </w:tcPr>
          <w:p>
            <w:pPr>
              <w:spacing w:line="280" w:lineRule="exact"/>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6" w:hRule="atLeast"/>
          <w:jc w:val="center"/>
        </w:trPr>
        <w:tc>
          <w:tcPr>
            <w:tcW w:w="497" w:type="dxa"/>
            <w:noWrap w:val="0"/>
            <w:vAlign w:val="center"/>
          </w:tcPr>
          <w:p>
            <w:pPr>
              <w:spacing w:line="440" w:lineRule="exact"/>
              <w:jc w:val="center"/>
              <w:rPr>
                <w:rFonts w:eastAsia="黑体"/>
                <w:color w:val="000000"/>
              </w:rPr>
            </w:pPr>
            <w:r>
              <w:rPr>
                <w:rFonts w:eastAsia="黑体"/>
                <w:color w:val="000000"/>
              </w:rPr>
              <w:t>1</w:t>
            </w:r>
          </w:p>
        </w:tc>
        <w:tc>
          <w:tcPr>
            <w:tcW w:w="1980" w:type="dxa"/>
            <w:noWrap w:val="0"/>
            <w:vAlign w:val="center"/>
          </w:tcPr>
          <w:p>
            <w:pPr>
              <w:spacing w:line="440" w:lineRule="exact"/>
              <w:jc w:val="center"/>
              <w:rPr>
                <w:color w:val="000000"/>
              </w:rPr>
            </w:pPr>
          </w:p>
        </w:tc>
        <w:tc>
          <w:tcPr>
            <w:tcW w:w="900" w:type="dxa"/>
            <w:noWrap w:val="0"/>
            <w:vAlign w:val="center"/>
          </w:tcPr>
          <w:p>
            <w:pPr>
              <w:spacing w:line="440" w:lineRule="exact"/>
              <w:jc w:val="center"/>
              <w:rPr>
                <w:color w:val="000000"/>
              </w:rPr>
            </w:pPr>
          </w:p>
        </w:tc>
        <w:tc>
          <w:tcPr>
            <w:tcW w:w="1080" w:type="dxa"/>
            <w:noWrap w:val="0"/>
            <w:vAlign w:val="center"/>
          </w:tcPr>
          <w:p>
            <w:pPr>
              <w:spacing w:line="440" w:lineRule="exact"/>
              <w:jc w:val="center"/>
              <w:rPr>
                <w:color w:val="000000"/>
              </w:rPr>
            </w:pPr>
          </w:p>
        </w:tc>
        <w:tc>
          <w:tcPr>
            <w:tcW w:w="900" w:type="dxa"/>
            <w:noWrap w:val="0"/>
            <w:vAlign w:val="center"/>
          </w:tcPr>
          <w:p>
            <w:pPr>
              <w:spacing w:line="440" w:lineRule="exact"/>
              <w:jc w:val="center"/>
              <w:rPr>
                <w:color w:val="000000"/>
              </w:rPr>
            </w:pPr>
          </w:p>
        </w:tc>
        <w:tc>
          <w:tcPr>
            <w:tcW w:w="1106" w:type="dxa"/>
            <w:noWrap w:val="0"/>
            <w:vAlign w:val="center"/>
          </w:tcPr>
          <w:p>
            <w:pPr>
              <w:spacing w:line="440" w:lineRule="exact"/>
              <w:jc w:val="center"/>
              <w:rPr>
                <w:color w:val="000000"/>
              </w:rPr>
            </w:pPr>
          </w:p>
        </w:tc>
        <w:tc>
          <w:tcPr>
            <w:tcW w:w="1080" w:type="dxa"/>
            <w:noWrap w:val="0"/>
            <w:vAlign w:val="center"/>
          </w:tcPr>
          <w:p>
            <w:pPr>
              <w:spacing w:line="440" w:lineRule="exact"/>
              <w:jc w:val="center"/>
              <w:rPr>
                <w:color w:val="000000"/>
              </w:rPr>
            </w:pPr>
          </w:p>
        </w:tc>
        <w:tc>
          <w:tcPr>
            <w:tcW w:w="3600" w:type="dxa"/>
            <w:gridSpan w:val="4"/>
            <w:noWrap w:val="0"/>
            <w:vAlign w:val="center"/>
          </w:tcPr>
          <w:p>
            <w:pPr>
              <w:spacing w:line="440" w:lineRule="exact"/>
              <w:jc w:val="center"/>
              <w:rPr>
                <w:color w:val="000000"/>
              </w:rPr>
            </w:pPr>
          </w:p>
        </w:tc>
        <w:tc>
          <w:tcPr>
            <w:tcW w:w="498" w:type="dxa"/>
            <w:noWrap w:val="0"/>
            <w:vAlign w:val="center"/>
          </w:tcPr>
          <w:p>
            <w:pPr>
              <w:spacing w:line="440" w:lineRule="exact"/>
              <w:jc w:val="center"/>
              <w:rPr>
                <w:color w:val="000000"/>
              </w:rPr>
            </w:pPr>
          </w:p>
        </w:tc>
        <w:tc>
          <w:tcPr>
            <w:tcW w:w="900" w:type="dxa"/>
            <w:noWrap w:val="0"/>
            <w:vAlign w:val="center"/>
          </w:tcPr>
          <w:p>
            <w:pPr>
              <w:spacing w:line="440" w:lineRule="exact"/>
              <w:jc w:val="center"/>
              <w:rPr>
                <w:color w:val="000000"/>
              </w:rPr>
            </w:pPr>
          </w:p>
        </w:tc>
        <w:tc>
          <w:tcPr>
            <w:tcW w:w="900" w:type="dxa"/>
            <w:noWrap w:val="0"/>
            <w:vAlign w:val="center"/>
          </w:tcPr>
          <w:p>
            <w:pPr>
              <w:spacing w:line="440" w:lineRule="exact"/>
              <w:jc w:val="center"/>
              <w:rPr>
                <w:color w:val="000000"/>
              </w:rPr>
            </w:pPr>
          </w:p>
        </w:tc>
        <w:tc>
          <w:tcPr>
            <w:tcW w:w="1122" w:type="dxa"/>
            <w:noWrap w:val="0"/>
            <w:vAlign w:val="center"/>
          </w:tcPr>
          <w:p>
            <w:pPr>
              <w:spacing w:line="44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6" w:hRule="atLeast"/>
          <w:jc w:val="center"/>
        </w:trPr>
        <w:tc>
          <w:tcPr>
            <w:tcW w:w="497" w:type="dxa"/>
            <w:noWrap w:val="0"/>
            <w:vAlign w:val="center"/>
          </w:tcPr>
          <w:p>
            <w:pPr>
              <w:spacing w:line="440" w:lineRule="exact"/>
              <w:jc w:val="center"/>
              <w:rPr>
                <w:rFonts w:eastAsia="黑体"/>
                <w:color w:val="000000"/>
              </w:rPr>
            </w:pPr>
            <w:r>
              <w:rPr>
                <w:rFonts w:eastAsia="黑体"/>
                <w:color w:val="000000"/>
              </w:rPr>
              <w:t>2</w:t>
            </w:r>
          </w:p>
        </w:tc>
        <w:tc>
          <w:tcPr>
            <w:tcW w:w="1980" w:type="dxa"/>
            <w:noWrap w:val="0"/>
            <w:vAlign w:val="center"/>
          </w:tcPr>
          <w:p>
            <w:pPr>
              <w:spacing w:line="440" w:lineRule="exact"/>
              <w:jc w:val="center"/>
              <w:rPr>
                <w:color w:val="000000"/>
              </w:rPr>
            </w:pPr>
          </w:p>
        </w:tc>
        <w:tc>
          <w:tcPr>
            <w:tcW w:w="900" w:type="dxa"/>
            <w:noWrap w:val="0"/>
            <w:vAlign w:val="center"/>
          </w:tcPr>
          <w:p>
            <w:pPr>
              <w:spacing w:line="440" w:lineRule="exact"/>
              <w:jc w:val="center"/>
              <w:rPr>
                <w:color w:val="000000"/>
              </w:rPr>
            </w:pPr>
          </w:p>
        </w:tc>
        <w:tc>
          <w:tcPr>
            <w:tcW w:w="1080" w:type="dxa"/>
            <w:noWrap w:val="0"/>
            <w:vAlign w:val="center"/>
          </w:tcPr>
          <w:p>
            <w:pPr>
              <w:spacing w:line="440" w:lineRule="exact"/>
              <w:jc w:val="center"/>
              <w:rPr>
                <w:color w:val="000000"/>
              </w:rPr>
            </w:pPr>
          </w:p>
        </w:tc>
        <w:tc>
          <w:tcPr>
            <w:tcW w:w="900" w:type="dxa"/>
            <w:noWrap w:val="0"/>
            <w:vAlign w:val="center"/>
          </w:tcPr>
          <w:p>
            <w:pPr>
              <w:spacing w:line="440" w:lineRule="exact"/>
              <w:jc w:val="center"/>
              <w:rPr>
                <w:color w:val="000000"/>
              </w:rPr>
            </w:pPr>
          </w:p>
        </w:tc>
        <w:tc>
          <w:tcPr>
            <w:tcW w:w="1106" w:type="dxa"/>
            <w:noWrap w:val="0"/>
            <w:vAlign w:val="center"/>
          </w:tcPr>
          <w:p>
            <w:pPr>
              <w:spacing w:line="440" w:lineRule="exact"/>
              <w:jc w:val="center"/>
              <w:rPr>
                <w:color w:val="000000"/>
              </w:rPr>
            </w:pPr>
          </w:p>
        </w:tc>
        <w:tc>
          <w:tcPr>
            <w:tcW w:w="1080" w:type="dxa"/>
            <w:noWrap w:val="0"/>
            <w:vAlign w:val="center"/>
          </w:tcPr>
          <w:p>
            <w:pPr>
              <w:spacing w:line="440" w:lineRule="exact"/>
              <w:jc w:val="center"/>
              <w:rPr>
                <w:color w:val="000000"/>
              </w:rPr>
            </w:pPr>
          </w:p>
        </w:tc>
        <w:tc>
          <w:tcPr>
            <w:tcW w:w="3600" w:type="dxa"/>
            <w:gridSpan w:val="4"/>
            <w:noWrap w:val="0"/>
            <w:vAlign w:val="center"/>
          </w:tcPr>
          <w:p>
            <w:pPr>
              <w:spacing w:line="440" w:lineRule="exact"/>
              <w:jc w:val="center"/>
              <w:rPr>
                <w:color w:val="000000"/>
              </w:rPr>
            </w:pPr>
          </w:p>
        </w:tc>
        <w:tc>
          <w:tcPr>
            <w:tcW w:w="498" w:type="dxa"/>
            <w:noWrap w:val="0"/>
            <w:vAlign w:val="center"/>
          </w:tcPr>
          <w:p>
            <w:pPr>
              <w:spacing w:line="440" w:lineRule="exact"/>
              <w:jc w:val="center"/>
              <w:rPr>
                <w:color w:val="000000"/>
              </w:rPr>
            </w:pPr>
          </w:p>
        </w:tc>
        <w:tc>
          <w:tcPr>
            <w:tcW w:w="900" w:type="dxa"/>
            <w:noWrap w:val="0"/>
            <w:vAlign w:val="center"/>
          </w:tcPr>
          <w:p>
            <w:pPr>
              <w:spacing w:line="440" w:lineRule="exact"/>
              <w:jc w:val="center"/>
              <w:rPr>
                <w:color w:val="000000"/>
              </w:rPr>
            </w:pPr>
          </w:p>
        </w:tc>
        <w:tc>
          <w:tcPr>
            <w:tcW w:w="900" w:type="dxa"/>
            <w:noWrap w:val="0"/>
            <w:vAlign w:val="center"/>
          </w:tcPr>
          <w:p>
            <w:pPr>
              <w:spacing w:line="440" w:lineRule="exact"/>
              <w:jc w:val="center"/>
              <w:rPr>
                <w:color w:val="000000"/>
              </w:rPr>
            </w:pPr>
          </w:p>
        </w:tc>
        <w:tc>
          <w:tcPr>
            <w:tcW w:w="1122" w:type="dxa"/>
            <w:noWrap w:val="0"/>
            <w:vAlign w:val="center"/>
          </w:tcPr>
          <w:p>
            <w:pPr>
              <w:spacing w:line="44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6" w:hRule="atLeast"/>
          <w:jc w:val="center"/>
        </w:trPr>
        <w:tc>
          <w:tcPr>
            <w:tcW w:w="497" w:type="dxa"/>
            <w:tcBorders>
              <w:bottom w:val="single" w:color="auto" w:sz="4" w:space="0"/>
            </w:tcBorders>
            <w:noWrap w:val="0"/>
            <w:vAlign w:val="center"/>
          </w:tcPr>
          <w:p>
            <w:pPr>
              <w:spacing w:line="440" w:lineRule="exact"/>
              <w:jc w:val="center"/>
              <w:rPr>
                <w:rFonts w:eastAsia="黑体"/>
                <w:color w:val="000000"/>
              </w:rPr>
            </w:pPr>
            <w:r>
              <w:rPr>
                <w:rFonts w:eastAsia="黑体"/>
                <w:color w:val="000000"/>
              </w:rPr>
              <w:t>3</w:t>
            </w:r>
          </w:p>
        </w:tc>
        <w:tc>
          <w:tcPr>
            <w:tcW w:w="1980" w:type="dxa"/>
            <w:tcBorders>
              <w:bottom w:val="single" w:color="auto" w:sz="4" w:space="0"/>
            </w:tcBorders>
            <w:noWrap w:val="0"/>
            <w:vAlign w:val="center"/>
          </w:tcPr>
          <w:p>
            <w:pPr>
              <w:spacing w:line="440" w:lineRule="exact"/>
              <w:jc w:val="center"/>
              <w:rPr>
                <w:color w:val="000000"/>
              </w:rPr>
            </w:pPr>
          </w:p>
        </w:tc>
        <w:tc>
          <w:tcPr>
            <w:tcW w:w="900" w:type="dxa"/>
            <w:tcBorders>
              <w:bottom w:val="single" w:color="auto" w:sz="4" w:space="0"/>
            </w:tcBorders>
            <w:noWrap w:val="0"/>
            <w:vAlign w:val="center"/>
          </w:tcPr>
          <w:p>
            <w:pPr>
              <w:spacing w:line="440" w:lineRule="exact"/>
              <w:jc w:val="center"/>
              <w:rPr>
                <w:color w:val="000000"/>
              </w:rPr>
            </w:pPr>
          </w:p>
        </w:tc>
        <w:tc>
          <w:tcPr>
            <w:tcW w:w="1080" w:type="dxa"/>
            <w:tcBorders>
              <w:bottom w:val="single" w:color="auto" w:sz="4" w:space="0"/>
            </w:tcBorders>
            <w:noWrap w:val="0"/>
            <w:vAlign w:val="center"/>
          </w:tcPr>
          <w:p>
            <w:pPr>
              <w:spacing w:line="440" w:lineRule="exact"/>
              <w:jc w:val="center"/>
              <w:rPr>
                <w:color w:val="000000"/>
              </w:rPr>
            </w:pPr>
          </w:p>
        </w:tc>
        <w:tc>
          <w:tcPr>
            <w:tcW w:w="900" w:type="dxa"/>
            <w:tcBorders>
              <w:bottom w:val="single" w:color="auto" w:sz="4" w:space="0"/>
            </w:tcBorders>
            <w:noWrap w:val="0"/>
            <w:vAlign w:val="center"/>
          </w:tcPr>
          <w:p>
            <w:pPr>
              <w:spacing w:line="440" w:lineRule="exact"/>
              <w:jc w:val="center"/>
              <w:rPr>
                <w:color w:val="000000"/>
              </w:rPr>
            </w:pPr>
          </w:p>
        </w:tc>
        <w:tc>
          <w:tcPr>
            <w:tcW w:w="1106" w:type="dxa"/>
            <w:tcBorders>
              <w:bottom w:val="single" w:color="auto" w:sz="4" w:space="0"/>
            </w:tcBorders>
            <w:noWrap w:val="0"/>
            <w:vAlign w:val="center"/>
          </w:tcPr>
          <w:p>
            <w:pPr>
              <w:spacing w:line="440" w:lineRule="exact"/>
              <w:jc w:val="center"/>
              <w:rPr>
                <w:color w:val="000000"/>
              </w:rPr>
            </w:pPr>
          </w:p>
        </w:tc>
        <w:tc>
          <w:tcPr>
            <w:tcW w:w="1080" w:type="dxa"/>
            <w:tcBorders>
              <w:bottom w:val="single" w:color="auto" w:sz="4" w:space="0"/>
            </w:tcBorders>
            <w:noWrap w:val="0"/>
            <w:vAlign w:val="center"/>
          </w:tcPr>
          <w:p>
            <w:pPr>
              <w:spacing w:line="440" w:lineRule="exact"/>
              <w:jc w:val="center"/>
              <w:rPr>
                <w:color w:val="000000"/>
              </w:rPr>
            </w:pPr>
          </w:p>
        </w:tc>
        <w:tc>
          <w:tcPr>
            <w:tcW w:w="3600" w:type="dxa"/>
            <w:gridSpan w:val="4"/>
            <w:tcBorders>
              <w:bottom w:val="single" w:color="auto" w:sz="4" w:space="0"/>
            </w:tcBorders>
            <w:noWrap w:val="0"/>
            <w:vAlign w:val="center"/>
          </w:tcPr>
          <w:p>
            <w:pPr>
              <w:spacing w:line="440" w:lineRule="exact"/>
              <w:jc w:val="center"/>
              <w:rPr>
                <w:color w:val="000000"/>
              </w:rPr>
            </w:pPr>
          </w:p>
        </w:tc>
        <w:tc>
          <w:tcPr>
            <w:tcW w:w="498" w:type="dxa"/>
            <w:tcBorders>
              <w:bottom w:val="single" w:color="auto" w:sz="4" w:space="0"/>
            </w:tcBorders>
            <w:noWrap w:val="0"/>
            <w:vAlign w:val="center"/>
          </w:tcPr>
          <w:p>
            <w:pPr>
              <w:spacing w:line="440" w:lineRule="exact"/>
              <w:jc w:val="center"/>
              <w:rPr>
                <w:color w:val="000000"/>
              </w:rPr>
            </w:pPr>
          </w:p>
        </w:tc>
        <w:tc>
          <w:tcPr>
            <w:tcW w:w="900" w:type="dxa"/>
            <w:tcBorders>
              <w:bottom w:val="single" w:color="auto" w:sz="4" w:space="0"/>
            </w:tcBorders>
            <w:noWrap w:val="0"/>
            <w:vAlign w:val="center"/>
          </w:tcPr>
          <w:p>
            <w:pPr>
              <w:spacing w:line="440" w:lineRule="exact"/>
              <w:jc w:val="center"/>
              <w:rPr>
                <w:color w:val="000000"/>
              </w:rPr>
            </w:pPr>
          </w:p>
        </w:tc>
        <w:tc>
          <w:tcPr>
            <w:tcW w:w="900" w:type="dxa"/>
            <w:tcBorders>
              <w:bottom w:val="single" w:color="auto" w:sz="4" w:space="0"/>
            </w:tcBorders>
            <w:noWrap w:val="0"/>
            <w:vAlign w:val="center"/>
          </w:tcPr>
          <w:p>
            <w:pPr>
              <w:spacing w:line="440" w:lineRule="exact"/>
              <w:jc w:val="center"/>
              <w:rPr>
                <w:color w:val="000000"/>
              </w:rPr>
            </w:pPr>
          </w:p>
        </w:tc>
        <w:tc>
          <w:tcPr>
            <w:tcW w:w="1122" w:type="dxa"/>
            <w:tcBorders>
              <w:bottom w:val="single" w:color="auto" w:sz="4" w:space="0"/>
            </w:tcBorders>
            <w:noWrap w:val="0"/>
            <w:vAlign w:val="center"/>
          </w:tcPr>
          <w:p>
            <w:pPr>
              <w:spacing w:line="44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6" w:hRule="atLeast"/>
          <w:jc w:val="center"/>
        </w:trPr>
        <w:tc>
          <w:tcPr>
            <w:tcW w:w="497" w:type="dxa"/>
            <w:tcBorders>
              <w:bottom w:val="single" w:color="auto" w:sz="4" w:space="0"/>
            </w:tcBorders>
            <w:noWrap w:val="0"/>
            <w:vAlign w:val="center"/>
          </w:tcPr>
          <w:p>
            <w:pPr>
              <w:spacing w:line="440" w:lineRule="exact"/>
              <w:jc w:val="center"/>
              <w:rPr>
                <w:rFonts w:eastAsia="黑体"/>
                <w:color w:val="000000"/>
              </w:rPr>
            </w:pPr>
            <w:r>
              <w:rPr>
                <w:rFonts w:eastAsia="黑体"/>
                <w:color w:val="000000"/>
              </w:rPr>
              <w:t>4</w:t>
            </w:r>
          </w:p>
        </w:tc>
        <w:tc>
          <w:tcPr>
            <w:tcW w:w="1980" w:type="dxa"/>
            <w:tcBorders>
              <w:bottom w:val="single" w:color="auto" w:sz="4" w:space="0"/>
            </w:tcBorders>
            <w:noWrap w:val="0"/>
            <w:vAlign w:val="center"/>
          </w:tcPr>
          <w:p>
            <w:pPr>
              <w:spacing w:line="440" w:lineRule="exact"/>
              <w:jc w:val="center"/>
              <w:rPr>
                <w:color w:val="000000"/>
              </w:rPr>
            </w:pPr>
          </w:p>
        </w:tc>
        <w:tc>
          <w:tcPr>
            <w:tcW w:w="900" w:type="dxa"/>
            <w:tcBorders>
              <w:bottom w:val="single" w:color="auto" w:sz="4" w:space="0"/>
            </w:tcBorders>
            <w:noWrap w:val="0"/>
            <w:vAlign w:val="center"/>
          </w:tcPr>
          <w:p>
            <w:pPr>
              <w:spacing w:line="440" w:lineRule="exact"/>
              <w:jc w:val="center"/>
              <w:rPr>
                <w:color w:val="000000"/>
              </w:rPr>
            </w:pPr>
          </w:p>
        </w:tc>
        <w:tc>
          <w:tcPr>
            <w:tcW w:w="1080" w:type="dxa"/>
            <w:tcBorders>
              <w:bottom w:val="single" w:color="auto" w:sz="4" w:space="0"/>
            </w:tcBorders>
            <w:noWrap w:val="0"/>
            <w:vAlign w:val="center"/>
          </w:tcPr>
          <w:p>
            <w:pPr>
              <w:spacing w:line="440" w:lineRule="exact"/>
              <w:jc w:val="center"/>
              <w:rPr>
                <w:color w:val="000000"/>
              </w:rPr>
            </w:pPr>
          </w:p>
        </w:tc>
        <w:tc>
          <w:tcPr>
            <w:tcW w:w="900" w:type="dxa"/>
            <w:tcBorders>
              <w:bottom w:val="single" w:color="auto" w:sz="4" w:space="0"/>
            </w:tcBorders>
            <w:noWrap w:val="0"/>
            <w:vAlign w:val="center"/>
          </w:tcPr>
          <w:p>
            <w:pPr>
              <w:spacing w:line="440" w:lineRule="exact"/>
              <w:jc w:val="center"/>
              <w:rPr>
                <w:color w:val="000000"/>
              </w:rPr>
            </w:pPr>
          </w:p>
        </w:tc>
        <w:tc>
          <w:tcPr>
            <w:tcW w:w="1106" w:type="dxa"/>
            <w:tcBorders>
              <w:bottom w:val="single" w:color="auto" w:sz="4" w:space="0"/>
            </w:tcBorders>
            <w:noWrap w:val="0"/>
            <w:vAlign w:val="center"/>
          </w:tcPr>
          <w:p>
            <w:pPr>
              <w:spacing w:line="440" w:lineRule="exact"/>
              <w:jc w:val="center"/>
              <w:rPr>
                <w:color w:val="000000"/>
              </w:rPr>
            </w:pPr>
          </w:p>
        </w:tc>
        <w:tc>
          <w:tcPr>
            <w:tcW w:w="1080" w:type="dxa"/>
            <w:tcBorders>
              <w:bottom w:val="single" w:color="auto" w:sz="4" w:space="0"/>
            </w:tcBorders>
            <w:noWrap w:val="0"/>
            <w:vAlign w:val="center"/>
          </w:tcPr>
          <w:p>
            <w:pPr>
              <w:spacing w:line="440" w:lineRule="exact"/>
              <w:jc w:val="center"/>
              <w:rPr>
                <w:color w:val="000000"/>
              </w:rPr>
            </w:pPr>
          </w:p>
        </w:tc>
        <w:tc>
          <w:tcPr>
            <w:tcW w:w="3600" w:type="dxa"/>
            <w:gridSpan w:val="4"/>
            <w:tcBorders>
              <w:bottom w:val="single" w:color="auto" w:sz="4" w:space="0"/>
            </w:tcBorders>
            <w:noWrap w:val="0"/>
            <w:vAlign w:val="center"/>
          </w:tcPr>
          <w:p>
            <w:pPr>
              <w:spacing w:line="440" w:lineRule="exact"/>
              <w:jc w:val="center"/>
              <w:rPr>
                <w:color w:val="000000"/>
              </w:rPr>
            </w:pPr>
          </w:p>
        </w:tc>
        <w:tc>
          <w:tcPr>
            <w:tcW w:w="498" w:type="dxa"/>
            <w:tcBorders>
              <w:bottom w:val="single" w:color="auto" w:sz="4" w:space="0"/>
            </w:tcBorders>
            <w:noWrap w:val="0"/>
            <w:vAlign w:val="center"/>
          </w:tcPr>
          <w:p>
            <w:pPr>
              <w:spacing w:line="440" w:lineRule="exact"/>
              <w:jc w:val="center"/>
              <w:rPr>
                <w:color w:val="000000"/>
              </w:rPr>
            </w:pPr>
          </w:p>
        </w:tc>
        <w:tc>
          <w:tcPr>
            <w:tcW w:w="900" w:type="dxa"/>
            <w:tcBorders>
              <w:bottom w:val="single" w:color="auto" w:sz="4" w:space="0"/>
            </w:tcBorders>
            <w:noWrap w:val="0"/>
            <w:vAlign w:val="center"/>
          </w:tcPr>
          <w:p>
            <w:pPr>
              <w:spacing w:line="440" w:lineRule="exact"/>
              <w:jc w:val="center"/>
              <w:rPr>
                <w:color w:val="000000"/>
              </w:rPr>
            </w:pPr>
          </w:p>
        </w:tc>
        <w:tc>
          <w:tcPr>
            <w:tcW w:w="900" w:type="dxa"/>
            <w:tcBorders>
              <w:bottom w:val="single" w:color="auto" w:sz="4" w:space="0"/>
            </w:tcBorders>
            <w:noWrap w:val="0"/>
            <w:vAlign w:val="center"/>
          </w:tcPr>
          <w:p>
            <w:pPr>
              <w:spacing w:line="440" w:lineRule="exact"/>
              <w:jc w:val="center"/>
              <w:rPr>
                <w:color w:val="000000"/>
              </w:rPr>
            </w:pPr>
          </w:p>
        </w:tc>
        <w:tc>
          <w:tcPr>
            <w:tcW w:w="1122" w:type="dxa"/>
            <w:tcBorders>
              <w:bottom w:val="single" w:color="auto" w:sz="4" w:space="0"/>
            </w:tcBorders>
            <w:noWrap w:val="0"/>
            <w:vAlign w:val="center"/>
          </w:tcPr>
          <w:p>
            <w:pPr>
              <w:spacing w:line="440" w:lineRule="exact"/>
              <w:jc w:val="center"/>
              <w:rPr>
                <w:color w:val="000000"/>
              </w:rPr>
            </w:pPr>
          </w:p>
        </w:tc>
      </w:tr>
    </w:tbl>
    <w:p>
      <w:pPr>
        <w:spacing w:line="620" w:lineRule="exact"/>
        <w:rPr>
          <w:rFonts w:ascii="宋体" w:hAnsi="宋体"/>
          <w:color w:val="000000"/>
          <w:szCs w:val="44"/>
        </w:rPr>
      </w:pPr>
      <w:r>
        <w:rPr>
          <w:color w:val="000000"/>
          <w:szCs w:val="21"/>
        </w:rPr>
        <w:t>招标人</w:t>
      </w:r>
      <w:r>
        <w:rPr>
          <w:rFonts w:hint="eastAsia"/>
          <w:color w:val="000000"/>
          <w:szCs w:val="21"/>
        </w:rPr>
        <w:t>授权</w:t>
      </w:r>
      <w:r>
        <w:rPr>
          <w:color w:val="000000"/>
          <w:szCs w:val="21"/>
        </w:rPr>
        <w:t>代表</w:t>
      </w:r>
      <w:r>
        <w:rPr>
          <w:rFonts w:hint="eastAsia"/>
          <w:color w:val="000000"/>
          <w:szCs w:val="21"/>
        </w:rPr>
        <w:t>（</w:t>
      </w:r>
      <w:r>
        <w:rPr>
          <w:rFonts w:hint="eastAsia" w:ascii="宋体" w:hAnsi="宋体"/>
          <w:color w:val="000000"/>
          <w:szCs w:val="44"/>
        </w:rPr>
        <w:t>签字）</w:t>
      </w:r>
      <w:r>
        <w:rPr>
          <w:color w:val="000000"/>
          <w:szCs w:val="21"/>
        </w:rPr>
        <w:t>：</w:t>
      </w:r>
      <w:r>
        <w:rPr>
          <w:color w:val="000000"/>
          <w:szCs w:val="21"/>
          <w:u w:val="single"/>
        </w:rPr>
        <w:t xml:space="preserve">       </w:t>
      </w:r>
      <w:r>
        <w:rPr>
          <w:rFonts w:hint="eastAsia"/>
          <w:color w:val="000000"/>
          <w:szCs w:val="21"/>
          <w:u w:val="single"/>
        </w:rPr>
        <w:t xml:space="preserve">      </w:t>
      </w:r>
      <w:r>
        <w:rPr>
          <w:color w:val="000000"/>
          <w:szCs w:val="21"/>
        </w:rPr>
        <w:t>记录人</w:t>
      </w:r>
      <w:r>
        <w:rPr>
          <w:rFonts w:hint="eastAsia" w:ascii="宋体" w:hAnsi="宋体"/>
          <w:color w:val="000000"/>
          <w:szCs w:val="44"/>
        </w:rPr>
        <w:t>（签字）</w:t>
      </w:r>
      <w:r>
        <w:rPr>
          <w:color w:val="000000"/>
          <w:szCs w:val="21"/>
        </w:rPr>
        <w:t>：</w:t>
      </w:r>
      <w:r>
        <w:rPr>
          <w:color w:val="000000"/>
          <w:szCs w:val="21"/>
          <w:u w:val="single"/>
        </w:rPr>
        <w:t xml:space="preserve">          </w:t>
      </w:r>
      <w:r>
        <w:rPr>
          <w:rFonts w:hint="eastAsia"/>
          <w:color w:val="000000"/>
          <w:szCs w:val="21"/>
          <w:u w:val="single"/>
        </w:rPr>
        <w:t xml:space="preserve">     </w:t>
      </w:r>
      <w:r>
        <w:rPr>
          <w:color w:val="000000"/>
          <w:szCs w:val="21"/>
        </w:rPr>
        <w:t xml:space="preserve"> 监</w:t>
      </w:r>
      <w:r>
        <w:rPr>
          <w:rFonts w:hint="eastAsia"/>
          <w:color w:val="000000"/>
          <w:szCs w:val="21"/>
        </w:rPr>
        <w:t>督</w:t>
      </w:r>
      <w:r>
        <w:rPr>
          <w:color w:val="000000"/>
          <w:szCs w:val="21"/>
        </w:rPr>
        <w:t>人</w:t>
      </w:r>
      <w:r>
        <w:rPr>
          <w:rFonts w:hint="eastAsia"/>
          <w:color w:val="000000"/>
          <w:szCs w:val="21"/>
        </w:rPr>
        <w:t>员</w:t>
      </w:r>
      <w:r>
        <w:rPr>
          <w:rFonts w:hint="eastAsia" w:ascii="宋体" w:hAnsi="宋体"/>
          <w:color w:val="000000"/>
          <w:szCs w:val="44"/>
        </w:rPr>
        <w:t>（签字）</w:t>
      </w:r>
      <w:r>
        <w:rPr>
          <w:color w:val="000000"/>
          <w:szCs w:val="21"/>
        </w:rPr>
        <w:t>：</w:t>
      </w:r>
      <w:r>
        <w:rPr>
          <w:color w:val="000000"/>
          <w:szCs w:val="21"/>
          <w:u w:val="single"/>
        </w:rPr>
        <w:t xml:space="preserve">          </w:t>
      </w:r>
      <w:r>
        <w:rPr>
          <w:rFonts w:hint="eastAsia" w:ascii="宋体" w:hAnsi="宋体"/>
          <w:color w:val="000000"/>
          <w:szCs w:val="44"/>
        </w:rPr>
        <w:t xml:space="preserve">   见证人员（签字）：</w:t>
      </w:r>
      <w:r>
        <w:rPr>
          <w:color w:val="000000"/>
          <w:szCs w:val="21"/>
          <w:u w:val="single"/>
        </w:rPr>
        <w:t xml:space="preserve">          </w:t>
      </w:r>
      <w:r>
        <w:rPr>
          <w:rFonts w:hint="eastAsia" w:ascii="宋体" w:hAnsi="宋体"/>
          <w:color w:val="000000"/>
          <w:szCs w:val="44"/>
        </w:rPr>
        <w:t xml:space="preserve"> </w:t>
      </w:r>
    </w:p>
    <w:p>
      <w:pPr>
        <w:spacing w:line="620" w:lineRule="exact"/>
        <w:rPr>
          <w:color w:val="000000"/>
          <w:szCs w:val="21"/>
        </w:rPr>
      </w:pPr>
    </w:p>
    <w:p>
      <w:pPr>
        <w:spacing w:line="620" w:lineRule="exact"/>
        <w:rPr>
          <w:rFonts w:hint="eastAsia"/>
          <w:color w:val="000000"/>
          <w:szCs w:val="21"/>
        </w:rPr>
      </w:pPr>
    </w:p>
    <w:p>
      <w:pPr>
        <w:pStyle w:val="4"/>
        <w:spacing w:line="240" w:lineRule="auto"/>
        <w:rPr>
          <w:sz w:val="28"/>
          <w:szCs w:val="28"/>
        </w:rPr>
      </w:pPr>
      <w:bookmarkStart w:id="717" w:name="_Toc59203028"/>
      <w:r>
        <w:rPr>
          <w:rFonts w:hint="eastAsia"/>
          <w:sz w:val="28"/>
          <w:szCs w:val="28"/>
        </w:rPr>
        <w:t>附表</w:t>
      </w:r>
      <w:r>
        <w:rPr>
          <w:sz w:val="28"/>
          <w:szCs w:val="28"/>
        </w:rPr>
        <w:t>A</w:t>
      </w:r>
      <w:r>
        <w:rPr>
          <w:rFonts w:hint="eastAsia"/>
          <w:sz w:val="28"/>
          <w:szCs w:val="28"/>
        </w:rPr>
        <w:t>－</w:t>
      </w:r>
      <w:r>
        <w:rPr>
          <w:sz w:val="28"/>
          <w:szCs w:val="28"/>
        </w:rPr>
        <w:t>3-</w:t>
      </w:r>
      <w:r>
        <w:rPr>
          <w:rFonts w:hint="eastAsia"/>
          <w:sz w:val="28"/>
          <w:szCs w:val="28"/>
        </w:rPr>
        <w:t>1：开标会异常记录表（如有）</w:t>
      </w:r>
      <w:bookmarkEnd w:id="717"/>
    </w:p>
    <w:p>
      <w:pPr>
        <w:rPr>
          <w:rFonts w:ascii="宋体"/>
          <w:color w:val="000000"/>
        </w:rPr>
      </w:pPr>
    </w:p>
    <w:p>
      <w:pPr>
        <w:adjustRightInd w:val="0"/>
        <w:snapToGrid w:val="0"/>
        <w:spacing w:line="420" w:lineRule="exact"/>
        <w:jc w:val="center"/>
        <w:rPr>
          <w:rFonts w:eastAsia="黑体"/>
          <w:color w:val="000000"/>
          <w:sz w:val="28"/>
          <w:szCs w:val="28"/>
        </w:rPr>
      </w:pPr>
      <w:r>
        <w:rPr>
          <w:rFonts w:hint="eastAsia" w:eastAsia="黑体" w:cs="黑体"/>
          <w:color w:val="000000"/>
          <w:sz w:val="28"/>
          <w:szCs w:val="28"/>
        </w:rPr>
        <w:t>开标会异常记录表（如有）</w:t>
      </w:r>
    </w:p>
    <w:p>
      <w:pPr>
        <w:rPr>
          <w:rFonts w:ascii="宋体"/>
          <w:color w:val="000000"/>
        </w:rPr>
      </w:pPr>
    </w:p>
    <w:p>
      <w:pPr>
        <w:rPr>
          <w:color w:val="000000"/>
        </w:rPr>
      </w:pPr>
      <w:r>
        <w:rPr>
          <w:rFonts w:hint="eastAsia" w:cs="宋体"/>
          <w:color w:val="000000"/>
        </w:rPr>
        <w:t>工程名称：</w:t>
      </w:r>
      <w:r>
        <w:rPr>
          <w:color w:val="000000"/>
          <w:u w:val="single"/>
        </w:rPr>
        <w:t xml:space="preserve">             </w:t>
      </w:r>
      <w:r>
        <w:rPr>
          <w:rFonts w:hint="eastAsia" w:cs="宋体"/>
          <w:color w:val="000000"/>
        </w:rPr>
        <w:t>（项目名称）</w:t>
      </w:r>
      <w:r>
        <w:rPr>
          <w:color w:val="000000"/>
        </w:rPr>
        <w:t xml:space="preserve">       </w:t>
      </w:r>
      <w:r>
        <w:rPr>
          <w:rFonts w:hint="eastAsia" w:cs="宋体"/>
          <w:color w:val="000000"/>
        </w:rPr>
        <w:t>项目招标编号：</w:t>
      </w:r>
      <w:r>
        <w:rPr>
          <w:color w:val="000000"/>
          <w:u w:val="single"/>
        </w:rPr>
        <w:t xml:space="preserve">               </w:t>
      </w:r>
      <w:r>
        <w:rPr>
          <w:color w:val="000000"/>
        </w:rPr>
        <w:t xml:space="preserve">         </w:t>
      </w:r>
    </w:p>
    <w:p>
      <w:pPr>
        <w:rPr>
          <w:color w:val="000000"/>
        </w:rPr>
      </w:pPr>
      <w:r>
        <w:rPr>
          <w:rFonts w:hint="eastAsia" w:cs="宋体"/>
          <w:color w:val="000000"/>
        </w:rPr>
        <w:t>开标时间：</w:t>
      </w:r>
      <w:r>
        <w:rPr>
          <w:color w:val="000000"/>
          <w:u w:val="single"/>
        </w:rPr>
        <w:t xml:space="preserve">          </w:t>
      </w:r>
      <w:r>
        <w:rPr>
          <w:rFonts w:hint="eastAsia" w:cs="宋体"/>
          <w:color w:val="000000"/>
        </w:rPr>
        <w:t>年</w:t>
      </w:r>
      <w:r>
        <w:rPr>
          <w:color w:val="000000"/>
          <w:u w:val="single"/>
        </w:rPr>
        <w:t xml:space="preserve">      </w:t>
      </w:r>
      <w:r>
        <w:rPr>
          <w:rFonts w:hint="eastAsia" w:cs="宋体"/>
          <w:color w:val="000000"/>
        </w:rPr>
        <w:t>月</w:t>
      </w:r>
      <w:r>
        <w:rPr>
          <w:color w:val="000000"/>
          <w:u w:val="single"/>
        </w:rPr>
        <w:t xml:space="preserve">      </w:t>
      </w:r>
      <w:r>
        <w:rPr>
          <w:rFonts w:hint="eastAsia" w:cs="宋体"/>
          <w:color w:val="000000"/>
        </w:rPr>
        <w:t>日</w:t>
      </w:r>
    </w:p>
    <w:p>
      <w:pPr>
        <w:adjustRightInd w:val="0"/>
        <w:snapToGrid w:val="0"/>
        <w:rPr>
          <w:color w:val="000000"/>
        </w:rPr>
      </w:pPr>
      <w:r>
        <w:rPr>
          <w:rFonts w:hint="eastAsia" w:cs="宋体"/>
          <w:color w:val="000000"/>
        </w:rPr>
        <w:t>建设单位：</w:t>
      </w:r>
      <w:r>
        <w:rPr>
          <w:color w:val="000000"/>
          <w:u w:val="single"/>
        </w:rPr>
        <w:t xml:space="preserve">                                                         </w:t>
      </w:r>
      <w:r>
        <w:rPr>
          <w:color w:val="000000"/>
        </w:rPr>
        <w:t xml:space="preserve">         </w:t>
      </w:r>
    </w:p>
    <w:p>
      <w:pPr>
        <w:adjustRightInd w:val="0"/>
        <w:snapToGrid w:val="0"/>
        <w:rPr>
          <w:color w:val="000000"/>
          <w:u w:val="single"/>
        </w:rPr>
      </w:pPr>
      <w:r>
        <w:rPr>
          <w:rFonts w:hint="eastAsia" w:cs="宋体"/>
          <w:color w:val="000000"/>
        </w:rPr>
        <w:t>招标代理机构：</w:t>
      </w:r>
      <w:r>
        <w:rPr>
          <w:color w:val="000000"/>
          <w:u w:val="single"/>
        </w:rPr>
        <w:t xml:space="preserve">                         </w:t>
      </w:r>
    </w:p>
    <w:p>
      <w:pPr>
        <w:adjustRightInd w:val="0"/>
        <w:snapToGrid w:val="0"/>
        <w:rPr>
          <w:color w:val="000000"/>
          <w:u w:val="single"/>
        </w:rPr>
      </w:pPr>
    </w:p>
    <w:p>
      <w:pPr>
        <w:adjustRightInd w:val="0"/>
        <w:snapToGrid w:val="0"/>
        <w:rPr>
          <w:color w:val="000000"/>
          <w:u w:val="single"/>
        </w:rPr>
      </w:pPr>
    </w:p>
    <w:p>
      <w:pPr>
        <w:adjustRightInd w:val="0"/>
        <w:snapToGrid w:val="0"/>
        <w:rPr>
          <w:color w:val="000000"/>
          <w:u w:val="single"/>
        </w:rPr>
      </w:pPr>
    </w:p>
    <w:p>
      <w:pPr>
        <w:rPr>
          <w:rFonts w:ascii="宋体"/>
          <w:color w:val="000000"/>
        </w:rPr>
      </w:pPr>
      <w:r>
        <w:rPr>
          <w:rFonts w:hint="eastAsia" w:ascii="宋体" w:hAnsi="宋体" w:cs="宋体"/>
          <w:color w:val="000000"/>
        </w:rPr>
        <w:t>开标会异常情况记录：</w:t>
      </w:r>
      <w:r>
        <w:rPr>
          <w:rFonts w:ascii="宋体" w:hAnsi="宋体" w:cs="宋体"/>
          <w:color w:val="000000"/>
        </w:rPr>
        <w:t xml:space="preserve">  </w:t>
      </w:r>
      <w:r>
        <w:rPr>
          <w:rFonts w:hint="eastAsia" w:ascii="宋体" w:hAnsi="宋体" w:cs="宋体"/>
          <w:color w:val="000000"/>
        </w:rPr>
        <w:t>投标人</w:t>
      </w:r>
      <w:r>
        <w:rPr>
          <w:rFonts w:ascii="宋体" w:hAnsi="宋体" w:cs="宋体"/>
          <w:color w:val="000000"/>
        </w:rPr>
        <w:t>****</w:t>
      </w:r>
      <w:r>
        <w:rPr>
          <w:rFonts w:hint="eastAsia" w:ascii="宋体" w:hAnsi="宋体" w:cs="宋体"/>
          <w:color w:val="000000"/>
        </w:rPr>
        <w:t>异议</w:t>
      </w:r>
      <w:r>
        <w:rPr>
          <w:rFonts w:ascii="宋体" w:hAnsi="宋体" w:cs="宋体"/>
          <w:color w:val="000000"/>
        </w:rPr>
        <w:t xml:space="preserve">*************                                                                </w:t>
      </w:r>
    </w:p>
    <w:p>
      <w:pPr>
        <w:rPr>
          <w:rFonts w:ascii="宋体"/>
          <w:color w:val="000000"/>
        </w:rPr>
      </w:pPr>
    </w:p>
    <w:p>
      <w:pPr>
        <w:rPr>
          <w:rFonts w:ascii="宋体"/>
          <w:color w:val="000000"/>
        </w:rPr>
      </w:pPr>
    </w:p>
    <w:p>
      <w:pPr>
        <w:rPr>
          <w:rFonts w:ascii="宋体"/>
          <w:color w:val="000000"/>
        </w:rPr>
      </w:pPr>
    </w:p>
    <w:p>
      <w:pPr>
        <w:rPr>
          <w:rFonts w:ascii="宋体"/>
          <w:color w:val="000000"/>
        </w:rPr>
      </w:pPr>
      <w:r>
        <w:rPr>
          <w:rFonts w:hint="eastAsia" w:ascii="宋体" w:hAnsi="宋体" w:cs="宋体"/>
          <w:color w:val="000000"/>
        </w:rPr>
        <w:t>开标现场异议人：</w:t>
      </w:r>
      <w:r>
        <w:rPr>
          <w:rFonts w:ascii="宋体" w:hAnsi="宋体" w:cs="宋体"/>
          <w:color w:val="000000"/>
        </w:rPr>
        <w:t xml:space="preserve">             ***</w:t>
      </w:r>
      <w:r>
        <w:rPr>
          <w:rFonts w:hint="eastAsia" w:ascii="宋体" w:hAnsi="宋体" w:cs="宋体"/>
          <w:color w:val="000000"/>
        </w:rPr>
        <w:t>公司</w:t>
      </w:r>
      <w:r>
        <w:rPr>
          <w:rFonts w:ascii="宋体" w:hAnsi="宋体" w:cs="宋体"/>
          <w:color w:val="000000"/>
        </w:rPr>
        <w:t xml:space="preserve">         </w:t>
      </w:r>
      <w:r>
        <w:rPr>
          <w:rFonts w:hint="eastAsia" w:ascii="宋体" w:hAnsi="宋体" w:cs="宋体"/>
          <w:color w:val="000000"/>
        </w:rPr>
        <w:t>授权代表签字：</w:t>
      </w:r>
      <w:r>
        <w:rPr>
          <w:rFonts w:ascii="宋体" w:hAnsi="宋体" w:cs="宋体"/>
          <w:color w:val="000000"/>
        </w:rPr>
        <w:t xml:space="preserve">           </w:t>
      </w:r>
      <w:r>
        <w:rPr>
          <w:rFonts w:hint="eastAsia" w:ascii="宋体" w:hAnsi="宋体" w:cs="宋体"/>
          <w:color w:val="000000"/>
        </w:rPr>
        <w:t>日期</w:t>
      </w:r>
    </w:p>
    <w:p>
      <w:pPr>
        <w:rPr>
          <w:rFonts w:ascii="宋体"/>
          <w:color w:val="000000"/>
        </w:rPr>
      </w:pPr>
    </w:p>
    <w:p>
      <w:pPr>
        <w:rPr>
          <w:rFonts w:ascii="宋体"/>
          <w:color w:val="000000"/>
        </w:rPr>
      </w:pPr>
    </w:p>
    <w:p>
      <w:pPr>
        <w:rPr>
          <w:rFonts w:ascii="宋体"/>
          <w:color w:val="000000"/>
        </w:rPr>
      </w:pPr>
      <w:r>
        <w:rPr>
          <w:rFonts w:hint="eastAsia" w:ascii="宋体" w:hAnsi="宋体" w:cs="宋体"/>
          <w:color w:val="000000"/>
        </w:rPr>
        <w:t>招标人代表：</w:t>
      </w:r>
    </w:p>
    <w:p>
      <w:pPr>
        <w:rPr>
          <w:rFonts w:ascii="宋体"/>
          <w:color w:val="000000"/>
        </w:rPr>
      </w:pPr>
      <w:r>
        <w:rPr>
          <w:rFonts w:hint="eastAsia" w:ascii="宋体" w:hAnsi="宋体" w:cs="宋体"/>
          <w:color w:val="000000"/>
        </w:rPr>
        <w:t>（情况属实</w:t>
      </w:r>
      <w:r>
        <w:rPr>
          <w:rFonts w:ascii="宋体" w:cs="宋体"/>
          <w:color w:val="000000"/>
        </w:rPr>
        <w:t>.....</w:t>
      </w:r>
      <w:r>
        <w:rPr>
          <w:rFonts w:hint="eastAsia" w:ascii="宋体" w:hAnsi="宋体" w:cs="宋体"/>
          <w:color w:val="000000"/>
        </w:rPr>
        <w:t>）、（招标人简单答复：</w:t>
      </w:r>
      <w:r>
        <w:rPr>
          <w:rFonts w:ascii="宋体" w:cs="宋体"/>
          <w:color w:val="000000"/>
        </w:rPr>
        <w:t>........</w:t>
      </w:r>
      <w:r>
        <w:rPr>
          <w:rFonts w:hint="eastAsia" w:ascii="宋体" w:hAnsi="宋体" w:cs="宋体"/>
          <w:color w:val="000000"/>
        </w:rPr>
        <w:t>）等</w:t>
      </w:r>
      <w:r>
        <w:rPr>
          <w:rFonts w:ascii="宋体" w:hAnsi="宋体" w:cs="宋体"/>
          <w:color w:val="000000"/>
        </w:rPr>
        <w:t xml:space="preserve">                     </w:t>
      </w:r>
    </w:p>
    <w:p>
      <w:pPr>
        <w:rPr>
          <w:rFonts w:ascii="宋体"/>
          <w:color w:val="000000"/>
        </w:rPr>
      </w:pPr>
      <w:r>
        <w:rPr>
          <w:rFonts w:ascii="宋体" w:hAnsi="宋体" w:cs="宋体"/>
          <w:color w:val="000000"/>
        </w:rPr>
        <w:t xml:space="preserve">                         </w:t>
      </w:r>
      <w:r>
        <w:rPr>
          <w:rFonts w:hint="eastAsia" w:ascii="宋体" w:hAnsi="宋体" w:cs="宋体"/>
          <w:color w:val="000000"/>
        </w:rPr>
        <w:t>签字：</w:t>
      </w:r>
      <w:r>
        <w:rPr>
          <w:rFonts w:ascii="宋体" w:hAnsi="宋体" w:cs="宋体"/>
          <w:color w:val="000000"/>
        </w:rPr>
        <w:t xml:space="preserve">           </w:t>
      </w:r>
      <w:r>
        <w:rPr>
          <w:rFonts w:hint="eastAsia" w:ascii="宋体" w:hAnsi="宋体" w:cs="宋体"/>
          <w:color w:val="000000"/>
        </w:rPr>
        <w:t>日期：</w:t>
      </w:r>
      <w:r>
        <w:rPr>
          <w:rFonts w:ascii="宋体" w:hAnsi="宋体" w:cs="宋体"/>
          <w:color w:val="000000"/>
        </w:rPr>
        <w:t xml:space="preserve">                        </w:t>
      </w:r>
    </w:p>
    <w:p>
      <w:pPr>
        <w:rPr>
          <w:rFonts w:ascii="宋体"/>
          <w:color w:val="000000"/>
        </w:rPr>
      </w:pPr>
      <w:r>
        <w:rPr>
          <w:rFonts w:hint="eastAsia" w:ascii="宋体" w:hAnsi="宋体" w:cs="宋体"/>
          <w:color w:val="000000"/>
        </w:rPr>
        <w:t>招标代理机构项目负责人：</w:t>
      </w:r>
      <w:r>
        <w:rPr>
          <w:rFonts w:ascii="宋体" w:hAnsi="宋体" w:cs="宋体"/>
          <w:color w:val="000000"/>
        </w:rPr>
        <w:t xml:space="preserve"> </w:t>
      </w:r>
      <w:r>
        <w:rPr>
          <w:rFonts w:hint="eastAsia" w:ascii="宋体" w:hAnsi="宋体" w:cs="宋体"/>
          <w:color w:val="000000"/>
        </w:rPr>
        <w:t>（情况属实</w:t>
      </w:r>
      <w:r>
        <w:rPr>
          <w:rFonts w:ascii="宋体" w:cs="宋体"/>
          <w:color w:val="000000"/>
        </w:rPr>
        <w:t>.....</w:t>
      </w:r>
      <w:r>
        <w:rPr>
          <w:rFonts w:hint="eastAsia" w:ascii="宋体" w:hAnsi="宋体" w:cs="宋体"/>
          <w:color w:val="000000"/>
        </w:rPr>
        <w:t>）、（招标代理机构简单答复：</w:t>
      </w:r>
      <w:r>
        <w:rPr>
          <w:rFonts w:ascii="宋体" w:cs="宋体"/>
          <w:color w:val="000000"/>
        </w:rPr>
        <w:t>........</w:t>
      </w:r>
      <w:r>
        <w:rPr>
          <w:rFonts w:hint="eastAsia" w:ascii="宋体" w:hAnsi="宋体" w:cs="宋体"/>
          <w:color w:val="000000"/>
        </w:rPr>
        <w:t>）等</w:t>
      </w:r>
      <w:r>
        <w:rPr>
          <w:rFonts w:ascii="宋体" w:hAnsi="宋体" w:cs="宋体"/>
          <w:color w:val="000000"/>
        </w:rPr>
        <w:t xml:space="preserve">                     </w:t>
      </w:r>
    </w:p>
    <w:p>
      <w:pPr>
        <w:rPr>
          <w:rFonts w:ascii="宋体"/>
          <w:color w:val="000000"/>
        </w:rPr>
      </w:pPr>
      <w:r>
        <w:rPr>
          <w:rFonts w:ascii="宋体" w:hAnsi="宋体" w:cs="宋体"/>
          <w:color w:val="000000"/>
        </w:rPr>
        <w:t xml:space="preserve">                         </w:t>
      </w:r>
      <w:r>
        <w:rPr>
          <w:rFonts w:hint="eastAsia" w:ascii="宋体" w:hAnsi="宋体" w:cs="宋体"/>
          <w:color w:val="000000"/>
        </w:rPr>
        <w:t>签字：</w:t>
      </w:r>
      <w:r>
        <w:rPr>
          <w:rFonts w:ascii="宋体" w:hAnsi="宋体" w:cs="宋体"/>
          <w:color w:val="000000"/>
        </w:rPr>
        <w:t xml:space="preserve">           </w:t>
      </w:r>
      <w:r>
        <w:rPr>
          <w:rFonts w:hint="eastAsia" w:ascii="宋体" w:hAnsi="宋体" w:cs="宋体"/>
          <w:color w:val="000000"/>
        </w:rPr>
        <w:t>日期：</w:t>
      </w:r>
      <w:r>
        <w:rPr>
          <w:rFonts w:ascii="宋体" w:hAnsi="宋体" w:cs="宋体"/>
          <w:color w:val="000000"/>
        </w:rPr>
        <w:t xml:space="preserve">                        </w:t>
      </w:r>
    </w:p>
    <w:p>
      <w:pPr>
        <w:rPr>
          <w:rFonts w:ascii="宋体"/>
          <w:color w:val="000000"/>
        </w:rPr>
      </w:pPr>
    </w:p>
    <w:p>
      <w:pPr>
        <w:rPr>
          <w:rFonts w:ascii="宋体"/>
          <w:color w:val="000000"/>
        </w:rPr>
      </w:pPr>
    </w:p>
    <w:p>
      <w:pPr>
        <w:rPr>
          <w:rFonts w:ascii="宋体"/>
          <w:color w:val="000000"/>
        </w:rPr>
      </w:pPr>
    </w:p>
    <w:p>
      <w:pPr>
        <w:rPr>
          <w:rFonts w:ascii="宋体"/>
          <w:color w:val="000000"/>
        </w:rPr>
      </w:pPr>
    </w:p>
    <w:p>
      <w:pPr>
        <w:rPr>
          <w:rFonts w:ascii="宋体"/>
          <w:color w:val="000000"/>
        </w:rPr>
        <w:sectPr>
          <w:pgSz w:w="16838" w:h="11906" w:orient="landscape"/>
          <w:pgMar w:top="1440" w:right="1440" w:bottom="1440" w:left="1797" w:header="851" w:footer="851" w:gutter="0"/>
          <w:cols w:space="720" w:num="1"/>
          <w:docGrid w:linePitch="312" w:charSpace="0"/>
        </w:sectPr>
      </w:pPr>
      <w:r>
        <w:rPr>
          <w:rFonts w:hint="eastAsia" w:ascii="宋体" w:hAnsi="宋体" w:cs="宋体"/>
          <w:color w:val="000000"/>
        </w:rPr>
        <w:t>开标现场其余投标人授权代表签字</w:t>
      </w:r>
    </w:p>
    <w:p>
      <w:pPr>
        <w:pStyle w:val="4"/>
        <w:spacing w:line="240" w:lineRule="auto"/>
        <w:rPr>
          <w:sz w:val="28"/>
          <w:szCs w:val="28"/>
        </w:rPr>
      </w:pPr>
      <w:bookmarkStart w:id="718" w:name="_Toc59203029"/>
      <w:r>
        <w:rPr>
          <w:sz w:val="28"/>
          <w:szCs w:val="28"/>
        </w:rPr>
        <w:t>附表A－4：评标委员会签到表</w:t>
      </w:r>
      <w:bookmarkEnd w:id="718"/>
    </w:p>
    <w:p>
      <w:pPr>
        <w:jc w:val="center"/>
        <w:rPr>
          <w:rFonts w:ascii="宋体" w:hAnsi="宋体"/>
          <w:b/>
          <w:color w:val="000000"/>
          <w:sz w:val="28"/>
          <w:szCs w:val="28"/>
        </w:rPr>
      </w:pPr>
      <w:r>
        <w:rPr>
          <w:rFonts w:ascii="宋体" w:hAnsi="宋体"/>
          <w:b/>
          <w:color w:val="000000"/>
          <w:sz w:val="28"/>
          <w:szCs w:val="28"/>
        </w:rPr>
        <w:t>评标委员会签到表</w:t>
      </w:r>
    </w:p>
    <w:p>
      <w:pPr>
        <w:spacing w:after="72" w:afterLines="30" w:line="440" w:lineRule="exact"/>
        <w:rPr>
          <w:color w:val="000000"/>
        </w:rPr>
      </w:pPr>
      <w:r>
        <w:rPr>
          <w:color w:val="000000"/>
        </w:rPr>
        <w:t>工程名称</w:t>
      </w:r>
      <w:r>
        <w:rPr>
          <w:rFonts w:hint="eastAsia"/>
          <w:color w:val="000000"/>
        </w:rPr>
        <w:t>及项目招标编号</w:t>
      </w:r>
      <w:r>
        <w:rPr>
          <w:color w:val="000000"/>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color w:val="000000"/>
        </w:rPr>
        <w:t xml:space="preserve">         时间：      年      月      日</w:t>
      </w:r>
    </w:p>
    <w:tbl>
      <w:tblPr>
        <w:tblStyle w:val="83"/>
        <w:tblW w:w="14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820"/>
        <w:gridCol w:w="1624"/>
        <w:gridCol w:w="4543"/>
        <w:gridCol w:w="1980"/>
        <w:gridCol w:w="1912"/>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37" w:hRule="exact"/>
          <w:jc w:val="center"/>
        </w:trPr>
        <w:tc>
          <w:tcPr>
            <w:tcW w:w="818" w:type="dxa"/>
            <w:noWrap w:val="0"/>
            <w:vAlign w:val="center"/>
          </w:tcPr>
          <w:p>
            <w:pPr>
              <w:spacing w:line="440" w:lineRule="exact"/>
              <w:jc w:val="center"/>
              <w:rPr>
                <w:color w:val="000000"/>
              </w:rPr>
            </w:pPr>
            <w:r>
              <w:rPr>
                <w:color w:val="000000"/>
              </w:rPr>
              <w:t>序号</w:t>
            </w:r>
          </w:p>
        </w:tc>
        <w:tc>
          <w:tcPr>
            <w:tcW w:w="1820" w:type="dxa"/>
            <w:noWrap w:val="0"/>
            <w:vAlign w:val="center"/>
          </w:tcPr>
          <w:p>
            <w:pPr>
              <w:spacing w:line="440" w:lineRule="exact"/>
              <w:jc w:val="center"/>
              <w:rPr>
                <w:color w:val="000000"/>
              </w:rPr>
            </w:pPr>
            <w:r>
              <w:rPr>
                <w:color w:val="000000"/>
              </w:rPr>
              <w:t>姓名</w:t>
            </w:r>
          </w:p>
        </w:tc>
        <w:tc>
          <w:tcPr>
            <w:tcW w:w="1624" w:type="dxa"/>
            <w:noWrap w:val="0"/>
            <w:vAlign w:val="center"/>
          </w:tcPr>
          <w:p>
            <w:pPr>
              <w:spacing w:line="440" w:lineRule="exact"/>
              <w:jc w:val="center"/>
              <w:rPr>
                <w:color w:val="000000"/>
              </w:rPr>
            </w:pPr>
            <w:r>
              <w:rPr>
                <w:color w:val="000000"/>
              </w:rPr>
              <w:t>职称</w:t>
            </w:r>
          </w:p>
        </w:tc>
        <w:tc>
          <w:tcPr>
            <w:tcW w:w="4543" w:type="dxa"/>
            <w:noWrap w:val="0"/>
            <w:vAlign w:val="center"/>
          </w:tcPr>
          <w:p>
            <w:pPr>
              <w:spacing w:line="440" w:lineRule="exact"/>
              <w:jc w:val="center"/>
              <w:rPr>
                <w:color w:val="000000"/>
              </w:rPr>
            </w:pPr>
            <w:r>
              <w:rPr>
                <w:color w:val="000000"/>
              </w:rPr>
              <w:t>工作单位</w:t>
            </w:r>
          </w:p>
        </w:tc>
        <w:tc>
          <w:tcPr>
            <w:tcW w:w="1980" w:type="dxa"/>
            <w:noWrap w:val="0"/>
            <w:vAlign w:val="center"/>
          </w:tcPr>
          <w:p>
            <w:pPr>
              <w:spacing w:line="440" w:lineRule="exact"/>
              <w:jc w:val="center"/>
              <w:rPr>
                <w:color w:val="000000"/>
              </w:rPr>
            </w:pPr>
            <w:r>
              <w:rPr>
                <w:color w:val="000000"/>
              </w:rPr>
              <w:t>专家</w:t>
            </w:r>
            <w:r>
              <w:rPr>
                <w:rFonts w:hint="eastAsia"/>
                <w:color w:val="000000"/>
              </w:rPr>
              <w:t>身份</w:t>
            </w:r>
            <w:r>
              <w:rPr>
                <w:color w:val="000000"/>
              </w:rPr>
              <w:t>证号码</w:t>
            </w:r>
          </w:p>
        </w:tc>
        <w:tc>
          <w:tcPr>
            <w:tcW w:w="1912" w:type="dxa"/>
            <w:noWrap w:val="0"/>
            <w:vAlign w:val="center"/>
          </w:tcPr>
          <w:p>
            <w:pPr>
              <w:spacing w:line="440" w:lineRule="exact"/>
              <w:jc w:val="center"/>
              <w:rPr>
                <w:color w:val="000000"/>
              </w:rPr>
            </w:pPr>
            <w:r>
              <w:rPr>
                <w:rFonts w:hint="eastAsia"/>
                <w:color w:val="000000"/>
              </w:rPr>
              <w:t>联系电话</w:t>
            </w:r>
          </w:p>
        </w:tc>
        <w:tc>
          <w:tcPr>
            <w:tcW w:w="1688" w:type="dxa"/>
            <w:noWrap w:val="0"/>
            <w:vAlign w:val="center"/>
          </w:tcPr>
          <w:p>
            <w:pPr>
              <w:spacing w:line="440" w:lineRule="exact"/>
              <w:jc w:val="center"/>
              <w:rPr>
                <w:color w:val="000000"/>
              </w:rPr>
            </w:pPr>
            <w:r>
              <w:rPr>
                <w:color w:val="000000"/>
              </w:rPr>
              <w:t>签到时间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37" w:hRule="exact"/>
          <w:jc w:val="center"/>
        </w:trPr>
        <w:tc>
          <w:tcPr>
            <w:tcW w:w="818" w:type="dxa"/>
            <w:noWrap w:val="0"/>
            <w:vAlign w:val="center"/>
          </w:tcPr>
          <w:p>
            <w:pPr>
              <w:spacing w:line="440" w:lineRule="exact"/>
              <w:jc w:val="center"/>
              <w:rPr>
                <w:rFonts w:eastAsia="黑体"/>
                <w:color w:val="000000"/>
              </w:rPr>
            </w:pPr>
            <w:r>
              <w:rPr>
                <w:rFonts w:eastAsia="黑体"/>
                <w:color w:val="000000"/>
              </w:rPr>
              <w:t>1</w:t>
            </w:r>
          </w:p>
        </w:tc>
        <w:tc>
          <w:tcPr>
            <w:tcW w:w="1820" w:type="dxa"/>
            <w:noWrap w:val="0"/>
            <w:vAlign w:val="center"/>
          </w:tcPr>
          <w:p>
            <w:pPr>
              <w:spacing w:line="440" w:lineRule="exact"/>
              <w:jc w:val="center"/>
              <w:rPr>
                <w:color w:val="000000"/>
              </w:rPr>
            </w:pPr>
          </w:p>
        </w:tc>
        <w:tc>
          <w:tcPr>
            <w:tcW w:w="1624" w:type="dxa"/>
            <w:noWrap w:val="0"/>
            <w:vAlign w:val="center"/>
          </w:tcPr>
          <w:p>
            <w:pPr>
              <w:spacing w:line="440" w:lineRule="exact"/>
              <w:jc w:val="center"/>
              <w:rPr>
                <w:color w:val="000000"/>
              </w:rPr>
            </w:pPr>
          </w:p>
        </w:tc>
        <w:tc>
          <w:tcPr>
            <w:tcW w:w="4543" w:type="dxa"/>
            <w:noWrap w:val="0"/>
            <w:vAlign w:val="center"/>
          </w:tcPr>
          <w:p>
            <w:pPr>
              <w:spacing w:line="440" w:lineRule="exact"/>
              <w:jc w:val="center"/>
              <w:rPr>
                <w:color w:val="000000"/>
              </w:rPr>
            </w:pPr>
          </w:p>
        </w:tc>
        <w:tc>
          <w:tcPr>
            <w:tcW w:w="1980" w:type="dxa"/>
            <w:noWrap w:val="0"/>
            <w:vAlign w:val="center"/>
          </w:tcPr>
          <w:p>
            <w:pPr>
              <w:spacing w:line="440" w:lineRule="exact"/>
              <w:jc w:val="center"/>
              <w:rPr>
                <w:color w:val="000000"/>
              </w:rPr>
            </w:pPr>
          </w:p>
        </w:tc>
        <w:tc>
          <w:tcPr>
            <w:tcW w:w="1912" w:type="dxa"/>
            <w:noWrap w:val="0"/>
            <w:vAlign w:val="center"/>
          </w:tcPr>
          <w:p>
            <w:pPr>
              <w:spacing w:line="440" w:lineRule="exact"/>
              <w:jc w:val="center"/>
              <w:rPr>
                <w:color w:val="000000"/>
              </w:rPr>
            </w:pPr>
          </w:p>
        </w:tc>
        <w:tc>
          <w:tcPr>
            <w:tcW w:w="1688" w:type="dxa"/>
            <w:noWrap w:val="0"/>
            <w:vAlign w:val="center"/>
          </w:tcPr>
          <w:p>
            <w:pPr>
              <w:spacing w:line="44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37" w:hRule="exact"/>
          <w:jc w:val="center"/>
        </w:trPr>
        <w:tc>
          <w:tcPr>
            <w:tcW w:w="818" w:type="dxa"/>
            <w:noWrap w:val="0"/>
            <w:vAlign w:val="center"/>
          </w:tcPr>
          <w:p>
            <w:pPr>
              <w:spacing w:line="440" w:lineRule="exact"/>
              <w:jc w:val="center"/>
              <w:rPr>
                <w:rFonts w:eastAsia="黑体"/>
                <w:color w:val="000000"/>
              </w:rPr>
            </w:pPr>
            <w:r>
              <w:rPr>
                <w:rFonts w:eastAsia="黑体"/>
                <w:color w:val="000000"/>
              </w:rPr>
              <w:t>2</w:t>
            </w:r>
          </w:p>
        </w:tc>
        <w:tc>
          <w:tcPr>
            <w:tcW w:w="1820" w:type="dxa"/>
            <w:noWrap w:val="0"/>
            <w:vAlign w:val="center"/>
          </w:tcPr>
          <w:p>
            <w:pPr>
              <w:spacing w:line="440" w:lineRule="exact"/>
              <w:jc w:val="center"/>
              <w:rPr>
                <w:color w:val="000000"/>
              </w:rPr>
            </w:pPr>
          </w:p>
        </w:tc>
        <w:tc>
          <w:tcPr>
            <w:tcW w:w="1624" w:type="dxa"/>
            <w:noWrap w:val="0"/>
            <w:vAlign w:val="center"/>
          </w:tcPr>
          <w:p>
            <w:pPr>
              <w:spacing w:line="440" w:lineRule="exact"/>
              <w:jc w:val="center"/>
              <w:rPr>
                <w:color w:val="000000"/>
              </w:rPr>
            </w:pPr>
          </w:p>
        </w:tc>
        <w:tc>
          <w:tcPr>
            <w:tcW w:w="4543" w:type="dxa"/>
            <w:noWrap w:val="0"/>
            <w:vAlign w:val="center"/>
          </w:tcPr>
          <w:p>
            <w:pPr>
              <w:spacing w:line="440" w:lineRule="exact"/>
              <w:jc w:val="center"/>
              <w:rPr>
                <w:color w:val="000000"/>
              </w:rPr>
            </w:pPr>
          </w:p>
        </w:tc>
        <w:tc>
          <w:tcPr>
            <w:tcW w:w="1980" w:type="dxa"/>
            <w:noWrap w:val="0"/>
            <w:vAlign w:val="center"/>
          </w:tcPr>
          <w:p>
            <w:pPr>
              <w:spacing w:line="440" w:lineRule="exact"/>
              <w:jc w:val="center"/>
              <w:rPr>
                <w:color w:val="000000"/>
              </w:rPr>
            </w:pPr>
          </w:p>
        </w:tc>
        <w:tc>
          <w:tcPr>
            <w:tcW w:w="1912" w:type="dxa"/>
            <w:noWrap w:val="0"/>
            <w:vAlign w:val="center"/>
          </w:tcPr>
          <w:p>
            <w:pPr>
              <w:spacing w:line="440" w:lineRule="exact"/>
              <w:jc w:val="center"/>
              <w:rPr>
                <w:color w:val="000000"/>
              </w:rPr>
            </w:pPr>
          </w:p>
        </w:tc>
        <w:tc>
          <w:tcPr>
            <w:tcW w:w="1688" w:type="dxa"/>
            <w:noWrap w:val="0"/>
            <w:vAlign w:val="center"/>
          </w:tcPr>
          <w:p>
            <w:pPr>
              <w:spacing w:line="44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37" w:hRule="exact"/>
          <w:jc w:val="center"/>
        </w:trPr>
        <w:tc>
          <w:tcPr>
            <w:tcW w:w="818" w:type="dxa"/>
            <w:noWrap w:val="0"/>
            <w:vAlign w:val="center"/>
          </w:tcPr>
          <w:p>
            <w:pPr>
              <w:spacing w:line="440" w:lineRule="exact"/>
              <w:jc w:val="center"/>
              <w:rPr>
                <w:rFonts w:eastAsia="黑体"/>
                <w:color w:val="000000"/>
              </w:rPr>
            </w:pPr>
            <w:r>
              <w:rPr>
                <w:rFonts w:eastAsia="黑体"/>
                <w:color w:val="000000"/>
              </w:rPr>
              <w:t>3</w:t>
            </w:r>
          </w:p>
        </w:tc>
        <w:tc>
          <w:tcPr>
            <w:tcW w:w="1820" w:type="dxa"/>
            <w:noWrap w:val="0"/>
            <w:vAlign w:val="center"/>
          </w:tcPr>
          <w:p>
            <w:pPr>
              <w:spacing w:line="440" w:lineRule="exact"/>
              <w:jc w:val="center"/>
              <w:rPr>
                <w:color w:val="000000"/>
              </w:rPr>
            </w:pPr>
          </w:p>
        </w:tc>
        <w:tc>
          <w:tcPr>
            <w:tcW w:w="1624" w:type="dxa"/>
            <w:noWrap w:val="0"/>
            <w:vAlign w:val="center"/>
          </w:tcPr>
          <w:p>
            <w:pPr>
              <w:spacing w:line="440" w:lineRule="exact"/>
              <w:jc w:val="center"/>
              <w:rPr>
                <w:color w:val="000000"/>
              </w:rPr>
            </w:pPr>
          </w:p>
        </w:tc>
        <w:tc>
          <w:tcPr>
            <w:tcW w:w="4543" w:type="dxa"/>
            <w:noWrap w:val="0"/>
            <w:vAlign w:val="center"/>
          </w:tcPr>
          <w:p>
            <w:pPr>
              <w:spacing w:line="440" w:lineRule="exact"/>
              <w:jc w:val="center"/>
              <w:rPr>
                <w:color w:val="000000"/>
              </w:rPr>
            </w:pPr>
          </w:p>
        </w:tc>
        <w:tc>
          <w:tcPr>
            <w:tcW w:w="1980" w:type="dxa"/>
            <w:noWrap w:val="0"/>
            <w:vAlign w:val="center"/>
          </w:tcPr>
          <w:p>
            <w:pPr>
              <w:spacing w:line="440" w:lineRule="exact"/>
              <w:jc w:val="center"/>
              <w:rPr>
                <w:color w:val="000000"/>
              </w:rPr>
            </w:pPr>
          </w:p>
        </w:tc>
        <w:tc>
          <w:tcPr>
            <w:tcW w:w="1912" w:type="dxa"/>
            <w:noWrap w:val="0"/>
            <w:vAlign w:val="center"/>
          </w:tcPr>
          <w:p>
            <w:pPr>
              <w:spacing w:line="440" w:lineRule="exact"/>
              <w:jc w:val="center"/>
              <w:rPr>
                <w:color w:val="000000"/>
              </w:rPr>
            </w:pPr>
          </w:p>
        </w:tc>
        <w:tc>
          <w:tcPr>
            <w:tcW w:w="1688" w:type="dxa"/>
            <w:noWrap w:val="0"/>
            <w:vAlign w:val="center"/>
          </w:tcPr>
          <w:p>
            <w:pPr>
              <w:spacing w:line="44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37" w:hRule="exact"/>
          <w:jc w:val="center"/>
        </w:trPr>
        <w:tc>
          <w:tcPr>
            <w:tcW w:w="818" w:type="dxa"/>
            <w:noWrap w:val="0"/>
            <w:vAlign w:val="center"/>
          </w:tcPr>
          <w:p>
            <w:pPr>
              <w:spacing w:line="440" w:lineRule="exact"/>
              <w:jc w:val="center"/>
              <w:rPr>
                <w:rFonts w:eastAsia="黑体"/>
                <w:color w:val="000000"/>
              </w:rPr>
            </w:pPr>
            <w:r>
              <w:rPr>
                <w:rFonts w:eastAsia="黑体"/>
                <w:color w:val="000000"/>
              </w:rPr>
              <w:t>4</w:t>
            </w:r>
          </w:p>
        </w:tc>
        <w:tc>
          <w:tcPr>
            <w:tcW w:w="1820" w:type="dxa"/>
            <w:noWrap w:val="0"/>
            <w:vAlign w:val="center"/>
          </w:tcPr>
          <w:p>
            <w:pPr>
              <w:spacing w:line="440" w:lineRule="exact"/>
              <w:jc w:val="center"/>
              <w:rPr>
                <w:color w:val="000000"/>
              </w:rPr>
            </w:pPr>
          </w:p>
        </w:tc>
        <w:tc>
          <w:tcPr>
            <w:tcW w:w="1624" w:type="dxa"/>
            <w:noWrap w:val="0"/>
            <w:vAlign w:val="center"/>
          </w:tcPr>
          <w:p>
            <w:pPr>
              <w:spacing w:line="440" w:lineRule="exact"/>
              <w:jc w:val="center"/>
              <w:rPr>
                <w:color w:val="000000"/>
              </w:rPr>
            </w:pPr>
          </w:p>
        </w:tc>
        <w:tc>
          <w:tcPr>
            <w:tcW w:w="4543" w:type="dxa"/>
            <w:noWrap w:val="0"/>
            <w:vAlign w:val="center"/>
          </w:tcPr>
          <w:p>
            <w:pPr>
              <w:spacing w:line="440" w:lineRule="exact"/>
              <w:jc w:val="center"/>
              <w:rPr>
                <w:color w:val="000000"/>
              </w:rPr>
            </w:pPr>
          </w:p>
        </w:tc>
        <w:tc>
          <w:tcPr>
            <w:tcW w:w="1980" w:type="dxa"/>
            <w:noWrap w:val="0"/>
            <w:vAlign w:val="center"/>
          </w:tcPr>
          <w:p>
            <w:pPr>
              <w:spacing w:line="440" w:lineRule="exact"/>
              <w:jc w:val="center"/>
              <w:rPr>
                <w:color w:val="000000"/>
              </w:rPr>
            </w:pPr>
          </w:p>
        </w:tc>
        <w:tc>
          <w:tcPr>
            <w:tcW w:w="1912" w:type="dxa"/>
            <w:noWrap w:val="0"/>
            <w:vAlign w:val="center"/>
          </w:tcPr>
          <w:p>
            <w:pPr>
              <w:spacing w:line="440" w:lineRule="exact"/>
              <w:jc w:val="center"/>
              <w:rPr>
                <w:color w:val="000000"/>
              </w:rPr>
            </w:pPr>
          </w:p>
        </w:tc>
        <w:tc>
          <w:tcPr>
            <w:tcW w:w="1688" w:type="dxa"/>
            <w:noWrap w:val="0"/>
            <w:vAlign w:val="center"/>
          </w:tcPr>
          <w:p>
            <w:pPr>
              <w:spacing w:line="44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37" w:hRule="exact"/>
          <w:jc w:val="center"/>
        </w:trPr>
        <w:tc>
          <w:tcPr>
            <w:tcW w:w="818" w:type="dxa"/>
            <w:noWrap w:val="0"/>
            <w:vAlign w:val="center"/>
          </w:tcPr>
          <w:p>
            <w:pPr>
              <w:spacing w:line="440" w:lineRule="exact"/>
              <w:jc w:val="center"/>
              <w:rPr>
                <w:rFonts w:eastAsia="黑体"/>
                <w:color w:val="000000"/>
              </w:rPr>
            </w:pPr>
            <w:r>
              <w:rPr>
                <w:rFonts w:eastAsia="黑体"/>
                <w:color w:val="000000"/>
              </w:rPr>
              <w:t>5</w:t>
            </w:r>
          </w:p>
        </w:tc>
        <w:tc>
          <w:tcPr>
            <w:tcW w:w="1820" w:type="dxa"/>
            <w:noWrap w:val="0"/>
            <w:vAlign w:val="center"/>
          </w:tcPr>
          <w:p>
            <w:pPr>
              <w:spacing w:line="440" w:lineRule="exact"/>
              <w:jc w:val="center"/>
              <w:rPr>
                <w:color w:val="000000"/>
              </w:rPr>
            </w:pPr>
          </w:p>
        </w:tc>
        <w:tc>
          <w:tcPr>
            <w:tcW w:w="1624" w:type="dxa"/>
            <w:noWrap w:val="0"/>
            <w:vAlign w:val="center"/>
          </w:tcPr>
          <w:p>
            <w:pPr>
              <w:spacing w:line="440" w:lineRule="exact"/>
              <w:jc w:val="center"/>
              <w:rPr>
                <w:color w:val="000000"/>
              </w:rPr>
            </w:pPr>
          </w:p>
        </w:tc>
        <w:tc>
          <w:tcPr>
            <w:tcW w:w="4543" w:type="dxa"/>
            <w:noWrap w:val="0"/>
            <w:vAlign w:val="center"/>
          </w:tcPr>
          <w:p>
            <w:pPr>
              <w:spacing w:line="440" w:lineRule="exact"/>
              <w:jc w:val="center"/>
              <w:rPr>
                <w:color w:val="000000"/>
              </w:rPr>
            </w:pPr>
          </w:p>
        </w:tc>
        <w:tc>
          <w:tcPr>
            <w:tcW w:w="1980" w:type="dxa"/>
            <w:noWrap w:val="0"/>
            <w:vAlign w:val="center"/>
          </w:tcPr>
          <w:p>
            <w:pPr>
              <w:spacing w:line="440" w:lineRule="exact"/>
              <w:jc w:val="center"/>
              <w:rPr>
                <w:color w:val="000000"/>
              </w:rPr>
            </w:pPr>
          </w:p>
        </w:tc>
        <w:tc>
          <w:tcPr>
            <w:tcW w:w="1912" w:type="dxa"/>
            <w:noWrap w:val="0"/>
            <w:vAlign w:val="center"/>
          </w:tcPr>
          <w:p>
            <w:pPr>
              <w:spacing w:line="440" w:lineRule="exact"/>
              <w:jc w:val="center"/>
              <w:rPr>
                <w:color w:val="000000"/>
              </w:rPr>
            </w:pPr>
          </w:p>
        </w:tc>
        <w:tc>
          <w:tcPr>
            <w:tcW w:w="1688" w:type="dxa"/>
            <w:noWrap w:val="0"/>
            <w:vAlign w:val="center"/>
          </w:tcPr>
          <w:p>
            <w:pPr>
              <w:spacing w:line="44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37" w:hRule="exact"/>
          <w:jc w:val="center"/>
        </w:trPr>
        <w:tc>
          <w:tcPr>
            <w:tcW w:w="818" w:type="dxa"/>
            <w:noWrap w:val="0"/>
            <w:vAlign w:val="center"/>
          </w:tcPr>
          <w:p>
            <w:pPr>
              <w:spacing w:line="440" w:lineRule="exact"/>
              <w:jc w:val="center"/>
              <w:rPr>
                <w:rFonts w:eastAsia="黑体"/>
                <w:color w:val="000000"/>
              </w:rPr>
            </w:pPr>
            <w:r>
              <w:rPr>
                <w:rFonts w:eastAsia="黑体"/>
                <w:color w:val="000000"/>
              </w:rPr>
              <w:t>6</w:t>
            </w:r>
          </w:p>
        </w:tc>
        <w:tc>
          <w:tcPr>
            <w:tcW w:w="1820" w:type="dxa"/>
            <w:noWrap w:val="0"/>
            <w:vAlign w:val="center"/>
          </w:tcPr>
          <w:p>
            <w:pPr>
              <w:spacing w:line="440" w:lineRule="exact"/>
              <w:jc w:val="center"/>
              <w:rPr>
                <w:color w:val="000000"/>
              </w:rPr>
            </w:pPr>
          </w:p>
        </w:tc>
        <w:tc>
          <w:tcPr>
            <w:tcW w:w="1624" w:type="dxa"/>
            <w:noWrap w:val="0"/>
            <w:vAlign w:val="center"/>
          </w:tcPr>
          <w:p>
            <w:pPr>
              <w:spacing w:line="440" w:lineRule="exact"/>
              <w:jc w:val="center"/>
              <w:rPr>
                <w:color w:val="000000"/>
              </w:rPr>
            </w:pPr>
          </w:p>
        </w:tc>
        <w:tc>
          <w:tcPr>
            <w:tcW w:w="4543" w:type="dxa"/>
            <w:noWrap w:val="0"/>
            <w:vAlign w:val="center"/>
          </w:tcPr>
          <w:p>
            <w:pPr>
              <w:spacing w:line="440" w:lineRule="exact"/>
              <w:jc w:val="center"/>
              <w:rPr>
                <w:color w:val="000000"/>
              </w:rPr>
            </w:pPr>
          </w:p>
        </w:tc>
        <w:tc>
          <w:tcPr>
            <w:tcW w:w="1980" w:type="dxa"/>
            <w:noWrap w:val="0"/>
            <w:vAlign w:val="center"/>
          </w:tcPr>
          <w:p>
            <w:pPr>
              <w:spacing w:line="440" w:lineRule="exact"/>
              <w:jc w:val="center"/>
              <w:rPr>
                <w:color w:val="000000"/>
              </w:rPr>
            </w:pPr>
          </w:p>
        </w:tc>
        <w:tc>
          <w:tcPr>
            <w:tcW w:w="1912" w:type="dxa"/>
            <w:noWrap w:val="0"/>
            <w:vAlign w:val="center"/>
          </w:tcPr>
          <w:p>
            <w:pPr>
              <w:spacing w:line="440" w:lineRule="exact"/>
              <w:jc w:val="center"/>
              <w:rPr>
                <w:color w:val="000000"/>
              </w:rPr>
            </w:pPr>
          </w:p>
        </w:tc>
        <w:tc>
          <w:tcPr>
            <w:tcW w:w="1688" w:type="dxa"/>
            <w:noWrap w:val="0"/>
            <w:vAlign w:val="center"/>
          </w:tcPr>
          <w:p>
            <w:pPr>
              <w:spacing w:line="44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37" w:hRule="exact"/>
          <w:jc w:val="center"/>
        </w:trPr>
        <w:tc>
          <w:tcPr>
            <w:tcW w:w="818" w:type="dxa"/>
            <w:noWrap w:val="0"/>
            <w:vAlign w:val="center"/>
          </w:tcPr>
          <w:p>
            <w:pPr>
              <w:spacing w:line="440" w:lineRule="exact"/>
              <w:jc w:val="center"/>
              <w:rPr>
                <w:rFonts w:eastAsia="黑体"/>
                <w:color w:val="000000"/>
              </w:rPr>
            </w:pPr>
            <w:r>
              <w:rPr>
                <w:rFonts w:eastAsia="黑体"/>
                <w:color w:val="000000"/>
              </w:rPr>
              <w:t>7</w:t>
            </w:r>
          </w:p>
        </w:tc>
        <w:tc>
          <w:tcPr>
            <w:tcW w:w="1820" w:type="dxa"/>
            <w:noWrap w:val="0"/>
            <w:vAlign w:val="center"/>
          </w:tcPr>
          <w:p>
            <w:pPr>
              <w:spacing w:line="440" w:lineRule="exact"/>
              <w:jc w:val="center"/>
              <w:rPr>
                <w:color w:val="000000"/>
              </w:rPr>
            </w:pPr>
          </w:p>
        </w:tc>
        <w:tc>
          <w:tcPr>
            <w:tcW w:w="1624" w:type="dxa"/>
            <w:noWrap w:val="0"/>
            <w:vAlign w:val="center"/>
          </w:tcPr>
          <w:p>
            <w:pPr>
              <w:spacing w:line="440" w:lineRule="exact"/>
              <w:jc w:val="center"/>
              <w:rPr>
                <w:color w:val="000000"/>
              </w:rPr>
            </w:pPr>
          </w:p>
        </w:tc>
        <w:tc>
          <w:tcPr>
            <w:tcW w:w="4543" w:type="dxa"/>
            <w:noWrap w:val="0"/>
            <w:vAlign w:val="center"/>
          </w:tcPr>
          <w:p>
            <w:pPr>
              <w:spacing w:line="440" w:lineRule="exact"/>
              <w:jc w:val="center"/>
              <w:rPr>
                <w:color w:val="000000"/>
              </w:rPr>
            </w:pPr>
          </w:p>
        </w:tc>
        <w:tc>
          <w:tcPr>
            <w:tcW w:w="1980" w:type="dxa"/>
            <w:noWrap w:val="0"/>
            <w:vAlign w:val="center"/>
          </w:tcPr>
          <w:p>
            <w:pPr>
              <w:spacing w:line="440" w:lineRule="exact"/>
              <w:jc w:val="center"/>
              <w:rPr>
                <w:color w:val="000000"/>
              </w:rPr>
            </w:pPr>
          </w:p>
        </w:tc>
        <w:tc>
          <w:tcPr>
            <w:tcW w:w="1912" w:type="dxa"/>
            <w:noWrap w:val="0"/>
            <w:vAlign w:val="center"/>
          </w:tcPr>
          <w:p>
            <w:pPr>
              <w:spacing w:line="440" w:lineRule="exact"/>
              <w:jc w:val="center"/>
              <w:rPr>
                <w:color w:val="000000"/>
              </w:rPr>
            </w:pPr>
          </w:p>
        </w:tc>
        <w:tc>
          <w:tcPr>
            <w:tcW w:w="1688" w:type="dxa"/>
            <w:noWrap w:val="0"/>
            <w:vAlign w:val="center"/>
          </w:tcPr>
          <w:p>
            <w:pPr>
              <w:spacing w:line="440" w:lineRule="exact"/>
              <w:jc w:val="center"/>
              <w:rPr>
                <w:color w:val="000000"/>
              </w:rPr>
            </w:pPr>
          </w:p>
        </w:tc>
      </w:tr>
    </w:tbl>
    <w:p>
      <w:pPr>
        <w:spacing w:line="440" w:lineRule="exact"/>
        <w:rPr>
          <w:color w:val="000000"/>
        </w:rPr>
      </w:pPr>
    </w:p>
    <w:p>
      <w:pPr>
        <w:spacing w:line="440" w:lineRule="exact"/>
        <w:rPr>
          <w:rFonts w:eastAsia="黑体"/>
          <w:color w:val="000000"/>
        </w:rPr>
        <w:sectPr>
          <w:pgSz w:w="16838" w:h="11906" w:orient="landscape"/>
          <w:pgMar w:top="1440" w:right="1440" w:bottom="1440" w:left="1797" w:header="851" w:footer="851" w:gutter="0"/>
          <w:cols w:space="720" w:num="1"/>
          <w:docGrid w:linePitch="312" w:charSpace="0"/>
        </w:sectPr>
      </w:pPr>
    </w:p>
    <w:p>
      <w:pPr>
        <w:pStyle w:val="4"/>
        <w:spacing w:line="240" w:lineRule="auto"/>
        <w:rPr>
          <w:sz w:val="28"/>
          <w:szCs w:val="28"/>
        </w:rPr>
      </w:pPr>
      <w:bookmarkStart w:id="719" w:name="_Toc59203030"/>
      <w:r>
        <w:rPr>
          <w:sz w:val="28"/>
          <w:szCs w:val="28"/>
        </w:rPr>
        <w:t>附表A-5：资格评审记录表</w:t>
      </w:r>
      <w:r>
        <w:rPr>
          <w:rFonts w:hint="eastAsia"/>
          <w:sz w:val="28"/>
          <w:szCs w:val="28"/>
        </w:rPr>
        <w:t>一</w:t>
      </w:r>
      <w:bookmarkEnd w:id="719"/>
    </w:p>
    <w:p>
      <w:pPr>
        <w:spacing w:line="240" w:lineRule="exact"/>
        <w:rPr>
          <w:color w:val="000000"/>
        </w:rPr>
      </w:pPr>
    </w:p>
    <w:p>
      <w:pPr>
        <w:spacing w:line="240" w:lineRule="exact"/>
        <w:jc w:val="center"/>
        <w:rPr>
          <w:color w:val="000000"/>
        </w:rPr>
      </w:pPr>
      <w:r>
        <w:rPr>
          <w:rFonts w:hint="eastAsia"/>
          <w:b/>
          <w:color w:val="000000"/>
        </w:rPr>
        <w:t>资格审查评审记录表一</w:t>
      </w:r>
    </w:p>
    <w:tbl>
      <w:tblPr>
        <w:tblStyle w:val="83"/>
        <w:tblpPr w:leftFromText="180" w:rightFromText="180" w:vertAnchor="page" w:horzAnchor="page" w:tblpX="1058" w:tblpY="3031"/>
        <w:tblW w:w="0" w:type="auto"/>
        <w:tblInd w:w="0" w:type="dxa"/>
        <w:tblLayout w:type="fixed"/>
        <w:tblCellMar>
          <w:top w:w="15" w:type="dxa"/>
          <w:left w:w="15" w:type="dxa"/>
          <w:bottom w:w="15" w:type="dxa"/>
          <w:right w:w="15" w:type="dxa"/>
        </w:tblCellMar>
      </w:tblPr>
      <w:tblGrid>
        <w:gridCol w:w="449"/>
        <w:gridCol w:w="631"/>
        <w:gridCol w:w="3944"/>
        <w:gridCol w:w="780"/>
        <w:gridCol w:w="930"/>
        <w:gridCol w:w="810"/>
        <w:gridCol w:w="820"/>
        <w:gridCol w:w="850"/>
        <w:gridCol w:w="851"/>
        <w:gridCol w:w="992"/>
        <w:gridCol w:w="992"/>
        <w:gridCol w:w="992"/>
        <w:gridCol w:w="851"/>
        <w:gridCol w:w="1134"/>
      </w:tblGrid>
      <w:tr>
        <w:tblPrEx>
          <w:tblCellMar>
            <w:top w:w="15" w:type="dxa"/>
            <w:left w:w="15" w:type="dxa"/>
            <w:bottom w:w="15" w:type="dxa"/>
            <w:right w:w="15" w:type="dxa"/>
          </w:tblCellMar>
        </w:tblPrEx>
        <w:trPr>
          <w:wBefore w:w="0" w:type="dxa"/>
          <w:wAfter w:w="0" w:type="dxa"/>
          <w:trHeight w:val="330" w:hRule="atLeast"/>
        </w:trPr>
        <w:tc>
          <w:tcPr>
            <w:tcW w:w="1080" w:type="dxa"/>
            <w:gridSpan w:val="2"/>
            <w:noWrap w:val="0"/>
            <w:vAlign w:val="top"/>
          </w:tcPr>
          <w:p>
            <w:pPr>
              <w:spacing w:after="72" w:afterLines="30" w:line="440" w:lineRule="exact"/>
              <w:rPr>
                <w:rFonts w:hint="eastAsia" w:cs="宋体"/>
                <w:color w:val="000000"/>
              </w:rPr>
            </w:pPr>
          </w:p>
        </w:tc>
        <w:tc>
          <w:tcPr>
            <w:tcW w:w="13946" w:type="dxa"/>
            <w:gridSpan w:val="12"/>
            <w:noWrap w:val="0"/>
            <w:vAlign w:val="center"/>
          </w:tcPr>
          <w:p>
            <w:pPr>
              <w:spacing w:after="72" w:afterLines="30" w:line="440" w:lineRule="exact"/>
              <w:rPr>
                <w:color w:val="000000"/>
              </w:rPr>
            </w:pPr>
            <w:r>
              <w:rPr>
                <w:rFonts w:hint="eastAsia" w:cs="宋体"/>
                <w:color w:val="000000"/>
              </w:rPr>
              <w:t>项目名称及项目招标编号：</w:t>
            </w:r>
            <w:r>
              <w:rPr>
                <w:color w:val="000000"/>
                <w:u w:val="single"/>
              </w:rPr>
              <w:t xml:space="preserve">                                           </w:t>
            </w:r>
            <w:r>
              <w:rPr>
                <w:color w:val="000000"/>
              </w:rPr>
              <w:t xml:space="preserve">                            </w:t>
            </w:r>
            <w:r>
              <w:rPr>
                <w:rFonts w:hint="eastAsia" w:cs="宋体"/>
                <w:color w:val="000000"/>
              </w:rPr>
              <w:t>时间：</w:t>
            </w:r>
            <w:r>
              <w:rPr>
                <w:color w:val="000000"/>
              </w:rPr>
              <w:t xml:space="preserve">      </w:t>
            </w: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p>
          <w:p>
            <w:pPr>
              <w:widowControl/>
              <w:jc w:val="center"/>
              <w:rPr>
                <w:rFonts w:hint="eastAsia" w:ascii="宋体" w:hAnsi="宋体" w:cs="宋体"/>
                <w:color w:val="000000"/>
                <w:kern w:val="0"/>
                <w:sz w:val="22"/>
                <w:szCs w:val="22"/>
              </w:rPr>
            </w:pPr>
          </w:p>
        </w:tc>
      </w:tr>
      <w:tr>
        <w:tblPrEx>
          <w:tblCellMar>
            <w:top w:w="15" w:type="dxa"/>
            <w:left w:w="15" w:type="dxa"/>
            <w:bottom w:w="15" w:type="dxa"/>
            <w:right w:w="15" w:type="dxa"/>
          </w:tblCellMar>
        </w:tblPrEx>
        <w:trPr>
          <w:wBefore w:w="0" w:type="dxa"/>
          <w:wAfter w:w="0" w:type="dxa"/>
          <w:trHeight w:val="900" w:hRule="atLeast"/>
        </w:trPr>
        <w:tc>
          <w:tcPr>
            <w:tcW w:w="449" w:type="dxa"/>
            <w:vMerge w:val="restart"/>
            <w:tcBorders>
              <w:top w:val="single" w:color="000000" w:sz="4" w:space="0"/>
              <w:left w:val="single" w:color="000000" w:sz="4" w:space="0"/>
              <w:bottom w:val="single" w:color="000000" w:sz="4" w:space="0"/>
              <w:right w:val="single" w:color="auto" w:sz="4" w:space="0"/>
            </w:tcBorders>
            <w:noWrap w:val="0"/>
            <w:vAlign w:val="center"/>
          </w:tcPr>
          <w:p>
            <w:pPr>
              <w:widowControl/>
              <w:jc w:val="center"/>
              <w:rPr>
                <w:rFonts w:hint="eastAsia" w:ascii="宋体" w:hAnsi="宋体" w:cs="宋体"/>
                <w:color w:val="000000"/>
                <w:kern w:val="0"/>
              </w:rPr>
            </w:pPr>
            <w:r>
              <w:rPr>
                <w:rFonts w:hint="eastAsia" w:ascii="宋体" w:hAnsi="宋体" w:cs="宋体"/>
                <w:color w:val="000000"/>
                <w:kern w:val="0"/>
              </w:rPr>
              <w:t>序号</w:t>
            </w:r>
          </w:p>
        </w:tc>
        <w:tc>
          <w:tcPr>
            <w:tcW w:w="4575"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rPr>
            </w:pPr>
            <w:r>
              <w:rPr>
                <w:rFonts w:hint="eastAsia" w:ascii="宋体" w:hAnsi="宋体" w:cs="宋体"/>
                <w:color w:val="000000"/>
                <w:kern w:val="0"/>
              </w:rPr>
              <w:t>投标人名称</w:t>
            </w:r>
          </w:p>
        </w:tc>
        <w:tc>
          <w:tcPr>
            <w:tcW w:w="8017" w:type="dxa"/>
            <w:gridSpan w:val="9"/>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eastAsia" w:ascii="宋体" w:hAnsi="宋体" w:cs="宋体"/>
                <w:color w:val="000000"/>
                <w:kern w:val="0"/>
                <w:sz w:val="24"/>
              </w:rPr>
            </w:pPr>
            <w:r>
              <w:rPr>
                <w:rFonts w:hint="eastAsia" w:ascii="宋体" w:hAnsi="宋体" w:cs="宋体"/>
                <w:color w:val="000000"/>
                <w:kern w:val="0"/>
                <w:sz w:val="24"/>
              </w:rPr>
              <w:t>合格标准：投标人符合第二章“投标人须知”正</w:t>
            </w:r>
            <w:r>
              <w:rPr>
                <w:rFonts w:ascii="宋体" w:hAnsi="宋体" w:cs="宋体"/>
                <w:color w:val="000000"/>
                <w:kern w:val="0"/>
                <w:sz w:val="24"/>
              </w:rPr>
              <w:t>文</w:t>
            </w:r>
            <w:r>
              <w:rPr>
                <w:rFonts w:hint="eastAsia" w:ascii="宋体" w:hAnsi="宋体" w:cs="宋体"/>
                <w:color w:val="000000"/>
                <w:kern w:val="0"/>
                <w:sz w:val="24"/>
              </w:rPr>
              <w:t>第1.4项规定的，且按规定提交了第二章“投标人须知前附表”3.1.1项资格审查部分（</w:t>
            </w:r>
            <w:r>
              <w:rPr>
                <w:rFonts w:ascii="宋体" w:hAnsi="宋体" w:cs="宋体"/>
                <w:color w:val="000000"/>
                <w:kern w:val="0"/>
                <w:sz w:val="24"/>
              </w:rPr>
              <w:t>1</w:t>
            </w:r>
            <w:r>
              <w:rPr>
                <w:rFonts w:hint="eastAsia" w:ascii="宋体" w:hAnsi="宋体" w:cs="宋体"/>
                <w:color w:val="000000"/>
                <w:kern w:val="0"/>
                <w:sz w:val="24"/>
              </w:rPr>
              <w:t>）～（</w:t>
            </w:r>
            <w:r>
              <w:rPr>
                <w:rFonts w:ascii="宋体" w:hAnsi="宋体" w:cs="宋体"/>
                <w:color w:val="000000"/>
                <w:kern w:val="0"/>
                <w:sz w:val="24"/>
              </w:rPr>
              <w:t xml:space="preserve"> </w:t>
            </w:r>
            <w:r>
              <w:rPr>
                <w:rFonts w:hint="eastAsia" w:ascii="宋体" w:hAnsi="宋体" w:cs="宋体"/>
                <w:color w:val="000000"/>
                <w:kern w:val="0"/>
                <w:sz w:val="24"/>
              </w:rPr>
              <w:t>）项内容的，方可进行下</w:t>
            </w:r>
            <w:r>
              <w:rPr>
                <w:rFonts w:ascii="宋体" w:hAnsi="宋体" w:cs="宋体"/>
                <w:color w:val="000000"/>
                <w:kern w:val="0"/>
                <w:sz w:val="24"/>
              </w:rPr>
              <w:t>一步</w:t>
            </w:r>
            <w:r>
              <w:rPr>
                <w:rFonts w:hint="eastAsia" w:ascii="宋体" w:hAnsi="宋体" w:cs="宋体"/>
                <w:color w:val="000000"/>
                <w:kern w:val="0"/>
                <w:sz w:val="24"/>
              </w:rPr>
              <w:t>资格审查。</w:t>
            </w:r>
          </w:p>
        </w:tc>
        <w:tc>
          <w:tcPr>
            <w:tcW w:w="851"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备注</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rPr>
            </w:pPr>
            <w:r>
              <w:rPr>
                <w:rFonts w:hint="eastAsia" w:ascii="宋体" w:hAnsi="宋体" w:cs="宋体"/>
                <w:color w:val="000000"/>
                <w:kern w:val="0"/>
                <w:sz w:val="24"/>
              </w:rPr>
              <w:t>可否进行下一步资格审查</w:t>
            </w:r>
          </w:p>
        </w:tc>
      </w:tr>
      <w:tr>
        <w:tblPrEx>
          <w:tblCellMar>
            <w:top w:w="15" w:type="dxa"/>
            <w:left w:w="15" w:type="dxa"/>
            <w:bottom w:w="15" w:type="dxa"/>
            <w:right w:w="15" w:type="dxa"/>
          </w:tblCellMar>
        </w:tblPrEx>
        <w:trPr>
          <w:wBefore w:w="0" w:type="dxa"/>
          <w:wAfter w:w="0" w:type="dxa"/>
          <w:trHeight w:val="360" w:hRule="atLeast"/>
        </w:trPr>
        <w:tc>
          <w:tcPr>
            <w:tcW w:w="449" w:type="dxa"/>
            <w:vMerge w:val="continue"/>
            <w:tcBorders>
              <w:top w:val="single" w:color="000000" w:sz="4" w:space="0"/>
              <w:left w:val="single" w:color="000000" w:sz="4" w:space="0"/>
              <w:bottom w:val="single" w:color="000000" w:sz="4" w:space="0"/>
              <w:right w:val="single" w:color="auto" w:sz="4" w:space="0"/>
            </w:tcBorders>
            <w:noWrap w:val="0"/>
            <w:vAlign w:val="center"/>
          </w:tcPr>
          <w:p>
            <w:pPr>
              <w:widowControl/>
              <w:jc w:val="left"/>
              <w:rPr>
                <w:rFonts w:ascii="宋体" w:hAnsi="宋体" w:cs="宋体"/>
                <w:color w:val="000000"/>
                <w:kern w:val="0"/>
              </w:rPr>
            </w:pPr>
          </w:p>
        </w:tc>
        <w:tc>
          <w:tcPr>
            <w:tcW w:w="4575"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rPr>
            </w:pP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(1)</w:t>
            </w:r>
          </w:p>
        </w:tc>
        <w:tc>
          <w:tcPr>
            <w:tcW w:w="9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rPr>
            </w:pPr>
            <w:r>
              <w:rPr>
                <w:rFonts w:hint="eastAsia" w:ascii="宋体" w:hAnsi="宋体" w:cs="宋体"/>
                <w:color w:val="000000"/>
                <w:kern w:val="0"/>
              </w:rPr>
              <w:t>(2)</w:t>
            </w:r>
          </w:p>
        </w:tc>
        <w:tc>
          <w:tcPr>
            <w:tcW w:w="810"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rPr>
            </w:pPr>
            <w:r>
              <w:rPr>
                <w:rFonts w:hint="eastAsia" w:ascii="宋体" w:hAnsi="宋体" w:cs="宋体"/>
                <w:color w:val="000000"/>
                <w:kern w:val="0"/>
              </w:rPr>
              <w:t>(3)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rPr>
            </w:pPr>
            <w:r>
              <w:rPr>
                <w:rFonts w:hint="eastAsia" w:ascii="宋体" w:hAnsi="宋体" w:cs="宋体"/>
                <w:color w:val="000000"/>
                <w:kern w:val="0"/>
              </w:rPr>
              <w:t>(4)</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rPr>
            </w:pPr>
            <w:r>
              <w:rPr>
                <w:rFonts w:hint="eastAsia" w:ascii="宋体" w:hAnsi="宋体" w:cs="宋体"/>
                <w:color w:val="000000"/>
                <w:kern w:val="0"/>
              </w:rPr>
              <w:t>(5)</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rPr>
            </w:pPr>
            <w:r>
              <w:rPr>
                <w:rFonts w:hint="eastAsia" w:ascii="宋体" w:hAnsi="宋体" w:cs="宋体"/>
                <w:color w:val="000000"/>
                <w:kern w:val="0"/>
              </w:rPr>
              <w:t>(6)</w:t>
            </w:r>
          </w:p>
        </w:tc>
        <w:tc>
          <w:tcPr>
            <w:tcW w:w="992" w:type="dxa"/>
            <w:tcBorders>
              <w:top w:val="single" w:color="000000" w:sz="4" w:space="0"/>
              <w:left w:val="single" w:color="000000" w:sz="4" w:space="0"/>
              <w:bottom w:val="single" w:color="000000" w:sz="4" w:space="0"/>
            </w:tcBorders>
            <w:noWrap w:val="0"/>
            <w:vAlign w:val="center"/>
          </w:tcPr>
          <w:p>
            <w:pPr>
              <w:widowControl/>
              <w:jc w:val="center"/>
              <w:rPr>
                <w:rFonts w:hint="eastAsia" w:ascii="宋体" w:hAnsi="宋体" w:cs="宋体"/>
                <w:color w:val="000000"/>
                <w:kern w:val="0"/>
              </w:rPr>
            </w:pPr>
            <w:r>
              <w:rPr>
                <w:rFonts w:hint="eastAsia" w:ascii="宋体" w:hAnsi="宋体" w:cs="宋体"/>
                <w:color w:val="000000"/>
                <w:kern w:val="0"/>
              </w:rPr>
              <w:t>(7)</w:t>
            </w:r>
          </w:p>
        </w:tc>
        <w:tc>
          <w:tcPr>
            <w:tcW w:w="992"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hint="eastAsia" w:ascii="宋体" w:hAnsi="宋体" w:cs="宋体"/>
                <w:color w:val="000000"/>
                <w:kern w:val="0"/>
              </w:rPr>
            </w:pPr>
          </w:p>
        </w:tc>
        <w:tc>
          <w:tcPr>
            <w:tcW w:w="992" w:type="dxa"/>
            <w:tcBorders>
              <w:top w:val="single" w:color="000000" w:sz="4" w:space="0"/>
              <w:left w:val="single" w:color="000000" w:sz="4" w:space="0"/>
              <w:bottom w:val="single" w:color="000000" w:sz="4" w:space="0"/>
            </w:tcBorders>
            <w:noWrap w:val="0"/>
            <w:vAlign w:val="center"/>
          </w:tcPr>
          <w:p>
            <w:pPr>
              <w:widowControl/>
              <w:jc w:val="center"/>
              <w:rPr>
                <w:rFonts w:hint="eastAsia" w:ascii="宋体" w:hAnsi="宋体" w:cs="宋体"/>
                <w:color w:val="000000"/>
                <w:kern w:val="0"/>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kern w:val="0"/>
              </w:rPr>
            </w:pPr>
          </w:p>
        </w:tc>
      </w:tr>
      <w:tr>
        <w:tblPrEx>
          <w:tblCellMar>
            <w:top w:w="15" w:type="dxa"/>
            <w:left w:w="15" w:type="dxa"/>
            <w:bottom w:w="15" w:type="dxa"/>
            <w:right w:w="15" w:type="dxa"/>
          </w:tblCellMar>
        </w:tblPrEx>
        <w:trPr>
          <w:wBefore w:w="0" w:type="dxa"/>
          <w:wAfter w:w="0" w:type="dxa"/>
          <w:trHeight w:val="360" w:hRule="atLeast"/>
        </w:trPr>
        <w:tc>
          <w:tcPr>
            <w:tcW w:w="449" w:type="dxa"/>
            <w:tcBorders>
              <w:top w:val="single" w:color="000000" w:sz="4" w:space="0"/>
              <w:left w:val="single" w:color="000000" w:sz="4" w:space="0"/>
              <w:bottom w:val="single" w:color="000000" w:sz="4" w:space="0"/>
            </w:tcBorders>
            <w:noWrap w:val="0"/>
            <w:vAlign w:val="center"/>
          </w:tcPr>
          <w:p>
            <w:pPr>
              <w:widowControl/>
              <w:jc w:val="center"/>
              <w:rPr>
                <w:rFonts w:ascii="宋体" w:hAnsi="宋体" w:cs="宋体"/>
                <w:color w:val="000000"/>
                <w:kern w:val="0"/>
              </w:rPr>
            </w:pPr>
            <w:r>
              <w:rPr>
                <w:rFonts w:hint="eastAsia" w:ascii="宋体" w:hAnsi="宋体" w:cs="宋体"/>
                <w:color w:val="000000"/>
                <w:kern w:val="0"/>
              </w:rPr>
              <w:t>1</w:t>
            </w:r>
          </w:p>
        </w:tc>
        <w:tc>
          <w:tcPr>
            <w:tcW w:w="4575" w:type="dxa"/>
            <w:gridSpan w:val="2"/>
            <w:tcBorders>
              <w:top w:val="single" w:color="auto"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rPr>
            </w:pPr>
          </w:p>
        </w:tc>
        <w:tc>
          <w:tcPr>
            <w:tcW w:w="780" w:type="dxa"/>
            <w:tcBorders>
              <w:top w:val="single" w:color="auto"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30" w:type="dxa"/>
            <w:tcBorders>
              <w:top w:val="single" w:color="auto"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r>
      <w:tr>
        <w:tblPrEx>
          <w:tblCellMar>
            <w:top w:w="15" w:type="dxa"/>
            <w:left w:w="15" w:type="dxa"/>
            <w:bottom w:w="15" w:type="dxa"/>
            <w:right w:w="15" w:type="dxa"/>
          </w:tblCellMar>
        </w:tblPrEx>
        <w:trPr>
          <w:wBefore w:w="0" w:type="dxa"/>
          <w:wAfter w:w="0" w:type="dxa"/>
          <w:trHeight w:val="360" w:hRule="atLeast"/>
        </w:trPr>
        <w:tc>
          <w:tcPr>
            <w:tcW w:w="449" w:type="dxa"/>
            <w:tcBorders>
              <w:top w:val="single" w:color="000000" w:sz="4" w:space="0"/>
              <w:left w:val="single" w:color="000000" w:sz="4" w:space="0"/>
              <w:bottom w:val="single" w:color="000000" w:sz="4" w:space="0"/>
            </w:tcBorders>
            <w:noWrap w:val="0"/>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r>
      <w:tr>
        <w:tblPrEx>
          <w:tblCellMar>
            <w:top w:w="15" w:type="dxa"/>
            <w:left w:w="15" w:type="dxa"/>
            <w:bottom w:w="15" w:type="dxa"/>
            <w:right w:w="15" w:type="dxa"/>
          </w:tblCellMar>
        </w:tblPrEx>
        <w:trPr>
          <w:wBefore w:w="0" w:type="dxa"/>
          <w:wAfter w:w="0" w:type="dxa"/>
          <w:trHeight w:val="360" w:hRule="atLeast"/>
        </w:trPr>
        <w:tc>
          <w:tcPr>
            <w:tcW w:w="449" w:type="dxa"/>
            <w:tcBorders>
              <w:top w:val="single" w:color="000000" w:sz="4" w:space="0"/>
              <w:left w:val="single" w:color="000000" w:sz="4" w:space="0"/>
              <w:bottom w:val="single" w:color="000000" w:sz="4" w:space="0"/>
            </w:tcBorders>
            <w:noWrap w:val="0"/>
            <w:vAlign w:val="center"/>
          </w:tcPr>
          <w:p>
            <w:pPr>
              <w:widowControl/>
              <w:jc w:val="center"/>
              <w:rPr>
                <w:rFonts w:ascii="宋体" w:hAnsi="宋体" w:cs="宋体"/>
                <w:color w:val="000000"/>
                <w:kern w:val="0"/>
              </w:rPr>
            </w:pPr>
            <w:r>
              <w:rPr>
                <w:rFonts w:hint="eastAsia" w:ascii="宋体" w:hAnsi="宋体" w:cs="宋体"/>
                <w:color w:val="000000"/>
                <w:kern w:val="0"/>
              </w:rPr>
              <w:t>3</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r>
      <w:tr>
        <w:tblPrEx>
          <w:tblCellMar>
            <w:top w:w="15" w:type="dxa"/>
            <w:left w:w="15" w:type="dxa"/>
            <w:bottom w:w="15" w:type="dxa"/>
            <w:right w:w="15" w:type="dxa"/>
          </w:tblCellMar>
        </w:tblPrEx>
        <w:trPr>
          <w:wBefore w:w="0" w:type="dxa"/>
          <w:wAfter w:w="0" w:type="dxa"/>
          <w:trHeight w:val="360" w:hRule="atLeast"/>
        </w:trPr>
        <w:tc>
          <w:tcPr>
            <w:tcW w:w="449" w:type="dxa"/>
            <w:tcBorders>
              <w:top w:val="single" w:color="000000" w:sz="4" w:space="0"/>
              <w:left w:val="single" w:color="000000" w:sz="4" w:space="0"/>
              <w:bottom w:val="single" w:color="000000" w:sz="4" w:space="0"/>
            </w:tcBorders>
            <w:noWrap w:val="0"/>
            <w:vAlign w:val="center"/>
          </w:tcPr>
          <w:p>
            <w:pPr>
              <w:widowControl/>
              <w:jc w:val="center"/>
              <w:rPr>
                <w:rFonts w:ascii="宋体" w:hAnsi="宋体" w:cs="宋体"/>
                <w:color w:val="000000"/>
                <w:kern w:val="0"/>
              </w:rPr>
            </w:pPr>
            <w:r>
              <w:rPr>
                <w:rFonts w:hint="eastAsia" w:ascii="宋体" w:hAnsi="宋体" w:cs="宋体"/>
                <w:color w:val="000000"/>
                <w:kern w:val="0"/>
              </w:rPr>
              <w:t>4</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r>
      <w:tr>
        <w:tblPrEx>
          <w:tblCellMar>
            <w:top w:w="15" w:type="dxa"/>
            <w:left w:w="15" w:type="dxa"/>
            <w:bottom w:w="15" w:type="dxa"/>
            <w:right w:w="15" w:type="dxa"/>
          </w:tblCellMar>
        </w:tblPrEx>
        <w:trPr>
          <w:wBefore w:w="0" w:type="dxa"/>
          <w:wAfter w:w="0" w:type="dxa"/>
          <w:trHeight w:val="360" w:hRule="atLeast"/>
        </w:trPr>
        <w:tc>
          <w:tcPr>
            <w:tcW w:w="449" w:type="dxa"/>
            <w:tcBorders>
              <w:top w:val="single" w:color="000000" w:sz="4" w:space="0"/>
              <w:left w:val="single" w:color="000000" w:sz="4" w:space="0"/>
              <w:bottom w:val="single" w:color="000000" w:sz="4" w:space="0"/>
            </w:tcBorders>
            <w:noWrap w:val="0"/>
            <w:vAlign w:val="center"/>
          </w:tcPr>
          <w:p>
            <w:pPr>
              <w:widowControl/>
              <w:jc w:val="center"/>
              <w:rPr>
                <w:rFonts w:ascii="宋体" w:hAnsi="宋体" w:cs="宋体"/>
                <w:color w:val="000000"/>
                <w:kern w:val="0"/>
              </w:rPr>
            </w:pPr>
            <w:r>
              <w:rPr>
                <w:rFonts w:hint="eastAsia" w:ascii="宋体" w:hAnsi="宋体" w:cs="宋体"/>
                <w:color w:val="000000"/>
                <w:kern w:val="0"/>
              </w:rPr>
              <w:t>5</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r>
      <w:tr>
        <w:tblPrEx>
          <w:tblCellMar>
            <w:top w:w="15" w:type="dxa"/>
            <w:left w:w="15" w:type="dxa"/>
            <w:bottom w:w="15" w:type="dxa"/>
            <w:right w:w="15" w:type="dxa"/>
          </w:tblCellMar>
        </w:tblPrEx>
        <w:trPr>
          <w:wBefore w:w="0" w:type="dxa"/>
          <w:wAfter w:w="0" w:type="dxa"/>
          <w:trHeight w:val="360" w:hRule="atLeast"/>
        </w:trPr>
        <w:tc>
          <w:tcPr>
            <w:tcW w:w="449" w:type="dxa"/>
            <w:tcBorders>
              <w:top w:val="single" w:color="000000" w:sz="4" w:space="0"/>
              <w:left w:val="single" w:color="000000" w:sz="4" w:space="0"/>
              <w:bottom w:val="single" w:color="000000" w:sz="4" w:space="0"/>
            </w:tcBorders>
            <w:noWrap w:val="0"/>
            <w:vAlign w:val="center"/>
          </w:tcPr>
          <w:p>
            <w:pPr>
              <w:widowControl/>
              <w:jc w:val="center"/>
              <w:rPr>
                <w:rFonts w:ascii="宋体" w:hAnsi="宋体" w:cs="宋体"/>
                <w:color w:val="000000"/>
                <w:kern w:val="0"/>
              </w:rPr>
            </w:pPr>
            <w:r>
              <w:rPr>
                <w:rFonts w:hint="eastAsia" w:ascii="宋体" w:hAnsi="宋体" w:cs="宋体"/>
                <w:color w:val="000000"/>
                <w:kern w:val="0"/>
              </w:rPr>
              <w:t>6</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r>
      <w:tr>
        <w:tblPrEx>
          <w:tblCellMar>
            <w:top w:w="15" w:type="dxa"/>
            <w:left w:w="15" w:type="dxa"/>
            <w:bottom w:w="15" w:type="dxa"/>
            <w:right w:w="15" w:type="dxa"/>
          </w:tblCellMar>
        </w:tblPrEx>
        <w:trPr>
          <w:wBefore w:w="0" w:type="dxa"/>
          <w:wAfter w:w="0" w:type="dxa"/>
          <w:trHeight w:val="360" w:hRule="atLeast"/>
        </w:trPr>
        <w:tc>
          <w:tcPr>
            <w:tcW w:w="449" w:type="dxa"/>
            <w:tcBorders>
              <w:top w:val="single" w:color="000000" w:sz="4" w:space="0"/>
              <w:left w:val="single" w:color="000000" w:sz="4" w:space="0"/>
              <w:bottom w:val="single" w:color="000000" w:sz="4" w:space="0"/>
            </w:tcBorders>
            <w:noWrap w:val="0"/>
            <w:vAlign w:val="center"/>
          </w:tcPr>
          <w:p>
            <w:pPr>
              <w:widowControl/>
              <w:jc w:val="center"/>
              <w:rPr>
                <w:rFonts w:ascii="宋体" w:hAnsi="宋体" w:cs="宋体"/>
                <w:color w:val="000000"/>
                <w:kern w:val="0"/>
              </w:rPr>
            </w:pPr>
            <w:r>
              <w:rPr>
                <w:rFonts w:hint="eastAsia" w:ascii="宋体" w:hAnsi="宋体" w:cs="宋体"/>
                <w:color w:val="000000"/>
                <w:kern w:val="0"/>
              </w:rPr>
              <w:t>7</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r>
      <w:tr>
        <w:tblPrEx>
          <w:tblCellMar>
            <w:top w:w="15" w:type="dxa"/>
            <w:left w:w="15" w:type="dxa"/>
            <w:bottom w:w="15" w:type="dxa"/>
            <w:right w:w="15" w:type="dxa"/>
          </w:tblCellMar>
        </w:tblPrEx>
        <w:trPr>
          <w:wBefore w:w="0" w:type="dxa"/>
          <w:wAfter w:w="0" w:type="dxa"/>
          <w:trHeight w:val="360" w:hRule="atLeast"/>
        </w:trPr>
        <w:tc>
          <w:tcPr>
            <w:tcW w:w="449" w:type="dxa"/>
            <w:tcBorders>
              <w:top w:val="single" w:color="000000" w:sz="4" w:space="0"/>
              <w:left w:val="single" w:color="000000" w:sz="4" w:space="0"/>
              <w:bottom w:val="single" w:color="000000" w:sz="4" w:space="0"/>
            </w:tcBorders>
            <w:noWrap w:val="0"/>
            <w:vAlign w:val="center"/>
          </w:tcPr>
          <w:p>
            <w:pPr>
              <w:widowControl/>
              <w:jc w:val="center"/>
              <w:rPr>
                <w:rFonts w:ascii="宋体" w:hAnsi="宋体" w:cs="宋体"/>
                <w:color w:val="000000"/>
                <w:kern w:val="0"/>
              </w:rPr>
            </w:pPr>
            <w:r>
              <w:rPr>
                <w:rFonts w:hint="eastAsia" w:ascii="宋体" w:hAnsi="宋体" w:cs="宋体"/>
                <w:color w:val="000000"/>
                <w:kern w:val="0"/>
              </w:rPr>
              <w:t>8</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r>
      <w:tr>
        <w:tblPrEx>
          <w:tblCellMar>
            <w:top w:w="15" w:type="dxa"/>
            <w:left w:w="15" w:type="dxa"/>
            <w:bottom w:w="15" w:type="dxa"/>
            <w:right w:w="15" w:type="dxa"/>
          </w:tblCellMar>
        </w:tblPrEx>
        <w:trPr>
          <w:wBefore w:w="0" w:type="dxa"/>
          <w:wAfter w:w="0" w:type="dxa"/>
          <w:trHeight w:val="360" w:hRule="atLeast"/>
        </w:trPr>
        <w:tc>
          <w:tcPr>
            <w:tcW w:w="449" w:type="dxa"/>
            <w:tcBorders>
              <w:top w:val="single" w:color="000000" w:sz="4" w:space="0"/>
              <w:left w:val="single" w:color="000000" w:sz="4" w:space="0"/>
              <w:bottom w:val="single" w:color="000000" w:sz="4" w:space="0"/>
            </w:tcBorders>
            <w:noWrap w:val="0"/>
            <w:vAlign w:val="center"/>
          </w:tcPr>
          <w:p>
            <w:pPr>
              <w:widowControl/>
              <w:jc w:val="center"/>
              <w:rPr>
                <w:rFonts w:hint="eastAsia" w:ascii="宋体" w:hAnsi="宋体" w:cs="宋体"/>
                <w:color w:val="000000"/>
                <w:kern w:val="0"/>
              </w:rPr>
            </w:pPr>
            <w:r>
              <w:rPr>
                <w:rFonts w:ascii="宋体" w:hAnsi="宋体" w:cs="宋体"/>
                <w:color w:val="000000"/>
                <w:kern w:val="0"/>
              </w:rPr>
              <w:t>-</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eastAsia="Times New Roman"/>
                <w:color w:val="000000"/>
                <w:kern w:val="0"/>
                <w:sz w:val="20"/>
                <w:szCs w:val="20"/>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eastAsia="Times New Roman"/>
                <w:color w:val="000000"/>
                <w:kern w:val="0"/>
                <w:sz w:val="20"/>
                <w:szCs w:val="20"/>
              </w:rPr>
            </w:pPr>
          </w:p>
        </w:tc>
      </w:tr>
      <w:tr>
        <w:tblPrEx>
          <w:tblCellMar>
            <w:top w:w="15" w:type="dxa"/>
            <w:left w:w="15" w:type="dxa"/>
            <w:bottom w:w="15" w:type="dxa"/>
            <w:right w:w="15" w:type="dxa"/>
          </w:tblCellMar>
        </w:tblPrEx>
        <w:trPr>
          <w:wBefore w:w="0" w:type="dxa"/>
          <w:wAfter w:w="0" w:type="dxa"/>
          <w:trHeight w:val="510" w:hRule="atLeast"/>
        </w:trPr>
        <w:tc>
          <w:tcPr>
            <w:tcW w:w="15026" w:type="dxa"/>
            <w:gridSpan w:val="14"/>
            <w:noWrap w:val="0"/>
            <w:vAlign w:val="top"/>
          </w:tcPr>
          <w:p>
            <w:pPr>
              <w:widowControl/>
              <w:jc w:val="left"/>
              <w:rPr>
                <w:color w:val="000000"/>
                <w:kern w:val="0"/>
                <w:sz w:val="24"/>
              </w:rPr>
            </w:pPr>
            <w:r>
              <w:rPr>
                <w:rFonts w:hint="eastAsia" w:ascii="宋体" w:hAnsi="宋体" w:cs="宋体"/>
                <w:color w:val="000000"/>
                <w:kern w:val="0"/>
                <w:sz w:val="24"/>
              </w:rPr>
              <w:t>评标委员会全体成员签名：</w:t>
            </w:r>
            <w:r>
              <w:rPr>
                <w:color w:val="000000"/>
                <w:kern w:val="0"/>
                <w:sz w:val="24"/>
              </w:rPr>
              <w:t xml:space="preserve">                                                                   </w:t>
            </w:r>
            <w:r>
              <w:rPr>
                <w:rFonts w:hint="eastAsia" w:cs="宋体"/>
                <w:color w:val="000000"/>
              </w:rPr>
              <w:t>时间：</w:t>
            </w:r>
            <w:r>
              <w:rPr>
                <w:color w:val="000000"/>
              </w:rPr>
              <w:t xml:space="preserve">      </w:t>
            </w: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r>
              <w:rPr>
                <w:color w:val="000000"/>
                <w:kern w:val="0"/>
                <w:sz w:val="24"/>
              </w:rPr>
              <w:t xml:space="preserve">    </w:t>
            </w:r>
          </w:p>
          <w:p>
            <w:pPr>
              <w:widowControl/>
              <w:jc w:val="left"/>
              <w:rPr>
                <w:color w:val="000000"/>
                <w:kern w:val="0"/>
                <w:sz w:val="24"/>
              </w:rPr>
            </w:pPr>
          </w:p>
          <w:p>
            <w:pPr>
              <w:widowControl/>
              <w:jc w:val="left"/>
              <w:rPr>
                <w:color w:val="000000"/>
                <w:kern w:val="0"/>
                <w:sz w:val="24"/>
              </w:rPr>
            </w:pPr>
          </w:p>
          <w:p>
            <w:pPr>
              <w:widowControl/>
              <w:jc w:val="left"/>
              <w:rPr>
                <w:color w:val="000000"/>
                <w:kern w:val="0"/>
                <w:sz w:val="24"/>
              </w:rPr>
            </w:pPr>
          </w:p>
          <w:p>
            <w:pPr>
              <w:widowControl/>
              <w:jc w:val="left"/>
              <w:rPr>
                <w:color w:val="000000"/>
                <w:kern w:val="0"/>
                <w:sz w:val="24"/>
              </w:rPr>
            </w:pPr>
          </w:p>
          <w:p>
            <w:pPr>
              <w:widowControl/>
              <w:jc w:val="left"/>
              <w:rPr>
                <w:color w:val="000000"/>
                <w:kern w:val="0"/>
                <w:sz w:val="24"/>
              </w:rPr>
            </w:pPr>
          </w:p>
          <w:p>
            <w:pPr>
              <w:widowControl/>
              <w:jc w:val="left"/>
              <w:rPr>
                <w:color w:val="000000"/>
                <w:kern w:val="0"/>
                <w:sz w:val="24"/>
              </w:rPr>
            </w:pPr>
          </w:p>
          <w:p>
            <w:pPr>
              <w:widowControl/>
              <w:jc w:val="left"/>
              <w:rPr>
                <w:rFonts w:ascii="宋体" w:hAnsi="宋体" w:cs="宋体"/>
                <w:color w:val="000000"/>
                <w:kern w:val="0"/>
                <w:sz w:val="24"/>
              </w:rPr>
            </w:pPr>
            <w:r>
              <w:rPr>
                <w:color w:val="000000"/>
                <w:kern w:val="0"/>
                <w:sz w:val="24"/>
              </w:rPr>
              <w:t xml:space="preserve">                                                                     </w:t>
            </w:r>
          </w:p>
        </w:tc>
      </w:tr>
      <w:tr>
        <w:tblPrEx>
          <w:tblCellMar>
            <w:top w:w="15" w:type="dxa"/>
            <w:left w:w="15" w:type="dxa"/>
            <w:bottom w:w="15" w:type="dxa"/>
            <w:right w:w="15" w:type="dxa"/>
          </w:tblCellMar>
        </w:tblPrEx>
        <w:trPr>
          <w:wBefore w:w="0" w:type="dxa"/>
          <w:wAfter w:w="0" w:type="dxa"/>
          <w:trHeight w:val="510" w:hRule="atLeast"/>
        </w:trPr>
        <w:tc>
          <w:tcPr>
            <w:tcW w:w="15026" w:type="dxa"/>
            <w:gridSpan w:val="14"/>
            <w:noWrap w:val="0"/>
            <w:vAlign w:val="top"/>
          </w:tcPr>
          <w:p>
            <w:pPr>
              <w:pStyle w:val="4"/>
              <w:spacing w:line="240" w:lineRule="auto"/>
              <w:outlineLvl w:val="2"/>
              <w:rPr>
                <w:sz w:val="28"/>
                <w:szCs w:val="28"/>
              </w:rPr>
            </w:pPr>
            <w:bookmarkStart w:id="720" w:name="_Toc59203031"/>
            <w:r>
              <w:rPr>
                <w:sz w:val="28"/>
                <w:szCs w:val="28"/>
              </w:rPr>
              <w:t>附表A-6：资格评审记录表</w:t>
            </w:r>
            <w:r>
              <w:rPr>
                <w:rFonts w:hint="eastAsia"/>
                <w:sz w:val="28"/>
                <w:szCs w:val="28"/>
              </w:rPr>
              <w:t>二</w:t>
            </w:r>
            <w:bookmarkEnd w:id="720"/>
          </w:p>
          <w:p>
            <w:pPr>
              <w:jc w:val="center"/>
              <w:rPr>
                <w:rFonts w:hint="eastAsia" w:ascii="宋体" w:hAnsi="宋体"/>
                <w:b/>
                <w:color w:val="000000"/>
                <w:sz w:val="28"/>
                <w:szCs w:val="28"/>
              </w:rPr>
            </w:pPr>
            <w:r>
              <w:rPr>
                <w:rFonts w:ascii="宋体" w:hAnsi="宋体"/>
                <w:b/>
                <w:color w:val="000000"/>
                <w:sz w:val="28"/>
                <w:szCs w:val="28"/>
              </w:rPr>
              <w:t>资格评审记录表</w:t>
            </w:r>
            <w:r>
              <w:rPr>
                <w:rFonts w:hint="eastAsia" w:ascii="宋体" w:hAnsi="宋体"/>
                <w:b/>
                <w:color w:val="000000"/>
                <w:sz w:val="28"/>
                <w:szCs w:val="28"/>
              </w:rPr>
              <w:t>二（合格制）</w:t>
            </w:r>
          </w:p>
          <w:p>
            <w:pPr>
              <w:spacing w:after="72" w:afterLines="30" w:line="360" w:lineRule="exact"/>
              <w:rPr>
                <w:color w:val="000000"/>
              </w:rPr>
            </w:pPr>
            <w:r>
              <w:rPr>
                <w:color w:val="000000"/>
              </w:rPr>
              <w:t>工程名称</w:t>
            </w:r>
            <w:r>
              <w:rPr>
                <w:rFonts w:hint="eastAsia"/>
                <w:color w:val="000000"/>
              </w:rPr>
              <w:t>及项目招标编号</w:t>
            </w:r>
            <w:r>
              <w:rPr>
                <w:color w:val="000000"/>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color w:val="000000"/>
              </w:rPr>
              <w:t xml:space="preserve">        时间：      年      月      日</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2625"/>
              <w:gridCol w:w="992"/>
              <w:gridCol w:w="1417"/>
              <w:gridCol w:w="1134"/>
              <w:gridCol w:w="1276"/>
              <w:gridCol w:w="1134"/>
              <w:gridCol w:w="1134"/>
              <w:gridCol w:w="1418"/>
              <w:gridCol w:w="1134"/>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0" w:hRule="atLeast"/>
              </w:trPr>
              <w:tc>
                <w:tcPr>
                  <w:tcW w:w="744" w:type="dxa"/>
                  <w:noWrap w:val="0"/>
                  <w:vAlign w:val="center"/>
                </w:tcPr>
                <w:p>
                  <w:pPr>
                    <w:spacing w:after="72" w:afterLines="30" w:line="320" w:lineRule="exact"/>
                    <w:jc w:val="center"/>
                    <w:rPr>
                      <w:color w:val="000000"/>
                    </w:rPr>
                  </w:pPr>
                  <w:r>
                    <w:rPr>
                      <w:color w:val="000000"/>
                    </w:rPr>
                    <w:t>序号</w:t>
                  </w:r>
                </w:p>
              </w:tc>
              <w:tc>
                <w:tcPr>
                  <w:tcW w:w="2625" w:type="dxa"/>
                  <w:noWrap w:val="0"/>
                  <w:vAlign w:val="center"/>
                </w:tcPr>
                <w:p>
                  <w:pPr>
                    <w:spacing w:after="72" w:afterLines="30" w:line="320" w:lineRule="exact"/>
                    <w:jc w:val="center"/>
                    <w:rPr>
                      <w:color w:val="000000"/>
                    </w:rPr>
                  </w:pPr>
                  <w:r>
                    <w:rPr>
                      <w:color w:val="000000"/>
                    </w:rPr>
                    <w:t>评审因素</w:t>
                  </w:r>
                </w:p>
              </w:tc>
              <w:tc>
                <w:tcPr>
                  <w:tcW w:w="10806" w:type="dxa"/>
                  <w:gridSpan w:val="9"/>
                  <w:noWrap w:val="0"/>
                  <w:vAlign w:val="top"/>
                </w:tcPr>
                <w:p>
                  <w:pPr>
                    <w:spacing w:after="72" w:afterLines="30" w:line="320" w:lineRule="exact"/>
                    <w:jc w:val="center"/>
                    <w:rPr>
                      <w:color w:val="000000"/>
                    </w:rPr>
                  </w:pPr>
                  <w:r>
                    <w:rPr>
                      <w:color w:val="000000"/>
                    </w:rPr>
                    <w:t>投标人名称及评审意见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0" w:hRule="atLeast"/>
              </w:trPr>
              <w:tc>
                <w:tcPr>
                  <w:tcW w:w="744" w:type="dxa"/>
                  <w:noWrap w:val="0"/>
                  <w:vAlign w:val="center"/>
                </w:tcPr>
                <w:p>
                  <w:pPr>
                    <w:spacing w:after="72" w:afterLines="30" w:line="320" w:lineRule="exact"/>
                    <w:jc w:val="center"/>
                    <w:rPr>
                      <w:rFonts w:hint="eastAsia"/>
                      <w:color w:val="000000"/>
                    </w:rPr>
                  </w:pPr>
                  <w:r>
                    <w:rPr>
                      <w:rFonts w:hint="eastAsia"/>
                      <w:color w:val="000000"/>
                    </w:rPr>
                    <w:t>1</w:t>
                  </w:r>
                </w:p>
              </w:tc>
              <w:tc>
                <w:tcPr>
                  <w:tcW w:w="2625" w:type="dxa"/>
                  <w:noWrap w:val="0"/>
                  <w:vAlign w:val="center"/>
                </w:tcPr>
                <w:p>
                  <w:pPr>
                    <w:spacing w:after="72" w:afterLines="30" w:line="320" w:lineRule="exact"/>
                    <w:jc w:val="center"/>
                    <w:rPr>
                      <w:color w:val="000000"/>
                    </w:rPr>
                  </w:pPr>
                  <w:r>
                    <w:rPr>
                      <w:color w:val="000000"/>
                    </w:rPr>
                    <w:t>投标文件签署</w:t>
                  </w:r>
                </w:p>
              </w:tc>
              <w:tc>
                <w:tcPr>
                  <w:tcW w:w="992" w:type="dxa"/>
                  <w:noWrap w:val="0"/>
                  <w:vAlign w:val="top"/>
                </w:tcPr>
                <w:p>
                  <w:pPr>
                    <w:spacing w:after="72" w:afterLines="30" w:line="320" w:lineRule="exact"/>
                    <w:jc w:val="center"/>
                    <w:rPr>
                      <w:color w:val="000000"/>
                    </w:rPr>
                  </w:pPr>
                </w:p>
              </w:tc>
              <w:tc>
                <w:tcPr>
                  <w:tcW w:w="1417" w:type="dxa"/>
                  <w:noWrap w:val="0"/>
                  <w:vAlign w:val="top"/>
                </w:tcPr>
                <w:p>
                  <w:pPr>
                    <w:spacing w:after="72" w:afterLines="30" w:line="320" w:lineRule="exact"/>
                    <w:jc w:val="center"/>
                    <w:rPr>
                      <w:color w:val="000000"/>
                    </w:rPr>
                  </w:pPr>
                </w:p>
              </w:tc>
              <w:tc>
                <w:tcPr>
                  <w:tcW w:w="1134" w:type="dxa"/>
                  <w:noWrap w:val="0"/>
                  <w:vAlign w:val="top"/>
                </w:tcPr>
                <w:p>
                  <w:pPr>
                    <w:spacing w:after="72" w:afterLines="30" w:line="320" w:lineRule="exact"/>
                    <w:jc w:val="center"/>
                    <w:rPr>
                      <w:color w:val="000000"/>
                    </w:rPr>
                  </w:pPr>
                </w:p>
              </w:tc>
              <w:tc>
                <w:tcPr>
                  <w:tcW w:w="1276" w:type="dxa"/>
                  <w:noWrap w:val="0"/>
                  <w:vAlign w:val="top"/>
                </w:tcPr>
                <w:p>
                  <w:pPr>
                    <w:spacing w:after="72" w:afterLines="30" w:line="320" w:lineRule="exact"/>
                    <w:jc w:val="center"/>
                    <w:rPr>
                      <w:color w:val="000000"/>
                    </w:rPr>
                  </w:pPr>
                </w:p>
              </w:tc>
              <w:tc>
                <w:tcPr>
                  <w:tcW w:w="1134" w:type="dxa"/>
                  <w:noWrap w:val="0"/>
                  <w:vAlign w:val="top"/>
                </w:tcPr>
                <w:p>
                  <w:pPr>
                    <w:spacing w:after="72" w:afterLines="30" w:line="320" w:lineRule="exact"/>
                    <w:jc w:val="center"/>
                    <w:rPr>
                      <w:color w:val="000000"/>
                    </w:rPr>
                  </w:pPr>
                </w:p>
              </w:tc>
              <w:tc>
                <w:tcPr>
                  <w:tcW w:w="1134" w:type="dxa"/>
                  <w:noWrap w:val="0"/>
                  <w:vAlign w:val="top"/>
                </w:tcPr>
                <w:p>
                  <w:pPr>
                    <w:spacing w:after="72" w:afterLines="30" w:line="320" w:lineRule="exact"/>
                    <w:jc w:val="center"/>
                    <w:rPr>
                      <w:color w:val="000000"/>
                    </w:rPr>
                  </w:pPr>
                </w:p>
              </w:tc>
              <w:tc>
                <w:tcPr>
                  <w:tcW w:w="1418" w:type="dxa"/>
                  <w:noWrap w:val="0"/>
                  <w:vAlign w:val="top"/>
                </w:tcPr>
                <w:p>
                  <w:pPr>
                    <w:spacing w:after="72" w:afterLines="30" w:line="320" w:lineRule="exact"/>
                    <w:jc w:val="center"/>
                    <w:rPr>
                      <w:color w:val="000000"/>
                    </w:rPr>
                  </w:pPr>
                </w:p>
              </w:tc>
              <w:tc>
                <w:tcPr>
                  <w:tcW w:w="1134" w:type="dxa"/>
                  <w:noWrap w:val="0"/>
                  <w:vAlign w:val="top"/>
                </w:tcPr>
                <w:p>
                  <w:pPr>
                    <w:spacing w:after="72" w:afterLines="30" w:line="320" w:lineRule="exact"/>
                    <w:jc w:val="center"/>
                    <w:rPr>
                      <w:color w:val="000000"/>
                    </w:rPr>
                  </w:pPr>
                </w:p>
              </w:tc>
              <w:tc>
                <w:tcPr>
                  <w:tcW w:w="1167" w:type="dxa"/>
                  <w:noWrap w:val="0"/>
                  <w:vAlign w:val="top"/>
                </w:tcPr>
                <w:p>
                  <w:pPr>
                    <w:spacing w:after="72" w:afterLines="30" w:line="32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0" w:hRule="atLeast"/>
              </w:trPr>
              <w:tc>
                <w:tcPr>
                  <w:tcW w:w="744" w:type="dxa"/>
                  <w:noWrap w:val="0"/>
                  <w:vAlign w:val="center"/>
                </w:tcPr>
                <w:p>
                  <w:pPr>
                    <w:spacing w:after="72" w:afterLines="30" w:line="320" w:lineRule="exact"/>
                    <w:jc w:val="center"/>
                    <w:rPr>
                      <w:rFonts w:hint="eastAsia"/>
                      <w:color w:val="000000"/>
                    </w:rPr>
                  </w:pPr>
                  <w:r>
                    <w:rPr>
                      <w:rFonts w:hint="eastAsia"/>
                      <w:color w:val="000000"/>
                    </w:rPr>
                    <w:t>2</w:t>
                  </w:r>
                </w:p>
              </w:tc>
              <w:tc>
                <w:tcPr>
                  <w:tcW w:w="2625" w:type="dxa"/>
                  <w:noWrap w:val="0"/>
                  <w:vAlign w:val="center"/>
                </w:tcPr>
                <w:p>
                  <w:pPr>
                    <w:spacing w:line="320" w:lineRule="exact"/>
                    <w:jc w:val="center"/>
                    <w:rPr>
                      <w:color w:val="000000"/>
                      <w:szCs w:val="21"/>
                    </w:rPr>
                  </w:pPr>
                  <w:r>
                    <w:rPr>
                      <w:color w:val="000000"/>
                      <w:szCs w:val="21"/>
                    </w:rPr>
                    <w:t>营业执照</w:t>
                  </w:r>
                </w:p>
              </w:tc>
              <w:tc>
                <w:tcPr>
                  <w:tcW w:w="992" w:type="dxa"/>
                  <w:noWrap w:val="0"/>
                  <w:vAlign w:val="center"/>
                </w:tcPr>
                <w:p>
                  <w:pPr>
                    <w:spacing w:after="72" w:afterLines="30" w:line="320" w:lineRule="exact"/>
                    <w:jc w:val="center"/>
                    <w:rPr>
                      <w:color w:val="000000"/>
                    </w:rPr>
                  </w:pPr>
                </w:p>
              </w:tc>
              <w:tc>
                <w:tcPr>
                  <w:tcW w:w="1417"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276"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418"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67" w:type="dxa"/>
                  <w:noWrap w:val="0"/>
                  <w:vAlign w:val="center"/>
                </w:tcPr>
                <w:p>
                  <w:pPr>
                    <w:spacing w:after="72" w:afterLines="30" w:line="32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0" w:hRule="atLeast"/>
              </w:trPr>
              <w:tc>
                <w:tcPr>
                  <w:tcW w:w="744" w:type="dxa"/>
                  <w:noWrap w:val="0"/>
                  <w:vAlign w:val="center"/>
                </w:tcPr>
                <w:p>
                  <w:pPr>
                    <w:spacing w:after="72" w:afterLines="30" w:line="320" w:lineRule="exact"/>
                    <w:jc w:val="center"/>
                    <w:rPr>
                      <w:rFonts w:hint="eastAsia"/>
                      <w:color w:val="000000"/>
                    </w:rPr>
                  </w:pPr>
                  <w:r>
                    <w:rPr>
                      <w:rFonts w:hint="eastAsia"/>
                      <w:color w:val="000000"/>
                    </w:rPr>
                    <w:t>3</w:t>
                  </w:r>
                </w:p>
              </w:tc>
              <w:tc>
                <w:tcPr>
                  <w:tcW w:w="2625" w:type="dxa"/>
                  <w:noWrap w:val="0"/>
                  <w:vAlign w:val="center"/>
                </w:tcPr>
                <w:p>
                  <w:pPr>
                    <w:spacing w:line="320" w:lineRule="exact"/>
                    <w:jc w:val="center"/>
                    <w:rPr>
                      <w:color w:val="000000"/>
                      <w:szCs w:val="21"/>
                    </w:rPr>
                  </w:pPr>
                  <w:r>
                    <w:rPr>
                      <w:color w:val="000000"/>
                      <w:szCs w:val="21"/>
                    </w:rPr>
                    <w:t>资质等级</w:t>
                  </w:r>
                </w:p>
              </w:tc>
              <w:tc>
                <w:tcPr>
                  <w:tcW w:w="992" w:type="dxa"/>
                  <w:noWrap w:val="0"/>
                  <w:vAlign w:val="center"/>
                </w:tcPr>
                <w:p>
                  <w:pPr>
                    <w:spacing w:after="72" w:afterLines="30" w:line="320" w:lineRule="exact"/>
                    <w:jc w:val="center"/>
                    <w:rPr>
                      <w:color w:val="000000"/>
                    </w:rPr>
                  </w:pPr>
                </w:p>
              </w:tc>
              <w:tc>
                <w:tcPr>
                  <w:tcW w:w="1417"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276"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418"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67" w:type="dxa"/>
                  <w:noWrap w:val="0"/>
                  <w:vAlign w:val="center"/>
                </w:tcPr>
                <w:p>
                  <w:pPr>
                    <w:spacing w:after="72" w:afterLines="30" w:line="32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0" w:hRule="atLeast"/>
              </w:trPr>
              <w:tc>
                <w:tcPr>
                  <w:tcW w:w="744" w:type="dxa"/>
                  <w:noWrap w:val="0"/>
                  <w:vAlign w:val="center"/>
                </w:tcPr>
                <w:p>
                  <w:pPr>
                    <w:spacing w:after="72" w:afterLines="30" w:line="320" w:lineRule="exact"/>
                    <w:jc w:val="center"/>
                    <w:rPr>
                      <w:rFonts w:hint="eastAsia"/>
                      <w:color w:val="000000"/>
                    </w:rPr>
                  </w:pPr>
                  <w:r>
                    <w:rPr>
                      <w:rFonts w:hint="eastAsia"/>
                      <w:color w:val="000000"/>
                    </w:rPr>
                    <w:t>4</w:t>
                  </w:r>
                </w:p>
              </w:tc>
              <w:tc>
                <w:tcPr>
                  <w:tcW w:w="2625" w:type="dxa"/>
                  <w:noWrap w:val="0"/>
                  <w:vAlign w:val="center"/>
                </w:tcPr>
                <w:p>
                  <w:pPr>
                    <w:spacing w:line="320" w:lineRule="exact"/>
                    <w:jc w:val="center"/>
                    <w:rPr>
                      <w:color w:val="000000"/>
                      <w:szCs w:val="21"/>
                    </w:rPr>
                  </w:pPr>
                  <w:r>
                    <w:rPr>
                      <w:rFonts w:hint="eastAsia"/>
                      <w:color w:val="000000"/>
                      <w:szCs w:val="21"/>
                    </w:rPr>
                    <w:t>安全生产许可证</w:t>
                  </w:r>
                </w:p>
              </w:tc>
              <w:tc>
                <w:tcPr>
                  <w:tcW w:w="992" w:type="dxa"/>
                  <w:noWrap w:val="0"/>
                  <w:vAlign w:val="center"/>
                </w:tcPr>
                <w:p>
                  <w:pPr>
                    <w:spacing w:after="72" w:afterLines="30" w:line="320" w:lineRule="exact"/>
                    <w:jc w:val="center"/>
                    <w:rPr>
                      <w:color w:val="000000"/>
                    </w:rPr>
                  </w:pPr>
                </w:p>
              </w:tc>
              <w:tc>
                <w:tcPr>
                  <w:tcW w:w="1417"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276"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418"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67" w:type="dxa"/>
                  <w:noWrap w:val="0"/>
                  <w:vAlign w:val="center"/>
                </w:tcPr>
                <w:p>
                  <w:pPr>
                    <w:spacing w:after="72" w:afterLines="30" w:line="32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0" w:hRule="atLeast"/>
              </w:trPr>
              <w:tc>
                <w:tcPr>
                  <w:tcW w:w="744" w:type="dxa"/>
                  <w:noWrap w:val="0"/>
                  <w:vAlign w:val="center"/>
                </w:tcPr>
                <w:p>
                  <w:pPr>
                    <w:spacing w:after="72" w:afterLines="30" w:line="320" w:lineRule="exact"/>
                    <w:jc w:val="center"/>
                    <w:rPr>
                      <w:rFonts w:hint="eastAsia"/>
                      <w:color w:val="000000"/>
                    </w:rPr>
                  </w:pPr>
                  <w:r>
                    <w:rPr>
                      <w:rFonts w:hint="eastAsia"/>
                      <w:color w:val="000000"/>
                    </w:rPr>
                    <w:t>5</w:t>
                  </w:r>
                </w:p>
              </w:tc>
              <w:tc>
                <w:tcPr>
                  <w:tcW w:w="2625" w:type="dxa"/>
                  <w:noWrap w:val="0"/>
                  <w:vAlign w:val="center"/>
                </w:tcPr>
                <w:p>
                  <w:pPr>
                    <w:spacing w:line="320" w:lineRule="exact"/>
                    <w:jc w:val="center"/>
                    <w:rPr>
                      <w:color w:val="000000"/>
                      <w:szCs w:val="21"/>
                    </w:rPr>
                  </w:pPr>
                  <w:r>
                    <w:rPr>
                      <w:color w:val="000000"/>
                      <w:szCs w:val="21"/>
                    </w:rPr>
                    <w:t>财务</w:t>
                  </w:r>
                  <w:r>
                    <w:rPr>
                      <w:rFonts w:hint="eastAsia"/>
                      <w:color w:val="000000"/>
                      <w:szCs w:val="21"/>
                    </w:rPr>
                    <w:t>要求</w:t>
                  </w:r>
                </w:p>
              </w:tc>
              <w:tc>
                <w:tcPr>
                  <w:tcW w:w="992" w:type="dxa"/>
                  <w:noWrap w:val="0"/>
                  <w:vAlign w:val="center"/>
                </w:tcPr>
                <w:p>
                  <w:pPr>
                    <w:spacing w:after="72" w:afterLines="30" w:line="320" w:lineRule="exact"/>
                    <w:jc w:val="center"/>
                    <w:rPr>
                      <w:color w:val="000000"/>
                    </w:rPr>
                  </w:pPr>
                </w:p>
              </w:tc>
              <w:tc>
                <w:tcPr>
                  <w:tcW w:w="1417"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276"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418"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67" w:type="dxa"/>
                  <w:noWrap w:val="0"/>
                  <w:vAlign w:val="center"/>
                </w:tcPr>
                <w:p>
                  <w:pPr>
                    <w:spacing w:after="72" w:afterLines="30" w:line="32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0" w:hRule="atLeast"/>
              </w:trPr>
              <w:tc>
                <w:tcPr>
                  <w:tcW w:w="744" w:type="dxa"/>
                  <w:noWrap w:val="0"/>
                  <w:vAlign w:val="center"/>
                </w:tcPr>
                <w:p>
                  <w:pPr>
                    <w:spacing w:after="72" w:afterLines="30" w:line="320" w:lineRule="exact"/>
                    <w:jc w:val="center"/>
                    <w:rPr>
                      <w:rFonts w:hint="eastAsia"/>
                      <w:color w:val="000000"/>
                    </w:rPr>
                  </w:pPr>
                  <w:r>
                    <w:rPr>
                      <w:rFonts w:hint="eastAsia"/>
                      <w:color w:val="000000"/>
                    </w:rPr>
                    <w:t>6</w:t>
                  </w:r>
                </w:p>
              </w:tc>
              <w:tc>
                <w:tcPr>
                  <w:tcW w:w="2625" w:type="dxa"/>
                  <w:noWrap w:val="0"/>
                  <w:vAlign w:val="center"/>
                </w:tcPr>
                <w:p>
                  <w:pPr>
                    <w:spacing w:line="320" w:lineRule="exact"/>
                    <w:jc w:val="center"/>
                    <w:rPr>
                      <w:color w:val="000000"/>
                      <w:szCs w:val="21"/>
                    </w:rPr>
                  </w:pPr>
                  <w:r>
                    <w:rPr>
                      <w:color w:val="000000"/>
                      <w:szCs w:val="21"/>
                    </w:rPr>
                    <w:t>信誉</w:t>
                  </w:r>
                  <w:r>
                    <w:rPr>
                      <w:rFonts w:hint="eastAsia"/>
                      <w:color w:val="000000"/>
                      <w:szCs w:val="21"/>
                    </w:rPr>
                    <w:t>要求</w:t>
                  </w:r>
                </w:p>
              </w:tc>
              <w:tc>
                <w:tcPr>
                  <w:tcW w:w="992" w:type="dxa"/>
                  <w:noWrap w:val="0"/>
                  <w:vAlign w:val="center"/>
                </w:tcPr>
                <w:p>
                  <w:pPr>
                    <w:spacing w:after="72" w:afterLines="30" w:line="320" w:lineRule="exact"/>
                    <w:jc w:val="center"/>
                    <w:rPr>
                      <w:color w:val="000000"/>
                    </w:rPr>
                  </w:pPr>
                </w:p>
              </w:tc>
              <w:tc>
                <w:tcPr>
                  <w:tcW w:w="1417"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276"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418"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67" w:type="dxa"/>
                  <w:noWrap w:val="0"/>
                  <w:vAlign w:val="center"/>
                </w:tcPr>
                <w:p>
                  <w:pPr>
                    <w:spacing w:after="72" w:afterLines="30" w:line="32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1" w:hRule="atLeast"/>
              </w:trPr>
              <w:tc>
                <w:tcPr>
                  <w:tcW w:w="744" w:type="dxa"/>
                  <w:noWrap w:val="0"/>
                  <w:vAlign w:val="center"/>
                </w:tcPr>
                <w:p>
                  <w:pPr>
                    <w:spacing w:after="72" w:afterLines="30" w:line="320" w:lineRule="exact"/>
                    <w:jc w:val="center"/>
                    <w:rPr>
                      <w:rFonts w:hint="eastAsia"/>
                      <w:color w:val="000000"/>
                    </w:rPr>
                  </w:pPr>
                  <w:r>
                    <w:rPr>
                      <w:rFonts w:hint="eastAsia"/>
                      <w:color w:val="000000"/>
                    </w:rPr>
                    <w:t>7</w:t>
                  </w:r>
                </w:p>
              </w:tc>
              <w:tc>
                <w:tcPr>
                  <w:tcW w:w="2625" w:type="dxa"/>
                  <w:noWrap w:val="0"/>
                  <w:vAlign w:val="center"/>
                </w:tcPr>
                <w:p>
                  <w:pPr>
                    <w:spacing w:line="320" w:lineRule="exact"/>
                    <w:jc w:val="center"/>
                    <w:rPr>
                      <w:rFonts w:hint="eastAsia"/>
                      <w:color w:val="000000"/>
                      <w:szCs w:val="21"/>
                    </w:rPr>
                  </w:pPr>
                  <w:r>
                    <w:rPr>
                      <w:color w:val="000000"/>
                      <w:szCs w:val="21"/>
                    </w:rPr>
                    <w:t>工程总承包项目经理</w:t>
                  </w:r>
                </w:p>
              </w:tc>
              <w:tc>
                <w:tcPr>
                  <w:tcW w:w="992" w:type="dxa"/>
                  <w:noWrap w:val="0"/>
                  <w:vAlign w:val="center"/>
                </w:tcPr>
                <w:p>
                  <w:pPr>
                    <w:spacing w:after="72" w:afterLines="30" w:line="320" w:lineRule="exact"/>
                    <w:jc w:val="center"/>
                    <w:rPr>
                      <w:color w:val="000000"/>
                    </w:rPr>
                  </w:pPr>
                </w:p>
              </w:tc>
              <w:tc>
                <w:tcPr>
                  <w:tcW w:w="1417"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276"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418"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67" w:type="dxa"/>
                  <w:noWrap w:val="0"/>
                  <w:vAlign w:val="center"/>
                </w:tcPr>
                <w:p>
                  <w:pPr>
                    <w:spacing w:after="72" w:afterLines="30" w:line="32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0" w:hRule="atLeast"/>
              </w:trPr>
              <w:tc>
                <w:tcPr>
                  <w:tcW w:w="744" w:type="dxa"/>
                  <w:noWrap w:val="0"/>
                  <w:vAlign w:val="center"/>
                </w:tcPr>
                <w:p>
                  <w:pPr>
                    <w:spacing w:after="72" w:afterLines="30" w:line="320" w:lineRule="exact"/>
                    <w:jc w:val="center"/>
                    <w:rPr>
                      <w:rFonts w:hint="eastAsia"/>
                      <w:color w:val="000000"/>
                    </w:rPr>
                  </w:pPr>
                  <w:r>
                    <w:rPr>
                      <w:rFonts w:hint="eastAsia"/>
                      <w:color w:val="000000"/>
                    </w:rPr>
                    <w:t>8</w:t>
                  </w:r>
                </w:p>
              </w:tc>
              <w:tc>
                <w:tcPr>
                  <w:tcW w:w="2625" w:type="dxa"/>
                  <w:noWrap w:val="0"/>
                  <w:vAlign w:val="center"/>
                </w:tcPr>
                <w:p>
                  <w:pPr>
                    <w:spacing w:line="320" w:lineRule="exact"/>
                    <w:jc w:val="center"/>
                    <w:rPr>
                      <w:color w:val="000000"/>
                      <w:szCs w:val="21"/>
                    </w:rPr>
                  </w:pPr>
                  <w:r>
                    <w:rPr>
                      <w:rFonts w:hint="eastAsia"/>
                      <w:color w:val="000000"/>
                      <w:szCs w:val="21"/>
                    </w:rPr>
                    <w:t>项目设计负责人</w:t>
                  </w:r>
                </w:p>
              </w:tc>
              <w:tc>
                <w:tcPr>
                  <w:tcW w:w="992" w:type="dxa"/>
                  <w:noWrap w:val="0"/>
                  <w:vAlign w:val="center"/>
                </w:tcPr>
                <w:p>
                  <w:pPr>
                    <w:spacing w:after="72" w:afterLines="30" w:line="320" w:lineRule="exact"/>
                    <w:jc w:val="center"/>
                    <w:rPr>
                      <w:color w:val="000000"/>
                    </w:rPr>
                  </w:pPr>
                </w:p>
              </w:tc>
              <w:tc>
                <w:tcPr>
                  <w:tcW w:w="1417"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276"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418"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67" w:type="dxa"/>
                  <w:noWrap w:val="0"/>
                  <w:vAlign w:val="center"/>
                </w:tcPr>
                <w:p>
                  <w:pPr>
                    <w:spacing w:after="72" w:afterLines="30" w:line="32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0" w:hRule="atLeast"/>
              </w:trPr>
              <w:tc>
                <w:tcPr>
                  <w:tcW w:w="744" w:type="dxa"/>
                  <w:noWrap w:val="0"/>
                  <w:vAlign w:val="center"/>
                </w:tcPr>
                <w:p>
                  <w:pPr>
                    <w:spacing w:after="72" w:afterLines="30" w:line="320" w:lineRule="exact"/>
                    <w:jc w:val="center"/>
                    <w:rPr>
                      <w:rFonts w:hint="eastAsia"/>
                      <w:color w:val="000000"/>
                    </w:rPr>
                  </w:pPr>
                  <w:r>
                    <w:rPr>
                      <w:color w:val="000000"/>
                    </w:rPr>
                    <w:t>9</w:t>
                  </w:r>
                </w:p>
              </w:tc>
              <w:tc>
                <w:tcPr>
                  <w:tcW w:w="2625" w:type="dxa"/>
                  <w:noWrap w:val="0"/>
                  <w:vAlign w:val="center"/>
                </w:tcPr>
                <w:p>
                  <w:pPr>
                    <w:spacing w:line="320" w:lineRule="exact"/>
                    <w:jc w:val="center"/>
                    <w:rPr>
                      <w:rFonts w:hint="eastAsia"/>
                      <w:color w:val="000000"/>
                      <w:szCs w:val="21"/>
                    </w:rPr>
                  </w:pPr>
                  <w:r>
                    <w:rPr>
                      <w:rFonts w:hint="eastAsia"/>
                      <w:color w:val="000000"/>
                      <w:szCs w:val="21"/>
                    </w:rPr>
                    <w:t>施工项目经理</w:t>
                  </w:r>
                </w:p>
              </w:tc>
              <w:tc>
                <w:tcPr>
                  <w:tcW w:w="992" w:type="dxa"/>
                  <w:noWrap w:val="0"/>
                  <w:vAlign w:val="center"/>
                </w:tcPr>
                <w:p>
                  <w:pPr>
                    <w:spacing w:after="72" w:afterLines="30" w:line="320" w:lineRule="exact"/>
                    <w:jc w:val="center"/>
                    <w:rPr>
                      <w:color w:val="000000"/>
                    </w:rPr>
                  </w:pPr>
                </w:p>
              </w:tc>
              <w:tc>
                <w:tcPr>
                  <w:tcW w:w="1417"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276"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418"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67" w:type="dxa"/>
                  <w:noWrap w:val="0"/>
                  <w:vAlign w:val="center"/>
                </w:tcPr>
                <w:p>
                  <w:pPr>
                    <w:spacing w:after="72" w:afterLines="30" w:line="32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0" w:hRule="atLeast"/>
              </w:trPr>
              <w:tc>
                <w:tcPr>
                  <w:tcW w:w="744" w:type="dxa"/>
                  <w:noWrap w:val="0"/>
                  <w:vAlign w:val="center"/>
                </w:tcPr>
                <w:p>
                  <w:pPr>
                    <w:spacing w:after="72" w:afterLines="30" w:line="320" w:lineRule="exact"/>
                    <w:jc w:val="center"/>
                    <w:rPr>
                      <w:rFonts w:hint="eastAsia"/>
                      <w:color w:val="000000"/>
                    </w:rPr>
                  </w:pPr>
                  <w:r>
                    <w:rPr>
                      <w:rFonts w:hint="eastAsia"/>
                      <w:color w:val="000000"/>
                    </w:rPr>
                    <w:t>1</w:t>
                  </w:r>
                  <w:r>
                    <w:rPr>
                      <w:color w:val="000000"/>
                    </w:rPr>
                    <w:t>0</w:t>
                  </w:r>
                </w:p>
              </w:tc>
              <w:tc>
                <w:tcPr>
                  <w:tcW w:w="2625" w:type="dxa"/>
                  <w:noWrap w:val="0"/>
                  <w:vAlign w:val="center"/>
                </w:tcPr>
                <w:p>
                  <w:pPr>
                    <w:spacing w:line="320" w:lineRule="exact"/>
                    <w:jc w:val="center"/>
                    <w:rPr>
                      <w:rFonts w:hint="eastAsia"/>
                      <w:color w:val="000000"/>
                    </w:rPr>
                  </w:pPr>
                  <w:r>
                    <w:rPr>
                      <w:rFonts w:hint="eastAsia"/>
                      <w:color w:val="000000"/>
                    </w:rPr>
                    <w:t>项目现场施工</w:t>
                  </w:r>
                  <w:r>
                    <w:rPr>
                      <w:color w:val="000000"/>
                    </w:rPr>
                    <w:t>专职安全生产管理人员</w:t>
                  </w:r>
                </w:p>
              </w:tc>
              <w:tc>
                <w:tcPr>
                  <w:tcW w:w="992" w:type="dxa"/>
                  <w:noWrap w:val="0"/>
                  <w:vAlign w:val="center"/>
                </w:tcPr>
                <w:p>
                  <w:pPr>
                    <w:spacing w:after="72" w:afterLines="30" w:line="320" w:lineRule="exact"/>
                    <w:jc w:val="center"/>
                    <w:rPr>
                      <w:color w:val="000000"/>
                    </w:rPr>
                  </w:pPr>
                </w:p>
              </w:tc>
              <w:tc>
                <w:tcPr>
                  <w:tcW w:w="1417"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276"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418"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67" w:type="dxa"/>
                  <w:noWrap w:val="0"/>
                  <w:vAlign w:val="center"/>
                </w:tcPr>
                <w:p>
                  <w:pPr>
                    <w:spacing w:after="72" w:afterLines="30" w:line="32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0" w:hRule="atLeast"/>
              </w:trPr>
              <w:tc>
                <w:tcPr>
                  <w:tcW w:w="744" w:type="dxa"/>
                  <w:noWrap w:val="0"/>
                  <w:vAlign w:val="center"/>
                </w:tcPr>
                <w:p>
                  <w:pPr>
                    <w:spacing w:after="72" w:afterLines="30" w:line="320" w:lineRule="exact"/>
                    <w:jc w:val="center"/>
                    <w:rPr>
                      <w:color w:val="000000"/>
                    </w:rPr>
                  </w:pPr>
                  <w:r>
                    <w:rPr>
                      <w:rFonts w:hint="eastAsia"/>
                      <w:color w:val="000000"/>
                    </w:rPr>
                    <w:t>1</w:t>
                  </w:r>
                  <w:r>
                    <w:rPr>
                      <w:color w:val="000000"/>
                    </w:rPr>
                    <w:t>1</w:t>
                  </w:r>
                </w:p>
              </w:tc>
              <w:tc>
                <w:tcPr>
                  <w:tcW w:w="2625" w:type="dxa"/>
                  <w:noWrap w:val="0"/>
                  <w:vAlign w:val="center"/>
                </w:tcPr>
                <w:p>
                  <w:pPr>
                    <w:spacing w:line="320" w:lineRule="exact"/>
                    <w:jc w:val="center"/>
                    <w:rPr>
                      <w:rFonts w:hint="eastAsia"/>
                      <w:color w:val="000000"/>
                      <w:szCs w:val="21"/>
                    </w:rPr>
                  </w:pPr>
                  <w:r>
                    <w:rPr>
                      <w:color w:val="000000"/>
                      <w:szCs w:val="21"/>
                    </w:rPr>
                    <w:t>联合体投标人</w:t>
                  </w:r>
                  <w:r>
                    <w:rPr>
                      <w:rFonts w:hint="eastAsia"/>
                      <w:color w:val="000000"/>
                      <w:szCs w:val="21"/>
                    </w:rPr>
                    <w:t>（如有）</w:t>
                  </w:r>
                </w:p>
              </w:tc>
              <w:tc>
                <w:tcPr>
                  <w:tcW w:w="992" w:type="dxa"/>
                  <w:noWrap w:val="0"/>
                  <w:vAlign w:val="center"/>
                </w:tcPr>
                <w:p>
                  <w:pPr>
                    <w:spacing w:after="72" w:afterLines="30" w:line="320" w:lineRule="exact"/>
                    <w:jc w:val="center"/>
                    <w:rPr>
                      <w:color w:val="000000"/>
                    </w:rPr>
                  </w:pPr>
                </w:p>
              </w:tc>
              <w:tc>
                <w:tcPr>
                  <w:tcW w:w="1417"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276"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418"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67" w:type="dxa"/>
                  <w:noWrap w:val="0"/>
                  <w:vAlign w:val="center"/>
                </w:tcPr>
                <w:p>
                  <w:pPr>
                    <w:spacing w:after="72" w:afterLines="30" w:line="32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0" w:hRule="atLeast"/>
              </w:trPr>
              <w:tc>
                <w:tcPr>
                  <w:tcW w:w="744" w:type="dxa"/>
                  <w:noWrap w:val="0"/>
                  <w:vAlign w:val="center"/>
                </w:tcPr>
                <w:p>
                  <w:pPr>
                    <w:spacing w:after="72" w:afterLines="30" w:line="320" w:lineRule="exact"/>
                    <w:jc w:val="center"/>
                    <w:rPr>
                      <w:color w:val="000000"/>
                    </w:rPr>
                  </w:pPr>
                  <w:r>
                    <w:rPr>
                      <w:rFonts w:hint="eastAsia"/>
                      <w:color w:val="000000"/>
                    </w:rPr>
                    <w:t>1</w:t>
                  </w:r>
                  <w:r>
                    <w:rPr>
                      <w:color w:val="000000"/>
                    </w:rPr>
                    <w:t>2</w:t>
                  </w:r>
                </w:p>
              </w:tc>
              <w:tc>
                <w:tcPr>
                  <w:tcW w:w="2625" w:type="dxa"/>
                  <w:noWrap w:val="0"/>
                  <w:vAlign w:val="center"/>
                </w:tcPr>
                <w:p>
                  <w:pPr>
                    <w:spacing w:line="320" w:lineRule="exact"/>
                    <w:jc w:val="center"/>
                    <w:rPr>
                      <w:rFonts w:hint="eastAsia"/>
                      <w:color w:val="000000"/>
                      <w:szCs w:val="21"/>
                    </w:rPr>
                  </w:pPr>
                  <w:r>
                    <w:rPr>
                      <w:rFonts w:hint="eastAsia"/>
                      <w:color w:val="000000"/>
                      <w:szCs w:val="21"/>
                    </w:rPr>
                    <w:t>投标保证金</w:t>
                  </w:r>
                </w:p>
              </w:tc>
              <w:tc>
                <w:tcPr>
                  <w:tcW w:w="992" w:type="dxa"/>
                  <w:noWrap w:val="0"/>
                  <w:vAlign w:val="center"/>
                </w:tcPr>
                <w:p>
                  <w:pPr>
                    <w:spacing w:after="72" w:afterLines="30" w:line="320" w:lineRule="exact"/>
                    <w:jc w:val="center"/>
                    <w:rPr>
                      <w:color w:val="000000"/>
                    </w:rPr>
                  </w:pPr>
                </w:p>
              </w:tc>
              <w:tc>
                <w:tcPr>
                  <w:tcW w:w="1417"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276"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418"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67" w:type="dxa"/>
                  <w:noWrap w:val="0"/>
                  <w:vAlign w:val="center"/>
                </w:tcPr>
                <w:p>
                  <w:pPr>
                    <w:spacing w:after="72" w:afterLines="30" w:line="32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0" w:hRule="atLeast"/>
              </w:trPr>
              <w:tc>
                <w:tcPr>
                  <w:tcW w:w="744" w:type="dxa"/>
                  <w:noWrap w:val="0"/>
                  <w:vAlign w:val="center"/>
                </w:tcPr>
                <w:p>
                  <w:pPr>
                    <w:spacing w:after="72" w:afterLines="30" w:line="320" w:lineRule="exact"/>
                    <w:jc w:val="center"/>
                    <w:rPr>
                      <w:color w:val="000000"/>
                    </w:rPr>
                  </w:pPr>
                  <w:r>
                    <w:rPr>
                      <w:rFonts w:hint="eastAsia"/>
                      <w:color w:val="000000"/>
                    </w:rPr>
                    <w:t>1</w:t>
                  </w:r>
                  <w:r>
                    <w:rPr>
                      <w:color w:val="000000"/>
                    </w:rPr>
                    <w:t>3</w:t>
                  </w:r>
                </w:p>
              </w:tc>
              <w:tc>
                <w:tcPr>
                  <w:tcW w:w="2625" w:type="dxa"/>
                  <w:noWrap w:val="0"/>
                  <w:vAlign w:val="center"/>
                </w:tcPr>
                <w:p>
                  <w:pPr>
                    <w:spacing w:line="320" w:lineRule="exact"/>
                    <w:jc w:val="center"/>
                    <w:rPr>
                      <w:rFonts w:hint="eastAsia"/>
                      <w:color w:val="000000"/>
                      <w:szCs w:val="21"/>
                    </w:rPr>
                  </w:pPr>
                  <w:r>
                    <w:rPr>
                      <w:rFonts w:hint="eastAsia"/>
                      <w:color w:val="000000"/>
                      <w:szCs w:val="21"/>
                    </w:rPr>
                    <w:t>其他要求</w:t>
                  </w:r>
                </w:p>
              </w:tc>
              <w:tc>
                <w:tcPr>
                  <w:tcW w:w="992" w:type="dxa"/>
                  <w:noWrap w:val="0"/>
                  <w:vAlign w:val="center"/>
                </w:tcPr>
                <w:p>
                  <w:pPr>
                    <w:spacing w:after="72" w:afterLines="30" w:line="320" w:lineRule="exact"/>
                    <w:jc w:val="center"/>
                    <w:rPr>
                      <w:color w:val="000000"/>
                    </w:rPr>
                  </w:pPr>
                </w:p>
              </w:tc>
              <w:tc>
                <w:tcPr>
                  <w:tcW w:w="1417"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276"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418"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67" w:type="dxa"/>
                  <w:noWrap w:val="0"/>
                  <w:vAlign w:val="center"/>
                </w:tcPr>
                <w:p>
                  <w:pPr>
                    <w:spacing w:after="72" w:afterLines="30" w:line="32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0" w:hRule="atLeast"/>
              </w:trPr>
              <w:tc>
                <w:tcPr>
                  <w:tcW w:w="3369" w:type="dxa"/>
                  <w:gridSpan w:val="2"/>
                  <w:noWrap w:val="0"/>
                  <w:vAlign w:val="top"/>
                </w:tcPr>
                <w:p>
                  <w:pPr>
                    <w:spacing w:after="72" w:afterLines="30" w:line="320" w:lineRule="exact"/>
                    <w:jc w:val="center"/>
                    <w:rPr>
                      <w:color w:val="000000"/>
                      <w:szCs w:val="21"/>
                    </w:rPr>
                  </w:pPr>
                  <w:r>
                    <w:rPr>
                      <w:color w:val="000000"/>
                      <w:szCs w:val="21"/>
                    </w:rPr>
                    <w:t>是否通过评审</w:t>
                  </w:r>
                </w:p>
              </w:tc>
              <w:tc>
                <w:tcPr>
                  <w:tcW w:w="992" w:type="dxa"/>
                  <w:noWrap w:val="0"/>
                  <w:vAlign w:val="center"/>
                </w:tcPr>
                <w:p>
                  <w:pPr>
                    <w:spacing w:after="72" w:afterLines="30" w:line="320" w:lineRule="exact"/>
                    <w:jc w:val="center"/>
                    <w:rPr>
                      <w:color w:val="000000"/>
                    </w:rPr>
                  </w:pPr>
                </w:p>
              </w:tc>
              <w:tc>
                <w:tcPr>
                  <w:tcW w:w="1417"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276"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418" w:type="dxa"/>
                  <w:noWrap w:val="0"/>
                  <w:vAlign w:val="center"/>
                </w:tcPr>
                <w:p>
                  <w:pPr>
                    <w:spacing w:after="72" w:afterLines="30" w:line="320" w:lineRule="exact"/>
                    <w:jc w:val="center"/>
                    <w:rPr>
                      <w:color w:val="000000"/>
                    </w:rPr>
                  </w:pPr>
                </w:p>
              </w:tc>
              <w:tc>
                <w:tcPr>
                  <w:tcW w:w="1134" w:type="dxa"/>
                  <w:noWrap w:val="0"/>
                  <w:vAlign w:val="center"/>
                </w:tcPr>
                <w:p>
                  <w:pPr>
                    <w:spacing w:after="72" w:afterLines="30" w:line="320" w:lineRule="exact"/>
                    <w:jc w:val="center"/>
                    <w:rPr>
                      <w:color w:val="000000"/>
                    </w:rPr>
                  </w:pPr>
                </w:p>
              </w:tc>
              <w:tc>
                <w:tcPr>
                  <w:tcW w:w="1167" w:type="dxa"/>
                  <w:noWrap w:val="0"/>
                  <w:vAlign w:val="center"/>
                </w:tcPr>
                <w:p>
                  <w:pPr>
                    <w:spacing w:after="72" w:afterLines="30" w:line="320" w:lineRule="exact"/>
                    <w:jc w:val="center"/>
                    <w:rPr>
                      <w:color w:val="000000"/>
                    </w:rPr>
                  </w:pPr>
                </w:p>
              </w:tc>
            </w:tr>
          </w:tbl>
          <w:p>
            <w:pPr>
              <w:spacing w:line="240" w:lineRule="exact"/>
              <w:rPr>
                <w:rFonts w:eastAsia="楷体_GB2312"/>
                <w:color w:val="000000"/>
              </w:rPr>
            </w:pPr>
            <w:r>
              <w:rPr>
                <w:rFonts w:eastAsia="楷体_GB2312"/>
                <w:color w:val="000000"/>
                <w:szCs w:val="21"/>
              </w:rPr>
              <w:t>【</w:t>
            </w:r>
            <w:r>
              <w:rPr>
                <w:rFonts w:eastAsia="楷体_GB2312"/>
                <w:color w:val="000000"/>
              </w:rPr>
              <w:t>备注：根据评分办法的资格</w:t>
            </w:r>
            <w:r>
              <w:rPr>
                <w:rFonts w:hint="eastAsia" w:eastAsia="楷体_GB2312"/>
                <w:color w:val="000000"/>
              </w:rPr>
              <w:t>评审</w:t>
            </w:r>
            <w:r>
              <w:rPr>
                <w:rFonts w:eastAsia="楷体_GB2312"/>
                <w:color w:val="000000"/>
              </w:rPr>
              <w:t>标准调整本表</w:t>
            </w:r>
            <w:r>
              <w:rPr>
                <w:rFonts w:eastAsia="楷体_GB2312"/>
                <w:color w:val="000000"/>
                <w:szCs w:val="21"/>
              </w:rPr>
              <w:t>】</w:t>
            </w:r>
          </w:p>
          <w:p>
            <w:pPr>
              <w:spacing w:line="240" w:lineRule="exact"/>
              <w:rPr>
                <w:color w:val="000000"/>
              </w:rPr>
            </w:pPr>
            <w:r>
              <w:rPr>
                <w:rFonts w:hint="eastAsia"/>
                <w:color w:val="000000"/>
              </w:rPr>
              <w:t>评标委员会全体成员</w:t>
            </w:r>
            <w:r>
              <w:rPr>
                <w:color w:val="000000"/>
              </w:rPr>
              <w:t>签名：                                                                        日期：        年     月     日</w:t>
            </w:r>
          </w:p>
          <w:p>
            <w:pPr>
              <w:widowControl/>
              <w:jc w:val="left"/>
              <w:rPr>
                <w:rFonts w:hint="eastAsia" w:ascii="宋体" w:hAnsi="宋体" w:cs="宋体"/>
                <w:color w:val="000000"/>
                <w:kern w:val="0"/>
                <w:sz w:val="24"/>
              </w:rPr>
            </w:pPr>
          </w:p>
        </w:tc>
      </w:tr>
    </w:tbl>
    <w:p>
      <w:pPr>
        <w:spacing w:line="240" w:lineRule="exact"/>
        <w:rPr>
          <w:rFonts w:hint="eastAsia"/>
          <w:color w:val="000000"/>
        </w:rPr>
        <w:sectPr>
          <w:type w:val="continuous"/>
          <w:pgSz w:w="16840" w:h="11907" w:orient="landscape"/>
          <w:pgMar w:top="1440" w:right="1440" w:bottom="1091" w:left="1797" w:header="851" w:footer="851" w:gutter="0"/>
          <w:cols w:space="720" w:num="1"/>
          <w:docGrid w:linePitch="312" w:charSpace="0"/>
        </w:sectPr>
      </w:pPr>
    </w:p>
    <w:p>
      <w:pPr>
        <w:pStyle w:val="4"/>
        <w:spacing w:line="240" w:lineRule="auto"/>
        <w:rPr>
          <w:rFonts w:ascii="宋体" w:hAnsi="宋体"/>
          <w:b w:val="0"/>
          <w:color w:val="000000"/>
          <w:sz w:val="28"/>
          <w:szCs w:val="28"/>
        </w:rPr>
      </w:pPr>
      <w:r>
        <w:rPr>
          <w:b w:val="0"/>
          <w:color w:val="000000"/>
        </w:rPr>
        <w:br w:type="page"/>
      </w:r>
      <w:bookmarkStart w:id="721" w:name="_Toc59203032"/>
      <w:r>
        <w:rPr>
          <w:sz w:val="28"/>
          <w:szCs w:val="28"/>
        </w:rPr>
        <w:t>附表A-6：资格评审记录表</w:t>
      </w:r>
      <w:r>
        <w:rPr>
          <w:rFonts w:hint="eastAsia"/>
          <w:sz w:val="28"/>
          <w:szCs w:val="28"/>
        </w:rPr>
        <w:t>二</w:t>
      </w:r>
      <w:bookmarkEnd w:id="721"/>
    </w:p>
    <w:p>
      <w:pPr>
        <w:jc w:val="center"/>
        <w:rPr>
          <w:color w:val="000000"/>
        </w:rPr>
      </w:pPr>
      <w:r>
        <w:rPr>
          <w:rFonts w:ascii="宋体" w:hAnsi="宋体"/>
          <w:b/>
          <w:color w:val="000000"/>
          <w:sz w:val="28"/>
          <w:szCs w:val="28"/>
        </w:rPr>
        <w:t>资格评审记录表</w:t>
      </w:r>
      <w:r>
        <w:rPr>
          <w:rFonts w:hint="eastAsia" w:ascii="宋体" w:hAnsi="宋体"/>
          <w:b/>
          <w:color w:val="000000"/>
          <w:sz w:val="28"/>
          <w:szCs w:val="28"/>
        </w:rPr>
        <w:t>二</w:t>
      </w:r>
      <w:r>
        <w:rPr>
          <w:rFonts w:ascii="宋体" w:hAnsi="宋体"/>
          <w:b/>
          <w:color w:val="000000"/>
          <w:sz w:val="28"/>
          <w:szCs w:val="28"/>
        </w:rPr>
        <w:t>（有限数量制）</w:t>
      </w:r>
    </w:p>
    <w:p>
      <w:pPr>
        <w:spacing w:after="72" w:afterLines="30" w:line="440" w:lineRule="exact"/>
        <w:rPr>
          <w:color w:val="000000"/>
        </w:rPr>
      </w:pPr>
      <w:r>
        <w:rPr>
          <w:color w:val="000000"/>
        </w:rPr>
        <w:t>工程名称</w:t>
      </w:r>
      <w:r>
        <w:rPr>
          <w:rFonts w:hint="eastAsia"/>
          <w:color w:val="000000"/>
        </w:rPr>
        <w:t>及项目招标编号</w:t>
      </w:r>
      <w:r>
        <w:rPr>
          <w:color w:val="000000"/>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color w:val="000000"/>
        </w:rPr>
        <w:t xml:space="preserve">           时间：      年      月      日</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3360"/>
        <w:gridCol w:w="1113"/>
        <w:gridCol w:w="1134"/>
        <w:gridCol w:w="1276"/>
        <w:gridCol w:w="851"/>
        <w:gridCol w:w="1134"/>
        <w:gridCol w:w="1134"/>
        <w:gridCol w:w="1143"/>
        <w:gridCol w:w="1125"/>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1" w:hRule="atLeast"/>
        </w:trPr>
        <w:tc>
          <w:tcPr>
            <w:tcW w:w="738" w:type="dxa"/>
            <w:noWrap w:val="0"/>
            <w:vAlign w:val="center"/>
          </w:tcPr>
          <w:p>
            <w:pPr>
              <w:spacing w:line="440" w:lineRule="atLeast"/>
              <w:jc w:val="center"/>
              <w:rPr>
                <w:color w:val="000000"/>
              </w:rPr>
            </w:pPr>
            <w:r>
              <w:rPr>
                <w:color w:val="000000"/>
              </w:rPr>
              <w:t>序号</w:t>
            </w:r>
          </w:p>
        </w:tc>
        <w:tc>
          <w:tcPr>
            <w:tcW w:w="3360" w:type="dxa"/>
            <w:noWrap w:val="0"/>
            <w:vAlign w:val="center"/>
          </w:tcPr>
          <w:p>
            <w:pPr>
              <w:spacing w:line="440" w:lineRule="atLeast"/>
              <w:jc w:val="center"/>
              <w:rPr>
                <w:color w:val="000000"/>
              </w:rPr>
            </w:pPr>
            <w:r>
              <w:rPr>
                <w:color w:val="000000"/>
              </w:rPr>
              <w:t>评审因素</w:t>
            </w:r>
          </w:p>
        </w:tc>
        <w:tc>
          <w:tcPr>
            <w:tcW w:w="9950" w:type="dxa"/>
            <w:gridSpan w:val="9"/>
            <w:noWrap w:val="0"/>
            <w:vAlign w:val="center"/>
          </w:tcPr>
          <w:p>
            <w:pPr>
              <w:spacing w:line="440" w:lineRule="atLeast"/>
              <w:jc w:val="center"/>
              <w:rPr>
                <w:color w:val="000000"/>
              </w:rPr>
            </w:pPr>
            <w:r>
              <w:rPr>
                <w:color w:val="000000"/>
              </w:rPr>
              <w:t>投标人名称及评审意见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42" w:hRule="atLeast"/>
        </w:trPr>
        <w:tc>
          <w:tcPr>
            <w:tcW w:w="738" w:type="dxa"/>
            <w:noWrap w:val="0"/>
            <w:vAlign w:val="center"/>
          </w:tcPr>
          <w:p>
            <w:pPr>
              <w:spacing w:after="72" w:afterLines="30" w:line="320" w:lineRule="exact"/>
              <w:jc w:val="center"/>
              <w:rPr>
                <w:rFonts w:hint="eastAsia"/>
                <w:color w:val="000000"/>
              </w:rPr>
            </w:pPr>
            <w:r>
              <w:rPr>
                <w:rFonts w:hint="eastAsia"/>
                <w:color w:val="000000"/>
              </w:rPr>
              <w:t>1</w:t>
            </w:r>
          </w:p>
        </w:tc>
        <w:tc>
          <w:tcPr>
            <w:tcW w:w="3360" w:type="dxa"/>
            <w:noWrap w:val="0"/>
            <w:vAlign w:val="top"/>
          </w:tcPr>
          <w:p>
            <w:pPr>
              <w:spacing w:line="276" w:lineRule="auto"/>
              <w:jc w:val="left"/>
              <w:rPr>
                <w:color w:val="000000"/>
                <w:u w:val="single"/>
              </w:rPr>
            </w:pPr>
            <w:r>
              <w:rPr>
                <w:color w:val="000000"/>
                <w:szCs w:val="21"/>
              </w:rPr>
              <w:t>（一）企业情况</w:t>
            </w:r>
          </w:p>
        </w:tc>
        <w:tc>
          <w:tcPr>
            <w:tcW w:w="1113"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276" w:type="dxa"/>
            <w:noWrap w:val="0"/>
            <w:vAlign w:val="center"/>
          </w:tcPr>
          <w:p>
            <w:pPr>
              <w:spacing w:line="380" w:lineRule="atLeast"/>
              <w:jc w:val="center"/>
              <w:rPr>
                <w:color w:val="000000"/>
                <w:u w:val="single"/>
              </w:rPr>
            </w:pPr>
          </w:p>
        </w:tc>
        <w:tc>
          <w:tcPr>
            <w:tcW w:w="851"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143" w:type="dxa"/>
            <w:noWrap w:val="0"/>
            <w:vAlign w:val="center"/>
          </w:tcPr>
          <w:p>
            <w:pPr>
              <w:spacing w:line="380" w:lineRule="atLeast"/>
              <w:jc w:val="center"/>
              <w:rPr>
                <w:color w:val="000000"/>
                <w:u w:val="single"/>
              </w:rPr>
            </w:pPr>
          </w:p>
        </w:tc>
        <w:tc>
          <w:tcPr>
            <w:tcW w:w="1125" w:type="dxa"/>
            <w:noWrap w:val="0"/>
            <w:vAlign w:val="center"/>
          </w:tcPr>
          <w:p>
            <w:pPr>
              <w:spacing w:line="380" w:lineRule="atLeast"/>
              <w:jc w:val="center"/>
              <w:rPr>
                <w:color w:val="000000"/>
                <w:u w:val="single"/>
              </w:rPr>
            </w:pPr>
          </w:p>
        </w:tc>
        <w:tc>
          <w:tcPr>
            <w:tcW w:w="1040" w:type="dxa"/>
            <w:noWrap w:val="0"/>
            <w:vAlign w:val="center"/>
          </w:tcPr>
          <w:p>
            <w:pPr>
              <w:spacing w:line="380" w:lineRule="atLeast"/>
              <w:jc w:val="center"/>
              <w:rPr>
                <w:color w:val="00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0" w:hRule="atLeast"/>
        </w:trPr>
        <w:tc>
          <w:tcPr>
            <w:tcW w:w="738" w:type="dxa"/>
            <w:noWrap w:val="0"/>
            <w:vAlign w:val="center"/>
          </w:tcPr>
          <w:p>
            <w:pPr>
              <w:spacing w:after="72" w:afterLines="30" w:line="320" w:lineRule="exact"/>
              <w:jc w:val="center"/>
              <w:rPr>
                <w:rFonts w:hint="eastAsia"/>
                <w:color w:val="000000"/>
              </w:rPr>
            </w:pPr>
            <w:r>
              <w:rPr>
                <w:rFonts w:hint="eastAsia"/>
                <w:color w:val="000000"/>
              </w:rPr>
              <w:t>2</w:t>
            </w:r>
          </w:p>
        </w:tc>
        <w:tc>
          <w:tcPr>
            <w:tcW w:w="3360" w:type="dxa"/>
            <w:noWrap w:val="0"/>
            <w:vAlign w:val="top"/>
          </w:tcPr>
          <w:p>
            <w:pPr>
              <w:spacing w:line="276" w:lineRule="auto"/>
              <w:jc w:val="left"/>
              <w:rPr>
                <w:color w:val="000000"/>
                <w:u w:val="single"/>
              </w:rPr>
            </w:pPr>
            <w:r>
              <w:rPr>
                <w:color w:val="000000"/>
                <w:szCs w:val="21"/>
              </w:rPr>
              <w:t>（二）</w:t>
            </w:r>
            <w:r>
              <w:rPr>
                <w:rFonts w:hint="eastAsia"/>
                <w:color w:val="000000"/>
                <w:szCs w:val="21"/>
              </w:rPr>
              <w:t>企业信誉实力分</w:t>
            </w:r>
          </w:p>
        </w:tc>
        <w:tc>
          <w:tcPr>
            <w:tcW w:w="1113"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276" w:type="dxa"/>
            <w:noWrap w:val="0"/>
            <w:vAlign w:val="center"/>
          </w:tcPr>
          <w:p>
            <w:pPr>
              <w:spacing w:line="380" w:lineRule="atLeast"/>
              <w:jc w:val="center"/>
              <w:rPr>
                <w:color w:val="000000"/>
                <w:u w:val="single"/>
              </w:rPr>
            </w:pPr>
          </w:p>
        </w:tc>
        <w:tc>
          <w:tcPr>
            <w:tcW w:w="851"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143" w:type="dxa"/>
            <w:noWrap w:val="0"/>
            <w:vAlign w:val="center"/>
          </w:tcPr>
          <w:p>
            <w:pPr>
              <w:spacing w:line="380" w:lineRule="atLeast"/>
              <w:jc w:val="center"/>
              <w:rPr>
                <w:color w:val="000000"/>
                <w:u w:val="single"/>
              </w:rPr>
            </w:pPr>
          </w:p>
        </w:tc>
        <w:tc>
          <w:tcPr>
            <w:tcW w:w="1125" w:type="dxa"/>
            <w:noWrap w:val="0"/>
            <w:vAlign w:val="center"/>
          </w:tcPr>
          <w:p>
            <w:pPr>
              <w:spacing w:line="380" w:lineRule="atLeast"/>
              <w:jc w:val="center"/>
              <w:rPr>
                <w:color w:val="000000"/>
                <w:u w:val="single"/>
              </w:rPr>
            </w:pPr>
          </w:p>
        </w:tc>
        <w:tc>
          <w:tcPr>
            <w:tcW w:w="1040" w:type="dxa"/>
            <w:noWrap w:val="0"/>
            <w:vAlign w:val="center"/>
          </w:tcPr>
          <w:p>
            <w:pPr>
              <w:spacing w:line="380" w:lineRule="atLeast"/>
              <w:jc w:val="center"/>
              <w:rPr>
                <w:color w:val="00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8" w:type="dxa"/>
            <w:noWrap w:val="0"/>
            <w:vAlign w:val="center"/>
          </w:tcPr>
          <w:p>
            <w:pPr>
              <w:spacing w:after="72" w:afterLines="30" w:line="320" w:lineRule="exact"/>
              <w:jc w:val="center"/>
              <w:rPr>
                <w:rFonts w:hint="eastAsia"/>
                <w:color w:val="000000"/>
              </w:rPr>
            </w:pPr>
            <w:r>
              <w:rPr>
                <w:rFonts w:hint="eastAsia"/>
                <w:color w:val="000000"/>
              </w:rPr>
              <w:t>3</w:t>
            </w:r>
          </w:p>
        </w:tc>
        <w:tc>
          <w:tcPr>
            <w:tcW w:w="3360" w:type="dxa"/>
            <w:noWrap w:val="0"/>
            <w:vAlign w:val="top"/>
          </w:tcPr>
          <w:p>
            <w:pPr>
              <w:spacing w:line="276" w:lineRule="auto"/>
              <w:jc w:val="left"/>
              <w:rPr>
                <w:color w:val="000000"/>
                <w:u w:val="single"/>
              </w:rPr>
            </w:pPr>
            <w:r>
              <w:rPr>
                <w:color w:val="000000"/>
                <w:szCs w:val="21"/>
              </w:rPr>
              <w:t>（三）</w:t>
            </w:r>
            <w:r>
              <w:rPr>
                <w:rFonts w:hint="eastAsia"/>
                <w:color w:val="000000"/>
                <w:szCs w:val="21"/>
              </w:rPr>
              <w:t>工程总承包项目经理</w:t>
            </w:r>
            <w:r>
              <w:rPr>
                <w:color w:val="000000"/>
                <w:szCs w:val="21"/>
              </w:rPr>
              <w:t>情况</w:t>
            </w:r>
          </w:p>
        </w:tc>
        <w:tc>
          <w:tcPr>
            <w:tcW w:w="1113"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276" w:type="dxa"/>
            <w:noWrap w:val="0"/>
            <w:vAlign w:val="center"/>
          </w:tcPr>
          <w:p>
            <w:pPr>
              <w:spacing w:line="380" w:lineRule="atLeast"/>
              <w:jc w:val="center"/>
              <w:rPr>
                <w:color w:val="000000"/>
                <w:u w:val="single"/>
              </w:rPr>
            </w:pPr>
          </w:p>
        </w:tc>
        <w:tc>
          <w:tcPr>
            <w:tcW w:w="851"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143" w:type="dxa"/>
            <w:noWrap w:val="0"/>
            <w:vAlign w:val="center"/>
          </w:tcPr>
          <w:p>
            <w:pPr>
              <w:spacing w:line="380" w:lineRule="atLeast"/>
              <w:jc w:val="center"/>
              <w:rPr>
                <w:color w:val="000000"/>
                <w:u w:val="single"/>
              </w:rPr>
            </w:pPr>
          </w:p>
        </w:tc>
        <w:tc>
          <w:tcPr>
            <w:tcW w:w="1125" w:type="dxa"/>
            <w:noWrap w:val="0"/>
            <w:vAlign w:val="center"/>
          </w:tcPr>
          <w:p>
            <w:pPr>
              <w:spacing w:line="380" w:lineRule="atLeast"/>
              <w:jc w:val="center"/>
              <w:rPr>
                <w:color w:val="000000"/>
                <w:u w:val="single"/>
              </w:rPr>
            </w:pPr>
          </w:p>
        </w:tc>
        <w:tc>
          <w:tcPr>
            <w:tcW w:w="1040" w:type="dxa"/>
            <w:noWrap w:val="0"/>
            <w:vAlign w:val="center"/>
          </w:tcPr>
          <w:p>
            <w:pPr>
              <w:spacing w:line="380" w:lineRule="atLeast"/>
              <w:jc w:val="center"/>
              <w:rPr>
                <w:color w:val="00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46" w:hRule="atLeast"/>
        </w:trPr>
        <w:tc>
          <w:tcPr>
            <w:tcW w:w="738" w:type="dxa"/>
            <w:noWrap w:val="0"/>
            <w:vAlign w:val="center"/>
          </w:tcPr>
          <w:p>
            <w:pPr>
              <w:spacing w:after="72" w:afterLines="30" w:line="320" w:lineRule="exact"/>
              <w:jc w:val="center"/>
              <w:rPr>
                <w:rFonts w:hint="eastAsia"/>
                <w:color w:val="000000"/>
              </w:rPr>
            </w:pPr>
            <w:r>
              <w:rPr>
                <w:rFonts w:hint="eastAsia"/>
                <w:color w:val="000000"/>
              </w:rPr>
              <w:t>4</w:t>
            </w:r>
          </w:p>
        </w:tc>
        <w:tc>
          <w:tcPr>
            <w:tcW w:w="3360" w:type="dxa"/>
            <w:noWrap w:val="0"/>
            <w:vAlign w:val="top"/>
          </w:tcPr>
          <w:p>
            <w:pPr>
              <w:spacing w:line="276" w:lineRule="auto"/>
              <w:jc w:val="left"/>
              <w:rPr>
                <w:color w:val="000000"/>
                <w:u w:val="single"/>
              </w:rPr>
            </w:pPr>
            <w:r>
              <w:rPr>
                <w:color w:val="000000"/>
                <w:szCs w:val="21"/>
              </w:rPr>
              <w:t>（四）</w:t>
            </w:r>
            <w:r>
              <w:rPr>
                <w:rFonts w:hint="eastAsia"/>
                <w:color w:val="000000"/>
                <w:szCs w:val="21"/>
              </w:rPr>
              <w:t>项目设计负责人、施工</w:t>
            </w:r>
            <w:r>
              <w:rPr>
                <w:color w:val="000000"/>
                <w:szCs w:val="21"/>
              </w:rPr>
              <w:t>项目经理情</w:t>
            </w:r>
            <w:r>
              <w:rPr>
                <w:rFonts w:hint="eastAsia"/>
                <w:color w:val="000000"/>
                <w:szCs w:val="21"/>
              </w:rPr>
              <w:t>况</w:t>
            </w:r>
          </w:p>
        </w:tc>
        <w:tc>
          <w:tcPr>
            <w:tcW w:w="1113"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276" w:type="dxa"/>
            <w:noWrap w:val="0"/>
            <w:vAlign w:val="center"/>
          </w:tcPr>
          <w:p>
            <w:pPr>
              <w:spacing w:line="380" w:lineRule="atLeast"/>
              <w:jc w:val="center"/>
              <w:rPr>
                <w:color w:val="000000"/>
                <w:u w:val="single"/>
              </w:rPr>
            </w:pPr>
          </w:p>
        </w:tc>
        <w:tc>
          <w:tcPr>
            <w:tcW w:w="851"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143" w:type="dxa"/>
            <w:noWrap w:val="0"/>
            <w:vAlign w:val="center"/>
          </w:tcPr>
          <w:p>
            <w:pPr>
              <w:spacing w:line="380" w:lineRule="atLeast"/>
              <w:jc w:val="center"/>
              <w:rPr>
                <w:color w:val="000000"/>
                <w:u w:val="single"/>
              </w:rPr>
            </w:pPr>
          </w:p>
        </w:tc>
        <w:tc>
          <w:tcPr>
            <w:tcW w:w="1125" w:type="dxa"/>
            <w:noWrap w:val="0"/>
            <w:vAlign w:val="center"/>
          </w:tcPr>
          <w:p>
            <w:pPr>
              <w:spacing w:line="380" w:lineRule="atLeast"/>
              <w:jc w:val="center"/>
              <w:rPr>
                <w:color w:val="000000"/>
                <w:u w:val="single"/>
              </w:rPr>
            </w:pPr>
          </w:p>
        </w:tc>
        <w:tc>
          <w:tcPr>
            <w:tcW w:w="1040" w:type="dxa"/>
            <w:noWrap w:val="0"/>
            <w:vAlign w:val="center"/>
          </w:tcPr>
          <w:p>
            <w:pPr>
              <w:spacing w:line="380" w:lineRule="atLeast"/>
              <w:jc w:val="center"/>
              <w:rPr>
                <w:color w:val="00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8" w:type="dxa"/>
            <w:noWrap w:val="0"/>
            <w:vAlign w:val="center"/>
          </w:tcPr>
          <w:p>
            <w:pPr>
              <w:spacing w:after="72" w:afterLines="30" w:line="320" w:lineRule="exact"/>
              <w:jc w:val="center"/>
              <w:rPr>
                <w:rFonts w:hint="eastAsia"/>
                <w:color w:val="000000"/>
              </w:rPr>
            </w:pPr>
            <w:r>
              <w:rPr>
                <w:rFonts w:hint="eastAsia"/>
                <w:color w:val="000000"/>
              </w:rPr>
              <w:t>5</w:t>
            </w:r>
          </w:p>
        </w:tc>
        <w:tc>
          <w:tcPr>
            <w:tcW w:w="3360" w:type="dxa"/>
            <w:noWrap w:val="0"/>
            <w:vAlign w:val="top"/>
          </w:tcPr>
          <w:p>
            <w:pPr>
              <w:spacing w:line="276" w:lineRule="auto"/>
              <w:jc w:val="left"/>
              <w:rPr>
                <w:color w:val="000000"/>
                <w:u w:val="single"/>
              </w:rPr>
            </w:pPr>
            <w:r>
              <w:rPr>
                <w:color w:val="000000"/>
                <w:szCs w:val="21"/>
              </w:rPr>
              <w:t>（五）拟投入本工程</w:t>
            </w:r>
            <w:r>
              <w:rPr>
                <w:rFonts w:hint="eastAsia"/>
                <w:color w:val="000000"/>
                <w:szCs w:val="21"/>
              </w:rPr>
              <w:t>的其他</w:t>
            </w:r>
            <w:r>
              <w:rPr>
                <w:color w:val="000000"/>
                <w:szCs w:val="21"/>
              </w:rPr>
              <w:t>管理人员情况</w:t>
            </w:r>
          </w:p>
        </w:tc>
        <w:tc>
          <w:tcPr>
            <w:tcW w:w="1113"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276" w:type="dxa"/>
            <w:noWrap w:val="0"/>
            <w:vAlign w:val="center"/>
          </w:tcPr>
          <w:p>
            <w:pPr>
              <w:spacing w:line="380" w:lineRule="atLeast"/>
              <w:jc w:val="center"/>
              <w:rPr>
                <w:color w:val="000000"/>
                <w:u w:val="single"/>
              </w:rPr>
            </w:pPr>
          </w:p>
        </w:tc>
        <w:tc>
          <w:tcPr>
            <w:tcW w:w="851"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143" w:type="dxa"/>
            <w:noWrap w:val="0"/>
            <w:vAlign w:val="center"/>
          </w:tcPr>
          <w:p>
            <w:pPr>
              <w:spacing w:line="380" w:lineRule="atLeast"/>
              <w:jc w:val="center"/>
              <w:rPr>
                <w:color w:val="000000"/>
                <w:u w:val="single"/>
              </w:rPr>
            </w:pPr>
          </w:p>
        </w:tc>
        <w:tc>
          <w:tcPr>
            <w:tcW w:w="1125" w:type="dxa"/>
            <w:noWrap w:val="0"/>
            <w:vAlign w:val="center"/>
          </w:tcPr>
          <w:p>
            <w:pPr>
              <w:spacing w:line="380" w:lineRule="atLeast"/>
              <w:jc w:val="center"/>
              <w:rPr>
                <w:color w:val="000000"/>
                <w:u w:val="single"/>
              </w:rPr>
            </w:pPr>
          </w:p>
        </w:tc>
        <w:tc>
          <w:tcPr>
            <w:tcW w:w="1040" w:type="dxa"/>
            <w:noWrap w:val="0"/>
            <w:vAlign w:val="center"/>
          </w:tcPr>
          <w:p>
            <w:pPr>
              <w:spacing w:line="380" w:lineRule="atLeast"/>
              <w:jc w:val="center"/>
              <w:rPr>
                <w:color w:val="00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8" w:type="dxa"/>
            <w:noWrap w:val="0"/>
            <w:vAlign w:val="center"/>
          </w:tcPr>
          <w:p>
            <w:pPr>
              <w:spacing w:after="72" w:afterLines="30" w:line="320" w:lineRule="exact"/>
              <w:jc w:val="center"/>
              <w:rPr>
                <w:rFonts w:hint="eastAsia"/>
                <w:color w:val="000000"/>
              </w:rPr>
            </w:pPr>
            <w:r>
              <w:rPr>
                <w:rFonts w:hint="eastAsia"/>
                <w:color w:val="000000"/>
              </w:rPr>
              <w:t>6</w:t>
            </w:r>
          </w:p>
        </w:tc>
        <w:tc>
          <w:tcPr>
            <w:tcW w:w="3360" w:type="dxa"/>
            <w:noWrap w:val="0"/>
            <w:vAlign w:val="top"/>
          </w:tcPr>
          <w:p>
            <w:pPr>
              <w:spacing w:line="276" w:lineRule="auto"/>
              <w:jc w:val="left"/>
              <w:rPr>
                <w:color w:val="000000"/>
                <w:u w:val="single"/>
              </w:rPr>
            </w:pPr>
            <w:r>
              <w:rPr>
                <w:color w:val="000000"/>
                <w:szCs w:val="21"/>
              </w:rPr>
              <w:t>（六）</w:t>
            </w:r>
            <w:r>
              <w:rPr>
                <w:rFonts w:hint="eastAsia"/>
                <w:color w:val="000000"/>
                <w:szCs w:val="21"/>
              </w:rPr>
              <w:t>拟投入施工机械设备、拟配备本工程的试验和检测仪器设备</w:t>
            </w:r>
          </w:p>
        </w:tc>
        <w:tc>
          <w:tcPr>
            <w:tcW w:w="1113"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276" w:type="dxa"/>
            <w:noWrap w:val="0"/>
            <w:vAlign w:val="center"/>
          </w:tcPr>
          <w:p>
            <w:pPr>
              <w:spacing w:line="380" w:lineRule="atLeast"/>
              <w:jc w:val="center"/>
              <w:rPr>
                <w:color w:val="000000"/>
                <w:u w:val="single"/>
              </w:rPr>
            </w:pPr>
          </w:p>
        </w:tc>
        <w:tc>
          <w:tcPr>
            <w:tcW w:w="851"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143" w:type="dxa"/>
            <w:noWrap w:val="0"/>
            <w:vAlign w:val="center"/>
          </w:tcPr>
          <w:p>
            <w:pPr>
              <w:spacing w:line="380" w:lineRule="atLeast"/>
              <w:jc w:val="center"/>
              <w:rPr>
                <w:color w:val="000000"/>
                <w:u w:val="single"/>
              </w:rPr>
            </w:pPr>
          </w:p>
        </w:tc>
        <w:tc>
          <w:tcPr>
            <w:tcW w:w="1125" w:type="dxa"/>
            <w:noWrap w:val="0"/>
            <w:vAlign w:val="center"/>
          </w:tcPr>
          <w:p>
            <w:pPr>
              <w:spacing w:line="380" w:lineRule="atLeast"/>
              <w:jc w:val="center"/>
              <w:rPr>
                <w:color w:val="000000"/>
                <w:u w:val="single"/>
              </w:rPr>
            </w:pPr>
          </w:p>
        </w:tc>
        <w:tc>
          <w:tcPr>
            <w:tcW w:w="1040" w:type="dxa"/>
            <w:noWrap w:val="0"/>
            <w:vAlign w:val="center"/>
          </w:tcPr>
          <w:p>
            <w:pPr>
              <w:spacing w:line="380" w:lineRule="atLeast"/>
              <w:jc w:val="center"/>
              <w:rPr>
                <w:color w:val="00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59" w:hRule="atLeast"/>
        </w:trPr>
        <w:tc>
          <w:tcPr>
            <w:tcW w:w="738" w:type="dxa"/>
            <w:noWrap w:val="0"/>
            <w:vAlign w:val="center"/>
          </w:tcPr>
          <w:p>
            <w:pPr>
              <w:spacing w:after="72" w:afterLines="30" w:line="320" w:lineRule="exact"/>
              <w:jc w:val="center"/>
              <w:rPr>
                <w:rFonts w:hint="eastAsia"/>
                <w:color w:val="000000"/>
              </w:rPr>
            </w:pPr>
            <w:r>
              <w:rPr>
                <w:rFonts w:hint="eastAsia"/>
                <w:color w:val="000000"/>
              </w:rPr>
              <w:t>7</w:t>
            </w:r>
          </w:p>
        </w:tc>
        <w:tc>
          <w:tcPr>
            <w:tcW w:w="3360" w:type="dxa"/>
            <w:noWrap w:val="0"/>
            <w:vAlign w:val="top"/>
          </w:tcPr>
          <w:p>
            <w:pPr>
              <w:spacing w:line="276" w:lineRule="auto"/>
              <w:jc w:val="left"/>
              <w:rPr>
                <w:color w:val="000000"/>
                <w:u w:val="single"/>
              </w:rPr>
            </w:pPr>
            <w:r>
              <w:rPr>
                <w:color w:val="000000"/>
                <w:szCs w:val="21"/>
              </w:rPr>
              <w:t>（七）企业财务状况</w:t>
            </w:r>
          </w:p>
        </w:tc>
        <w:tc>
          <w:tcPr>
            <w:tcW w:w="1113"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276" w:type="dxa"/>
            <w:noWrap w:val="0"/>
            <w:vAlign w:val="center"/>
          </w:tcPr>
          <w:p>
            <w:pPr>
              <w:spacing w:line="380" w:lineRule="atLeast"/>
              <w:jc w:val="center"/>
              <w:rPr>
                <w:color w:val="000000"/>
                <w:u w:val="single"/>
              </w:rPr>
            </w:pPr>
          </w:p>
        </w:tc>
        <w:tc>
          <w:tcPr>
            <w:tcW w:w="851"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143" w:type="dxa"/>
            <w:noWrap w:val="0"/>
            <w:vAlign w:val="center"/>
          </w:tcPr>
          <w:p>
            <w:pPr>
              <w:spacing w:line="380" w:lineRule="atLeast"/>
              <w:jc w:val="center"/>
              <w:rPr>
                <w:color w:val="000000"/>
                <w:u w:val="single"/>
              </w:rPr>
            </w:pPr>
          </w:p>
        </w:tc>
        <w:tc>
          <w:tcPr>
            <w:tcW w:w="1125" w:type="dxa"/>
            <w:noWrap w:val="0"/>
            <w:vAlign w:val="center"/>
          </w:tcPr>
          <w:p>
            <w:pPr>
              <w:spacing w:line="380" w:lineRule="atLeast"/>
              <w:jc w:val="center"/>
              <w:rPr>
                <w:color w:val="000000"/>
                <w:u w:val="single"/>
              </w:rPr>
            </w:pPr>
          </w:p>
        </w:tc>
        <w:tc>
          <w:tcPr>
            <w:tcW w:w="1040" w:type="dxa"/>
            <w:noWrap w:val="0"/>
            <w:vAlign w:val="center"/>
          </w:tcPr>
          <w:p>
            <w:pPr>
              <w:spacing w:line="380" w:lineRule="atLeast"/>
              <w:jc w:val="center"/>
              <w:rPr>
                <w:color w:val="00000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8" w:type="dxa"/>
            <w:noWrap w:val="0"/>
            <w:vAlign w:val="center"/>
          </w:tcPr>
          <w:p>
            <w:pPr>
              <w:spacing w:after="72" w:afterLines="30" w:line="320" w:lineRule="exact"/>
              <w:jc w:val="center"/>
              <w:rPr>
                <w:rFonts w:hint="eastAsia"/>
                <w:color w:val="000000"/>
              </w:rPr>
            </w:pPr>
            <w:r>
              <w:rPr>
                <w:rFonts w:hint="eastAsia"/>
                <w:color w:val="000000"/>
              </w:rPr>
              <w:t>8</w:t>
            </w:r>
          </w:p>
        </w:tc>
        <w:tc>
          <w:tcPr>
            <w:tcW w:w="3360" w:type="dxa"/>
            <w:noWrap w:val="0"/>
            <w:vAlign w:val="top"/>
          </w:tcPr>
          <w:p>
            <w:pPr>
              <w:spacing w:line="380" w:lineRule="atLeast"/>
              <w:jc w:val="left"/>
              <w:rPr>
                <w:color w:val="000000"/>
                <w:u w:val="single"/>
              </w:rPr>
            </w:pPr>
            <w:r>
              <w:rPr>
                <w:color w:val="000000"/>
                <w:szCs w:val="44"/>
              </w:rPr>
              <w:t>……</w:t>
            </w:r>
          </w:p>
        </w:tc>
        <w:tc>
          <w:tcPr>
            <w:tcW w:w="1113"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276" w:type="dxa"/>
            <w:noWrap w:val="0"/>
            <w:vAlign w:val="center"/>
          </w:tcPr>
          <w:p>
            <w:pPr>
              <w:spacing w:line="380" w:lineRule="atLeast"/>
              <w:jc w:val="center"/>
              <w:rPr>
                <w:color w:val="000000"/>
                <w:u w:val="single"/>
              </w:rPr>
            </w:pPr>
          </w:p>
        </w:tc>
        <w:tc>
          <w:tcPr>
            <w:tcW w:w="851"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134" w:type="dxa"/>
            <w:noWrap w:val="0"/>
            <w:vAlign w:val="center"/>
          </w:tcPr>
          <w:p>
            <w:pPr>
              <w:spacing w:line="380" w:lineRule="atLeast"/>
              <w:jc w:val="center"/>
              <w:rPr>
                <w:color w:val="000000"/>
                <w:u w:val="single"/>
              </w:rPr>
            </w:pPr>
          </w:p>
        </w:tc>
        <w:tc>
          <w:tcPr>
            <w:tcW w:w="1143" w:type="dxa"/>
            <w:noWrap w:val="0"/>
            <w:vAlign w:val="center"/>
          </w:tcPr>
          <w:p>
            <w:pPr>
              <w:spacing w:line="380" w:lineRule="atLeast"/>
              <w:jc w:val="center"/>
              <w:rPr>
                <w:color w:val="000000"/>
                <w:u w:val="single"/>
              </w:rPr>
            </w:pPr>
          </w:p>
        </w:tc>
        <w:tc>
          <w:tcPr>
            <w:tcW w:w="1125" w:type="dxa"/>
            <w:noWrap w:val="0"/>
            <w:vAlign w:val="center"/>
          </w:tcPr>
          <w:p>
            <w:pPr>
              <w:spacing w:line="380" w:lineRule="atLeast"/>
              <w:jc w:val="center"/>
              <w:rPr>
                <w:color w:val="000000"/>
                <w:u w:val="single"/>
              </w:rPr>
            </w:pPr>
          </w:p>
        </w:tc>
        <w:tc>
          <w:tcPr>
            <w:tcW w:w="1040" w:type="dxa"/>
            <w:noWrap w:val="0"/>
            <w:vAlign w:val="center"/>
          </w:tcPr>
          <w:p>
            <w:pPr>
              <w:spacing w:line="380" w:lineRule="atLeast"/>
              <w:jc w:val="center"/>
              <w:rPr>
                <w:color w:val="000000"/>
                <w:u w:val="single"/>
              </w:rPr>
            </w:pPr>
          </w:p>
        </w:tc>
      </w:tr>
    </w:tbl>
    <w:p>
      <w:pPr>
        <w:spacing w:line="380" w:lineRule="atLeast"/>
        <w:rPr>
          <w:rFonts w:eastAsia="楷体_GB2312"/>
          <w:color w:val="000000"/>
        </w:rPr>
      </w:pPr>
      <w:r>
        <w:rPr>
          <w:rFonts w:eastAsia="楷体_GB2312"/>
          <w:color w:val="000000"/>
          <w:szCs w:val="21"/>
        </w:rPr>
        <w:t>【</w:t>
      </w:r>
      <w:r>
        <w:rPr>
          <w:rFonts w:eastAsia="楷体_GB2312"/>
          <w:color w:val="000000"/>
          <w:szCs w:val="44"/>
        </w:rPr>
        <w:t>备注：根据评分办法的资格</w:t>
      </w:r>
      <w:r>
        <w:rPr>
          <w:rFonts w:hint="eastAsia" w:eastAsia="楷体_GB2312"/>
          <w:color w:val="000000"/>
          <w:szCs w:val="44"/>
        </w:rPr>
        <w:t>评审</w:t>
      </w:r>
      <w:r>
        <w:rPr>
          <w:rFonts w:eastAsia="楷体_GB2312"/>
          <w:color w:val="000000"/>
          <w:szCs w:val="44"/>
        </w:rPr>
        <w:t>标准调整本表</w:t>
      </w:r>
      <w:r>
        <w:rPr>
          <w:rFonts w:eastAsia="楷体_GB2312"/>
          <w:color w:val="000000"/>
          <w:szCs w:val="21"/>
        </w:rPr>
        <w:t>】</w:t>
      </w:r>
    </w:p>
    <w:p>
      <w:pPr>
        <w:spacing w:line="380" w:lineRule="atLeast"/>
        <w:rPr>
          <w:color w:val="000000"/>
        </w:rPr>
      </w:pPr>
      <w:r>
        <w:rPr>
          <w:rFonts w:hint="eastAsia"/>
          <w:color w:val="000000"/>
        </w:rPr>
        <w:t>评标委员会全体成员</w:t>
      </w:r>
      <w:r>
        <w:rPr>
          <w:color w:val="000000"/>
        </w:rPr>
        <w:t>签名：                                                                        日期：        年     月     日</w:t>
      </w:r>
    </w:p>
    <w:p>
      <w:pPr>
        <w:pStyle w:val="4"/>
        <w:spacing w:line="240" w:lineRule="auto"/>
        <w:rPr>
          <w:rFonts w:hint="eastAsia"/>
          <w:sz w:val="28"/>
          <w:szCs w:val="28"/>
        </w:rPr>
      </w:pPr>
      <w:bookmarkStart w:id="722" w:name="_Toc59203033"/>
      <w:r>
        <w:rPr>
          <w:rFonts w:hint="eastAsia"/>
          <w:sz w:val="28"/>
          <w:szCs w:val="28"/>
        </w:rPr>
        <w:t>附表</w:t>
      </w:r>
      <w:r>
        <w:rPr>
          <w:sz w:val="28"/>
          <w:szCs w:val="28"/>
        </w:rPr>
        <w:t>A-</w:t>
      </w:r>
      <w:r>
        <w:rPr>
          <w:rFonts w:hint="eastAsia"/>
          <w:sz w:val="28"/>
          <w:szCs w:val="28"/>
        </w:rPr>
        <w:t>6-1：施工企业信誉实力评分记录表</w:t>
      </w:r>
      <w:bookmarkEnd w:id="722"/>
    </w:p>
    <w:p>
      <w:pPr>
        <w:spacing w:line="440" w:lineRule="exact"/>
        <w:rPr>
          <w:rFonts w:hint="eastAsia" w:cs="宋体"/>
          <w:b/>
          <w:bCs/>
          <w:color w:val="000000"/>
        </w:rPr>
      </w:pPr>
    </w:p>
    <w:p>
      <w:pPr>
        <w:jc w:val="center"/>
        <w:rPr>
          <w:rFonts w:eastAsia="黑体"/>
          <w:color w:val="000000"/>
          <w:sz w:val="28"/>
          <w:szCs w:val="28"/>
        </w:rPr>
      </w:pPr>
      <w:r>
        <w:rPr>
          <w:rFonts w:hint="eastAsia" w:eastAsia="黑体" w:cs="黑体"/>
          <w:color w:val="000000"/>
          <w:sz w:val="28"/>
          <w:szCs w:val="28"/>
        </w:rPr>
        <w:t>施工企业信誉实力评分记录表（自治区本级房屋</w:t>
      </w:r>
      <w:r>
        <w:rPr>
          <w:rFonts w:eastAsia="黑体" w:cs="黑体"/>
          <w:color w:val="000000"/>
          <w:sz w:val="28"/>
          <w:szCs w:val="28"/>
        </w:rPr>
        <w:t>建筑及市政基础</w:t>
      </w:r>
      <w:r>
        <w:rPr>
          <w:rFonts w:hint="eastAsia" w:eastAsia="黑体" w:cs="黑体"/>
          <w:color w:val="000000"/>
          <w:sz w:val="28"/>
          <w:szCs w:val="28"/>
        </w:rPr>
        <w:t>设施设施工程</w:t>
      </w:r>
      <w:r>
        <w:rPr>
          <w:rFonts w:eastAsia="黑体" w:cs="黑体"/>
          <w:color w:val="000000"/>
          <w:sz w:val="28"/>
          <w:szCs w:val="28"/>
        </w:rPr>
        <w:t>招标时</w:t>
      </w:r>
      <w:r>
        <w:rPr>
          <w:rFonts w:hint="eastAsia" w:eastAsia="黑体" w:cs="黑体"/>
          <w:color w:val="000000"/>
          <w:sz w:val="28"/>
          <w:szCs w:val="28"/>
        </w:rPr>
        <w:t>）</w:t>
      </w:r>
    </w:p>
    <w:p>
      <w:pPr>
        <w:spacing w:after="72" w:afterLines="30" w:line="440" w:lineRule="exact"/>
        <w:rPr>
          <w:rFonts w:hint="eastAsia" w:cs="宋体"/>
          <w:color w:val="000000"/>
        </w:rPr>
      </w:pPr>
    </w:p>
    <w:p>
      <w:pPr>
        <w:spacing w:after="72" w:afterLines="30" w:line="440" w:lineRule="exact"/>
        <w:rPr>
          <w:rFonts w:hint="eastAsia" w:cs="宋体"/>
          <w:color w:val="000000"/>
        </w:rPr>
      </w:pPr>
    </w:p>
    <w:p>
      <w:pPr>
        <w:spacing w:after="72" w:afterLines="30" w:line="440" w:lineRule="exact"/>
        <w:rPr>
          <w:color w:val="000000"/>
        </w:rPr>
      </w:pPr>
      <w:r>
        <w:rPr>
          <w:rFonts w:hint="eastAsia" w:cs="宋体"/>
          <w:color w:val="000000"/>
        </w:rPr>
        <w:t>项目名称及项目招标编号：</w:t>
      </w:r>
      <w:r>
        <w:rPr>
          <w:color w:val="000000"/>
          <w:u w:val="single"/>
        </w:rPr>
        <w:t xml:space="preserve">                                           </w:t>
      </w:r>
      <w:r>
        <w:rPr>
          <w:rFonts w:hint="eastAsia" w:cs="宋体"/>
          <w:color w:val="000000"/>
        </w:rPr>
        <w:t>（项目名称）</w:t>
      </w:r>
      <w:r>
        <w:rPr>
          <w:color w:val="000000"/>
        </w:rPr>
        <w:t xml:space="preserve">                    </w:t>
      </w:r>
      <w:r>
        <w:rPr>
          <w:rFonts w:hint="eastAsia" w:cs="宋体"/>
          <w:color w:val="000000"/>
        </w:rPr>
        <w:t>时间：</w:t>
      </w:r>
      <w:r>
        <w:rPr>
          <w:color w:val="000000"/>
        </w:rPr>
        <w:t xml:space="preserve">      </w:t>
      </w: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r>
        <w:rPr>
          <w:rFonts w:hint="eastAsia"/>
          <w:color w:val="000000"/>
        </w:rPr>
        <w:t xml:space="preserve"> </w:t>
      </w:r>
    </w:p>
    <w:tbl>
      <w:tblPr>
        <w:tblStyle w:val="83"/>
        <w:tblW w:w="140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828" w:type="dxa"/>
            <w:vMerge w:val="restart"/>
            <w:noWrap w:val="0"/>
            <w:vAlign w:val="center"/>
          </w:tcPr>
          <w:p>
            <w:pPr>
              <w:jc w:val="center"/>
              <w:rPr>
                <w:color w:val="000000"/>
              </w:rPr>
            </w:pPr>
            <w:r>
              <w:rPr>
                <w:rFonts w:hint="eastAsia" w:cs="宋体"/>
                <w:color w:val="000000"/>
              </w:rPr>
              <w:t>序号</w:t>
            </w:r>
          </w:p>
        </w:tc>
        <w:tc>
          <w:tcPr>
            <w:tcW w:w="3032" w:type="dxa"/>
            <w:vMerge w:val="restart"/>
            <w:noWrap w:val="0"/>
            <w:vAlign w:val="center"/>
          </w:tcPr>
          <w:p>
            <w:pPr>
              <w:jc w:val="center"/>
              <w:rPr>
                <w:color w:val="000000"/>
              </w:rPr>
            </w:pPr>
            <w:r>
              <w:rPr>
                <w:rFonts w:hint="eastAsia" w:cs="宋体"/>
                <w:color w:val="000000"/>
              </w:rPr>
              <w:t>评分项目</w:t>
            </w:r>
          </w:p>
        </w:tc>
        <w:tc>
          <w:tcPr>
            <w:tcW w:w="1290" w:type="dxa"/>
            <w:vMerge w:val="restart"/>
            <w:noWrap w:val="0"/>
            <w:vAlign w:val="center"/>
          </w:tcPr>
          <w:p>
            <w:pPr>
              <w:jc w:val="center"/>
              <w:rPr>
                <w:color w:val="000000"/>
              </w:rPr>
            </w:pPr>
            <w:r>
              <w:rPr>
                <w:rFonts w:hint="eastAsia" w:cs="宋体"/>
                <w:color w:val="000000"/>
              </w:rPr>
              <w:t>企业诚信</w:t>
            </w:r>
            <w:r>
              <w:rPr>
                <w:rFonts w:cs="宋体"/>
                <w:color w:val="000000"/>
              </w:rPr>
              <w:t>综合</w:t>
            </w:r>
            <w:r>
              <w:rPr>
                <w:rFonts w:hint="eastAsia" w:cs="宋体"/>
                <w:color w:val="000000"/>
              </w:rPr>
              <w:t>评</w:t>
            </w:r>
            <w:r>
              <w:rPr>
                <w:rFonts w:cs="宋体"/>
                <w:color w:val="000000"/>
              </w:rPr>
              <w:t>价</w:t>
            </w:r>
            <w:r>
              <w:rPr>
                <w:rFonts w:hint="eastAsia" w:cs="宋体"/>
                <w:color w:val="000000"/>
              </w:rPr>
              <w:t>分</w:t>
            </w:r>
          </w:p>
        </w:tc>
        <w:tc>
          <w:tcPr>
            <w:tcW w:w="8898" w:type="dxa"/>
            <w:gridSpan w:val="7"/>
            <w:noWrap w:val="0"/>
            <w:vAlign w:val="center"/>
          </w:tcPr>
          <w:p>
            <w:pPr>
              <w:jc w:val="center"/>
              <w:rPr>
                <w:color w:val="000000"/>
              </w:rPr>
            </w:pPr>
            <w:r>
              <w:rPr>
                <w:rFonts w:hint="eastAsia" w:cs="宋体"/>
                <w:color w:val="000000"/>
              </w:rPr>
              <w:t>投标人名称（或代码）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828" w:type="dxa"/>
            <w:vMerge w:val="continue"/>
            <w:noWrap w:val="0"/>
            <w:vAlign w:val="center"/>
          </w:tcPr>
          <w:p>
            <w:pPr>
              <w:jc w:val="center"/>
              <w:rPr>
                <w:color w:val="000000"/>
              </w:rPr>
            </w:pPr>
          </w:p>
        </w:tc>
        <w:tc>
          <w:tcPr>
            <w:tcW w:w="3032" w:type="dxa"/>
            <w:vMerge w:val="continue"/>
            <w:noWrap w:val="0"/>
            <w:vAlign w:val="center"/>
          </w:tcPr>
          <w:p>
            <w:pPr>
              <w:jc w:val="center"/>
              <w:rPr>
                <w:color w:val="000000"/>
              </w:rPr>
            </w:pPr>
          </w:p>
        </w:tc>
        <w:tc>
          <w:tcPr>
            <w:tcW w:w="1290" w:type="dxa"/>
            <w:vMerge w:val="continue"/>
            <w:noWrap w:val="0"/>
            <w:vAlign w:val="center"/>
          </w:tcPr>
          <w:p>
            <w:pPr>
              <w:jc w:val="center"/>
              <w:rPr>
                <w:color w:val="000000"/>
              </w:rPr>
            </w:pPr>
          </w:p>
        </w:tc>
        <w:tc>
          <w:tcPr>
            <w:tcW w:w="1257"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3860" w:type="dxa"/>
            <w:gridSpan w:val="2"/>
            <w:noWrap w:val="0"/>
            <w:vAlign w:val="center"/>
          </w:tcPr>
          <w:p>
            <w:pPr>
              <w:jc w:val="center"/>
              <w:rPr>
                <w:rFonts w:ascii="宋体" w:hAnsi="宋体"/>
                <w:color w:val="000000"/>
              </w:rPr>
            </w:pPr>
            <w:r>
              <w:rPr>
                <w:rFonts w:hint="eastAsia" w:ascii="宋体" w:hAnsi="宋体"/>
                <w:color w:val="000000"/>
              </w:rPr>
              <w:t>区</w:t>
            </w:r>
            <w:r>
              <w:rPr>
                <w:rFonts w:ascii="宋体" w:hAnsi="宋体"/>
                <w:color w:val="000000"/>
              </w:rPr>
              <w:t>级</w:t>
            </w:r>
            <w:r>
              <w:rPr>
                <w:rFonts w:hint="eastAsia" w:ascii="宋体" w:hAnsi="宋体"/>
                <w:color w:val="000000"/>
              </w:rPr>
              <w:t>施工企业诚信综合评价得分（百分制）</w:t>
            </w:r>
          </w:p>
        </w:tc>
        <w:tc>
          <w:tcPr>
            <w:tcW w:w="1290" w:type="dxa"/>
            <w:noWrap w:val="0"/>
            <w:vAlign w:val="center"/>
          </w:tcPr>
          <w:p>
            <w:pPr>
              <w:jc w:val="center"/>
              <w:rPr>
                <w:color w:val="000000"/>
              </w:rPr>
            </w:pPr>
            <w:r>
              <w:rPr>
                <w:rFonts w:hint="eastAsia"/>
                <w:color w:val="000000"/>
              </w:rPr>
              <w:t>100</w:t>
            </w:r>
          </w:p>
        </w:tc>
        <w:tc>
          <w:tcPr>
            <w:tcW w:w="1257"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3860" w:type="dxa"/>
            <w:gridSpan w:val="2"/>
            <w:noWrap w:val="0"/>
            <w:vAlign w:val="center"/>
          </w:tcPr>
          <w:p>
            <w:pPr>
              <w:jc w:val="center"/>
              <w:rPr>
                <w:color w:val="000000"/>
              </w:rPr>
            </w:pPr>
            <w:r>
              <w:rPr>
                <w:rFonts w:hint="eastAsia" w:cs="宋体"/>
                <w:color w:val="000000"/>
              </w:rPr>
              <w:t>施工企业信誉实力加权得分（满分</w:t>
            </w:r>
            <w:r>
              <w:rPr>
                <w:color w:val="000000"/>
                <w:u w:val="single"/>
              </w:rPr>
              <w:t xml:space="preserve">    </w:t>
            </w:r>
            <w:r>
              <w:rPr>
                <w:rFonts w:hint="eastAsia" w:cs="宋体"/>
                <w:color w:val="000000"/>
              </w:rPr>
              <w:t>）</w:t>
            </w:r>
          </w:p>
        </w:tc>
        <w:tc>
          <w:tcPr>
            <w:tcW w:w="1290" w:type="dxa"/>
            <w:noWrap w:val="0"/>
            <w:vAlign w:val="center"/>
          </w:tcPr>
          <w:p>
            <w:pPr>
              <w:jc w:val="center"/>
              <w:rPr>
                <w:color w:val="000000"/>
              </w:rPr>
            </w:pPr>
          </w:p>
        </w:tc>
        <w:tc>
          <w:tcPr>
            <w:tcW w:w="1257"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3860" w:type="dxa"/>
            <w:gridSpan w:val="2"/>
            <w:noWrap w:val="0"/>
            <w:vAlign w:val="center"/>
          </w:tcPr>
          <w:p>
            <w:pPr>
              <w:jc w:val="center"/>
              <w:rPr>
                <w:rFonts w:hint="eastAsia" w:cs="宋体"/>
                <w:color w:val="000000"/>
              </w:rPr>
            </w:pPr>
            <w:r>
              <w:rPr>
                <w:rFonts w:hint="eastAsia" w:ascii="宋体" w:hAnsi="宋体" w:cs="宋体"/>
                <w:color w:val="000000"/>
              </w:rPr>
              <w:t>企业信誉实力分分值权重（</w:t>
            </w:r>
            <w:r>
              <w:rPr>
                <w:rFonts w:ascii="宋体" w:hAnsi="宋体" w:cs="宋体"/>
                <w:color w:val="000000"/>
                <w:u w:val="single"/>
              </w:rPr>
              <w:t xml:space="preserve">     </w:t>
            </w:r>
            <w:r>
              <w:rPr>
                <w:rFonts w:ascii="宋体" w:hAnsi="宋体" w:cs="宋体"/>
                <w:color w:val="000000"/>
              </w:rPr>
              <w:t>%</w:t>
            </w:r>
            <w:r>
              <w:rPr>
                <w:rFonts w:hint="eastAsia" w:ascii="宋体" w:hAnsi="宋体" w:cs="宋体"/>
                <w:color w:val="000000"/>
              </w:rPr>
              <w:t>）</w:t>
            </w:r>
          </w:p>
        </w:tc>
        <w:tc>
          <w:tcPr>
            <w:tcW w:w="10188" w:type="dxa"/>
            <w:gridSpan w:val="8"/>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048" w:type="dxa"/>
            <w:gridSpan w:val="10"/>
            <w:noWrap w:val="0"/>
            <w:vAlign w:val="center"/>
          </w:tcPr>
          <w:p>
            <w:pPr>
              <w:jc w:val="left"/>
              <w:rPr>
                <w:rFonts w:hint="eastAsia"/>
                <w:color w:val="000000"/>
              </w:rPr>
            </w:pPr>
            <w:r>
              <w:rPr>
                <w:rFonts w:hint="eastAsia" w:ascii="宋体" w:hAnsi="宋体" w:cs="宋体"/>
                <w:color w:val="000000"/>
              </w:rPr>
              <w:t>施工企业信誉实力加权得分=根据实时公布的</w:t>
            </w:r>
            <w:r>
              <w:rPr>
                <w:rFonts w:hint="eastAsia" w:ascii="宋体" w:hAnsi="宋体" w:cs="宋体"/>
                <w:b/>
                <w:color w:val="000000"/>
              </w:rPr>
              <w:t>区级</w:t>
            </w:r>
            <w:r>
              <w:rPr>
                <w:rFonts w:hint="eastAsia" w:ascii="宋体" w:hAnsi="宋体" w:cs="宋体"/>
                <w:color w:val="000000"/>
              </w:rPr>
              <w:t>诚信综合评价分（百分制）×企业信誉实力分分值权重（</w:t>
            </w:r>
            <w:r>
              <w:rPr>
                <w:rFonts w:ascii="宋体" w:hAnsi="宋体" w:cs="宋体"/>
                <w:color w:val="000000"/>
                <w:u w:val="single"/>
              </w:rPr>
              <w:t xml:space="preserve">    </w:t>
            </w:r>
            <w:r>
              <w:rPr>
                <w:rFonts w:ascii="宋体" w:hAnsi="宋体" w:cs="宋体"/>
                <w:color w:val="000000"/>
              </w:rPr>
              <w:t>%</w:t>
            </w:r>
            <w:r>
              <w:rPr>
                <w:rFonts w:hint="eastAsia" w:ascii="宋体" w:hAnsi="宋体" w:cs="宋体"/>
                <w:color w:val="000000"/>
              </w:rPr>
              <w:t>）</w:t>
            </w:r>
          </w:p>
        </w:tc>
      </w:tr>
    </w:tbl>
    <w:p>
      <w:pPr>
        <w:spacing w:line="440" w:lineRule="exact"/>
        <w:rPr>
          <w:rFonts w:cs="宋体"/>
          <w:color w:val="000000"/>
        </w:rPr>
      </w:pPr>
      <w:r>
        <w:rPr>
          <w:rFonts w:hint="eastAsia" w:cs="宋体"/>
          <w:color w:val="000000"/>
        </w:rPr>
        <w:t>评标委员会全体评委签名：</w:t>
      </w:r>
      <w:r>
        <w:rPr>
          <w:color w:val="000000"/>
        </w:rPr>
        <w:t xml:space="preserve">                                                     </w:t>
      </w:r>
      <w:r>
        <w:rPr>
          <w:rFonts w:hint="eastAsia" w:cs="宋体"/>
          <w:color w:val="000000"/>
        </w:rPr>
        <w:t>日期：</w:t>
      </w:r>
      <w:r>
        <w:rPr>
          <w:color w:val="000000"/>
        </w:rPr>
        <w:t xml:space="preserve">        </w:t>
      </w: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p>
    <w:p>
      <w:pPr>
        <w:spacing w:line="440" w:lineRule="exact"/>
        <w:rPr>
          <w:rFonts w:cs="宋体"/>
          <w:color w:val="000000"/>
        </w:rPr>
      </w:pPr>
    </w:p>
    <w:p>
      <w:pPr>
        <w:spacing w:line="440" w:lineRule="exact"/>
        <w:rPr>
          <w:rFonts w:cs="宋体"/>
          <w:color w:val="000000"/>
        </w:rPr>
      </w:pPr>
    </w:p>
    <w:p>
      <w:pPr>
        <w:spacing w:line="440" w:lineRule="exact"/>
        <w:rPr>
          <w:color w:val="000000"/>
        </w:rPr>
      </w:pPr>
    </w:p>
    <w:p>
      <w:pPr>
        <w:spacing w:line="440" w:lineRule="exact"/>
        <w:rPr>
          <w:color w:val="000000"/>
        </w:rPr>
      </w:pPr>
    </w:p>
    <w:p>
      <w:pPr>
        <w:spacing w:line="440" w:lineRule="exact"/>
        <w:rPr>
          <w:rFonts w:hint="eastAsia"/>
          <w:color w:val="000000"/>
        </w:rPr>
      </w:pPr>
    </w:p>
    <w:p>
      <w:pPr>
        <w:pStyle w:val="4"/>
        <w:spacing w:line="240" w:lineRule="auto"/>
        <w:rPr>
          <w:rFonts w:hint="eastAsia"/>
          <w:sz w:val="28"/>
          <w:szCs w:val="28"/>
        </w:rPr>
      </w:pPr>
      <w:bookmarkStart w:id="723" w:name="_Toc59203034"/>
      <w:r>
        <w:rPr>
          <w:rFonts w:hint="eastAsia"/>
          <w:sz w:val="28"/>
          <w:szCs w:val="28"/>
        </w:rPr>
        <w:t>附表</w:t>
      </w:r>
      <w:r>
        <w:rPr>
          <w:sz w:val="28"/>
          <w:szCs w:val="28"/>
        </w:rPr>
        <w:t>A-</w:t>
      </w:r>
      <w:r>
        <w:rPr>
          <w:rFonts w:hint="eastAsia"/>
          <w:sz w:val="28"/>
          <w:szCs w:val="28"/>
        </w:rPr>
        <w:t>6-1：施工企业信誉实力评分记录表</w:t>
      </w:r>
      <w:bookmarkEnd w:id="723"/>
    </w:p>
    <w:p>
      <w:pPr>
        <w:jc w:val="center"/>
        <w:rPr>
          <w:color w:val="000000"/>
        </w:rPr>
      </w:pPr>
    </w:p>
    <w:p>
      <w:pPr>
        <w:jc w:val="center"/>
        <w:rPr>
          <w:rFonts w:hint="eastAsia" w:eastAsia="黑体" w:cs="黑体"/>
          <w:color w:val="000000"/>
          <w:sz w:val="28"/>
          <w:szCs w:val="28"/>
        </w:rPr>
      </w:pPr>
      <w:r>
        <w:rPr>
          <w:rFonts w:hint="eastAsia" w:eastAsia="黑体" w:cs="黑体"/>
          <w:color w:val="000000"/>
          <w:sz w:val="28"/>
          <w:szCs w:val="28"/>
        </w:rPr>
        <w:t>施工企业信誉实力评分记录表（各</w:t>
      </w:r>
      <w:r>
        <w:rPr>
          <w:rFonts w:eastAsia="黑体" w:cs="黑体"/>
          <w:color w:val="000000"/>
          <w:sz w:val="28"/>
          <w:szCs w:val="28"/>
        </w:rPr>
        <w:t>设</w:t>
      </w:r>
      <w:r>
        <w:rPr>
          <w:rFonts w:hint="eastAsia" w:eastAsia="黑体" w:cs="黑体"/>
          <w:color w:val="000000"/>
          <w:sz w:val="28"/>
          <w:szCs w:val="28"/>
        </w:rPr>
        <w:t>区市房屋</w:t>
      </w:r>
      <w:r>
        <w:rPr>
          <w:rFonts w:eastAsia="黑体" w:cs="黑体"/>
          <w:color w:val="000000"/>
          <w:sz w:val="28"/>
          <w:szCs w:val="28"/>
        </w:rPr>
        <w:t>建筑及市政基础设施</w:t>
      </w:r>
      <w:r>
        <w:rPr>
          <w:rFonts w:hint="eastAsia" w:eastAsia="黑体" w:cs="黑体"/>
          <w:color w:val="000000"/>
          <w:sz w:val="28"/>
          <w:szCs w:val="28"/>
        </w:rPr>
        <w:t>工程</w:t>
      </w:r>
      <w:r>
        <w:rPr>
          <w:rFonts w:eastAsia="黑体" w:cs="黑体"/>
          <w:color w:val="000000"/>
          <w:sz w:val="28"/>
          <w:szCs w:val="28"/>
        </w:rPr>
        <w:t>招标时</w:t>
      </w:r>
      <w:r>
        <w:rPr>
          <w:rFonts w:hint="eastAsia" w:eastAsia="黑体" w:cs="黑体"/>
          <w:color w:val="000000"/>
          <w:sz w:val="28"/>
          <w:szCs w:val="28"/>
        </w:rPr>
        <w:t>）</w:t>
      </w:r>
    </w:p>
    <w:p>
      <w:pPr>
        <w:jc w:val="center"/>
        <w:rPr>
          <w:rFonts w:hint="eastAsia" w:eastAsia="黑体" w:cs="黑体"/>
          <w:color w:val="000000"/>
          <w:sz w:val="28"/>
          <w:szCs w:val="28"/>
        </w:rPr>
      </w:pPr>
    </w:p>
    <w:p>
      <w:pPr>
        <w:jc w:val="center"/>
        <w:rPr>
          <w:rFonts w:hint="eastAsia" w:eastAsia="黑体" w:cs="黑体"/>
          <w:color w:val="000000"/>
          <w:sz w:val="28"/>
          <w:szCs w:val="28"/>
        </w:rPr>
      </w:pPr>
    </w:p>
    <w:p>
      <w:pPr>
        <w:spacing w:after="72" w:afterLines="30" w:line="440" w:lineRule="exact"/>
        <w:rPr>
          <w:color w:val="000000"/>
        </w:rPr>
      </w:pPr>
      <w:r>
        <w:rPr>
          <w:rFonts w:hint="eastAsia" w:cs="宋体"/>
          <w:color w:val="000000"/>
        </w:rPr>
        <w:t>项目名称及项目招标编号：</w:t>
      </w:r>
      <w:r>
        <w:rPr>
          <w:color w:val="000000"/>
          <w:u w:val="single"/>
        </w:rPr>
        <w:t xml:space="preserve">                                           </w:t>
      </w:r>
      <w:r>
        <w:rPr>
          <w:rFonts w:hint="eastAsia" w:cs="宋体"/>
          <w:color w:val="000000"/>
        </w:rPr>
        <w:t>（项目名称）</w:t>
      </w:r>
      <w:r>
        <w:rPr>
          <w:color w:val="000000"/>
        </w:rPr>
        <w:t xml:space="preserve">                    </w:t>
      </w:r>
      <w:r>
        <w:rPr>
          <w:rFonts w:hint="eastAsia" w:cs="宋体"/>
          <w:color w:val="000000"/>
        </w:rPr>
        <w:t>时间：</w:t>
      </w:r>
      <w:r>
        <w:rPr>
          <w:color w:val="000000"/>
        </w:rPr>
        <w:t xml:space="preserve">      </w:t>
      </w: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p>
    <w:tbl>
      <w:tblPr>
        <w:tblStyle w:val="83"/>
        <w:tblW w:w="140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828" w:type="dxa"/>
            <w:vMerge w:val="restart"/>
            <w:noWrap w:val="0"/>
            <w:vAlign w:val="center"/>
          </w:tcPr>
          <w:p>
            <w:pPr>
              <w:jc w:val="center"/>
              <w:rPr>
                <w:color w:val="000000"/>
              </w:rPr>
            </w:pPr>
            <w:r>
              <w:rPr>
                <w:rFonts w:hint="eastAsia" w:cs="宋体"/>
                <w:color w:val="000000"/>
              </w:rPr>
              <w:t>序号</w:t>
            </w:r>
          </w:p>
        </w:tc>
        <w:tc>
          <w:tcPr>
            <w:tcW w:w="3032" w:type="dxa"/>
            <w:vMerge w:val="restart"/>
            <w:noWrap w:val="0"/>
            <w:vAlign w:val="center"/>
          </w:tcPr>
          <w:p>
            <w:pPr>
              <w:jc w:val="center"/>
              <w:rPr>
                <w:color w:val="000000"/>
              </w:rPr>
            </w:pPr>
            <w:r>
              <w:rPr>
                <w:rFonts w:hint="eastAsia" w:cs="宋体"/>
                <w:color w:val="000000"/>
              </w:rPr>
              <w:t>评分项目</w:t>
            </w:r>
          </w:p>
        </w:tc>
        <w:tc>
          <w:tcPr>
            <w:tcW w:w="1290" w:type="dxa"/>
            <w:vMerge w:val="restart"/>
            <w:noWrap w:val="0"/>
            <w:vAlign w:val="center"/>
          </w:tcPr>
          <w:p>
            <w:pPr>
              <w:jc w:val="center"/>
              <w:rPr>
                <w:color w:val="000000"/>
              </w:rPr>
            </w:pPr>
            <w:r>
              <w:rPr>
                <w:rFonts w:hint="eastAsia" w:cs="宋体"/>
                <w:color w:val="000000"/>
              </w:rPr>
              <w:t>企业诚信</w:t>
            </w:r>
            <w:r>
              <w:rPr>
                <w:rFonts w:cs="宋体"/>
                <w:color w:val="000000"/>
              </w:rPr>
              <w:t>综合</w:t>
            </w:r>
            <w:r>
              <w:rPr>
                <w:rFonts w:hint="eastAsia" w:cs="宋体"/>
                <w:color w:val="000000"/>
              </w:rPr>
              <w:t>评</w:t>
            </w:r>
            <w:r>
              <w:rPr>
                <w:rFonts w:cs="宋体"/>
                <w:color w:val="000000"/>
              </w:rPr>
              <w:t>价</w:t>
            </w:r>
            <w:r>
              <w:rPr>
                <w:rFonts w:hint="eastAsia" w:cs="宋体"/>
                <w:color w:val="000000"/>
              </w:rPr>
              <w:t>分</w:t>
            </w:r>
          </w:p>
        </w:tc>
        <w:tc>
          <w:tcPr>
            <w:tcW w:w="8898" w:type="dxa"/>
            <w:gridSpan w:val="7"/>
            <w:noWrap w:val="0"/>
            <w:vAlign w:val="center"/>
          </w:tcPr>
          <w:p>
            <w:pPr>
              <w:jc w:val="center"/>
              <w:rPr>
                <w:color w:val="000000"/>
              </w:rPr>
            </w:pPr>
            <w:r>
              <w:rPr>
                <w:rFonts w:hint="eastAsia" w:cs="宋体"/>
                <w:color w:val="000000"/>
              </w:rPr>
              <w:t>投标人名称（或代码）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828" w:type="dxa"/>
            <w:vMerge w:val="continue"/>
            <w:noWrap w:val="0"/>
            <w:vAlign w:val="center"/>
          </w:tcPr>
          <w:p>
            <w:pPr>
              <w:jc w:val="center"/>
              <w:rPr>
                <w:color w:val="000000"/>
              </w:rPr>
            </w:pPr>
          </w:p>
        </w:tc>
        <w:tc>
          <w:tcPr>
            <w:tcW w:w="3032" w:type="dxa"/>
            <w:vMerge w:val="continue"/>
            <w:noWrap w:val="0"/>
            <w:vAlign w:val="center"/>
          </w:tcPr>
          <w:p>
            <w:pPr>
              <w:jc w:val="center"/>
              <w:rPr>
                <w:color w:val="000000"/>
              </w:rPr>
            </w:pPr>
          </w:p>
        </w:tc>
        <w:tc>
          <w:tcPr>
            <w:tcW w:w="1290" w:type="dxa"/>
            <w:vMerge w:val="continue"/>
            <w:noWrap w:val="0"/>
            <w:vAlign w:val="center"/>
          </w:tcPr>
          <w:p>
            <w:pPr>
              <w:jc w:val="center"/>
              <w:rPr>
                <w:color w:val="000000"/>
              </w:rPr>
            </w:pPr>
          </w:p>
        </w:tc>
        <w:tc>
          <w:tcPr>
            <w:tcW w:w="1257"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3860" w:type="dxa"/>
            <w:gridSpan w:val="2"/>
            <w:noWrap w:val="0"/>
            <w:vAlign w:val="center"/>
          </w:tcPr>
          <w:p>
            <w:pPr>
              <w:jc w:val="center"/>
              <w:rPr>
                <w:rFonts w:hint="eastAsia" w:ascii="宋体" w:hAnsi="宋体"/>
                <w:color w:val="000000"/>
              </w:rPr>
            </w:pPr>
            <w:r>
              <w:rPr>
                <w:rFonts w:hint="eastAsia" w:ascii="宋体" w:hAnsi="宋体"/>
                <w:color w:val="000000"/>
              </w:rPr>
              <w:t>区级施工企业诚信综合评价得分（百分制）</w:t>
            </w:r>
          </w:p>
        </w:tc>
        <w:tc>
          <w:tcPr>
            <w:tcW w:w="1290" w:type="dxa"/>
            <w:noWrap w:val="0"/>
            <w:vAlign w:val="center"/>
          </w:tcPr>
          <w:p>
            <w:pPr>
              <w:jc w:val="center"/>
              <w:rPr>
                <w:rFonts w:hint="eastAsia"/>
                <w:color w:val="000000"/>
              </w:rPr>
            </w:pPr>
            <w:r>
              <w:rPr>
                <w:rFonts w:hint="eastAsia"/>
                <w:color w:val="000000"/>
              </w:rPr>
              <w:t>100</w:t>
            </w:r>
          </w:p>
        </w:tc>
        <w:tc>
          <w:tcPr>
            <w:tcW w:w="1257"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3860" w:type="dxa"/>
            <w:gridSpan w:val="2"/>
            <w:noWrap w:val="0"/>
            <w:vAlign w:val="center"/>
          </w:tcPr>
          <w:p>
            <w:pPr>
              <w:jc w:val="center"/>
              <w:rPr>
                <w:rFonts w:ascii="宋体" w:hAnsi="宋体"/>
                <w:color w:val="000000"/>
              </w:rPr>
            </w:pPr>
            <w:r>
              <w:rPr>
                <w:rFonts w:hint="eastAsia" w:ascii="宋体" w:hAnsi="宋体"/>
                <w:color w:val="000000"/>
              </w:rPr>
              <w:t>项目所在地设区市级施工企业诚信综合评价得分（百分制）</w:t>
            </w:r>
          </w:p>
        </w:tc>
        <w:tc>
          <w:tcPr>
            <w:tcW w:w="1290" w:type="dxa"/>
            <w:noWrap w:val="0"/>
            <w:vAlign w:val="center"/>
          </w:tcPr>
          <w:p>
            <w:pPr>
              <w:jc w:val="center"/>
              <w:rPr>
                <w:color w:val="000000"/>
              </w:rPr>
            </w:pPr>
            <w:r>
              <w:rPr>
                <w:rFonts w:hint="eastAsia"/>
                <w:color w:val="000000"/>
              </w:rPr>
              <w:t>100</w:t>
            </w:r>
          </w:p>
        </w:tc>
        <w:tc>
          <w:tcPr>
            <w:tcW w:w="1257"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3860" w:type="dxa"/>
            <w:gridSpan w:val="2"/>
            <w:noWrap w:val="0"/>
            <w:vAlign w:val="center"/>
          </w:tcPr>
          <w:p>
            <w:pPr>
              <w:jc w:val="center"/>
              <w:rPr>
                <w:color w:val="000000"/>
              </w:rPr>
            </w:pPr>
            <w:r>
              <w:rPr>
                <w:rFonts w:hint="eastAsia" w:cs="宋体"/>
                <w:color w:val="000000"/>
              </w:rPr>
              <w:t>施工企业信誉实力加权得分合计（满分</w:t>
            </w:r>
            <w:r>
              <w:rPr>
                <w:color w:val="000000"/>
                <w:u w:val="single"/>
              </w:rPr>
              <w:t xml:space="preserve">    </w:t>
            </w:r>
            <w:r>
              <w:rPr>
                <w:rFonts w:hint="eastAsia" w:cs="宋体"/>
                <w:color w:val="000000"/>
              </w:rPr>
              <w:t>）</w:t>
            </w:r>
          </w:p>
        </w:tc>
        <w:tc>
          <w:tcPr>
            <w:tcW w:w="1290" w:type="dxa"/>
            <w:noWrap w:val="0"/>
            <w:vAlign w:val="center"/>
          </w:tcPr>
          <w:p>
            <w:pPr>
              <w:jc w:val="center"/>
              <w:rPr>
                <w:color w:val="000000"/>
              </w:rPr>
            </w:pPr>
          </w:p>
        </w:tc>
        <w:tc>
          <w:tcPr>
            <w:tcW w:w="1257"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3860" w:type="dxa"/>
            <w:gridSpan w:val="2"/>
            <w:noWrap w:val="0"/>
            <w:vAlign w:val="center"/>
          </w:tcPr>
          <w:p>
            <w:pPr>
              <w:jc w:val="center"/>
              <w:rPr>
                <w:rFonts w:hint="eastAsia" w:cs="宋体"/>
                <w:color w:val="000000"/>
              </w:rPr>
            </w:pPr>
            <w:r>
              <w:rPr>
                <w:rFonts w:hint="eastAsia" w:cs="宋体"/>
                <w:color w:val="000000"/>
              </w:rPr>
              <w:t>企业信誉实力分分值权重</w:t>
            </w:r>
            <w:r>
              <w:rPr>
                <w:rFonts w:hint="eastAsia" w:ascii="宋体" w:hAnsi="宋体" w:cs="宋体"/>
                <w:color w:val="000000"/>
              </w:rPr>
              <w:t>（</w:t>
            </w:r>
            <w:r>
              <w:rPr>
                <w:rFonts w:ascii="宋体" w:hAnsi="宋体" w:cs="宋体"/>
                <w:color w:val="000000"/>
                <w:u w:val="single"/>
              </w:rPr>
              <w:t xml:space="preserve">    </w:t>
            </w:r>
            <w:r>
              <w:rPr>
                <w:rFonts w:ascii="宋体" w:hAnsi="宋体" w:cs="宋体"/>
                <w:color w:val="000000"/>
              </w:rPr>
              <w:t>%</w:t>
            </w:r>
            <w:r>
              <w:rPr>
                <w:rFonts w:hint="eastAsia" w:ascii="宋体" w:hAnsi="宋体" w:cs="宋体"/>
                <w:color w:val="000000"/>
              </w:rPr>
              <w:t>）</w:t>
            </w:r>
          </w:p>
        </w:tc>
        <w:tc>
          <w:tcPr>
            <w:tcW w:w="10188" w:type="dxa"/>
            <w:gridSpan w:val="8"/>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567" w:hRule="atLeast"/>
        </w:trPr>
        <w:tc>
          <w:tcPr>
            <w:tcW w:w="14048" w:type="dxa"/>
            <w:gridSpan w:val="10"/>
            <w:noWrap w:val="0"/>
            <w:vAlign w:val="center"/>
          </w:tcPr>
          <w:p>
            <w:pPr>
              <w:jc w:val="left"/>
              <w:rPr>
                <w:color w:val="000000"/>
              </w:rPr>
            </w:pPr>
            <w:r>
              <w:rPr>
                <w:rFonts w:hint="eastAsia" w:ascii="宋体" w:hAnsi="宋体" w:cs="宋体"/>
                <w:color w:val="000000"/>
              </w:rPr>
              <w:t>施工企业信誉实力加权得分=根据实时公布的</w:t>
            </w:r>
            <w:r>
              <w:rPr>
                <w:rFonts w:hint="eastAsia" w:ascii="宋体" w:hAnsi="宋体" w:cs="宋体"/>
                <w:b/>
                <w:color w:val="000000"/>
              </w:rPr>
              <w:t>区级</w:t>
            </w:r>
            <w:r>
              <w:rPr>
                <w:rFonts w:hint="eastAsia" w:ascii="宋体" w:hAnsi="宋体" w:cs="宋体"/>
                <w:color w:val="000000"/>
              </w:rPr>
              <w:t>诚信综合评价分（百分制）×</w:t>
            </w:r>
            <w:r>
              <w:rPr>
                <w:rFonts w:hint="eastAsia" w:ascii="宋体" w:hAnsi="宋体" w:cs="宋体"/>
                <w:color w:val="000000"/>
                <w:u w:val="single"/>
              </w:rPr>
              <w:t xml:space="preserve"> </w:t>
            </w:r>
            <w:r>
              <w:rPr>
                <w:rFonts w:hint="eastAsia" w:ascii="宋体" w:hAnsi="宋体" w:cs="宋体"/>
                <w:color w:val="000000"/>
                <w:u w:val="thick"/>
              </w:rPr>
              <w:t xml:space="preserve">   %</w:t>
            </w:r>
            <w:r>
              <w:rPr>
                <w:rFonts w:hint="eastAsia" w:ascii="宋体" w:hAnsi="宋体" w:cs="宋体"/>
                <w:color w:val="000000"/>
              </w:rPr>
              <w:t>（取</w:t>
            </w:r>
            <w:r>
              <w:rPr>
                <w:rFonts w:ascii="宋体" w:hAnsi="宋体" w:cs="宋体"/>
                <w:color w:val="000000"/>
              </w:rPr>
              <w:t>5</w:t>
            </w:r>
            <w:r>
              <w:rPr>
                <w:rFonts w:hint="eastAsia" w:ascii="宋体" w:hAnsi="宋体" w:cs="宋体"/>
                <w:color w:val="000000"/>
              </w:rPr>
              <w:t>0%～100%）×企业信誉实力分分值权重+根据实时公布的项目所在地设区市级诚信综合评价分（百分制）×</w:t>
            </w:r>
            <w:r>
              <w:rPr>
                <w:rFonts w:hint="eastAsia" w:ascii="宋体" w:hAnsi="宋体" w:cs="宋体"/>
                <w:color w:val="000000"/>
                <w:u w:val="single"/>
              </w:rPr>
              <w:t xml:space="preserve"> </w:t>
            </w:r>
            <w:r>
              <w:rPr>
                <w:rFonts w:hint="eastAsia" w:ascii="宋体" w:hAnsi="宋体" w:cs="宋体"/>
                <w:color w:val="000000"/>
                <w:u w:val="thick"/>
              </w:rPr>
              <w:t xml:space="preserve">   %</w:t>
            </w:r>
            <w:r>
              <w:rPr>
                <w:rFonts w:hint="eastAsia" w:ascii="宋体" w:hAnsi="宋体" w:cs="宋体"/>
                <w:color w:val="000000"/>
              </w:rPr>
              <w:t>（取</w:t>
            </w:r>
            <w:r>
              <w:rPr>
                <w:rFonts w:ascii="宋体" w:hAnsi="宋体" w:cs="宋体"/>
                <w:color w:val="000000"/>
              </w:rPr>
              <w:t>5</w:t>
            </w:r>
            <w:r>
              <w:rPr>
                <w:rFonts w:hint="eastAsia" w:ascii="宋体" w:hAnsi="宋体" w:cs="宋体"/>
                <w:color w:val="000000"/>
              </w:rPr>
              <w:t>0%～0%）×企业信誉实力分分值权重（</w:t>
            </w:r>
            <w:r>
              <w:rPr>
                <w:rFonts w:ascii="宋体" w:hAnsi="宋体" w:cs="宋体"/>
                <w:color w:val="000000"/>
                <w:u w:val="single"/>
              </w:rPr>
              <w:t xml:space="preserve">    </w:t>
            </w:r>
            <w:r>
              <w:rPr>
                <w:rFonts w:ascii="宋体" w:hAnsi="宋体" w:cs="宋体"/>
                <w:color w:val="000000"/>
              </w:rPr>
              <w:t>%</w:t>
            </w:r>
            <w:r>
              <w:rPr>
                <w:rFonts w:hint="eastAsia" w:ascii="宋体" w:hAnsi="宋体" w:cs="宋体"/>
                <w:color w:val="000000"/>
              </w:rPr>
              <w:t>）</w:t>
            </w:r>
          </w:p>
        </w:tc>
      </w:tr>
    </w:tbl>
    <w:p>
      <w:pPr>
        <w:spacing w:line="440" w:lineRule="exact"/>
        <w:rPr>
          <w:rFonts w:cs="宋体"/>
          <w:color w:val="000000"/>
        </w:rPr>
      </w:pPr>
      <w:r>
        <w:rPr>
          <w:rFonts w:hint="eastAsia" w:cs="宋体"/>
          <w:color w:val="000000"/>
        </w:rPr>
        <w:t>评标委员会全体评委签名：</w:t>
      </w:r>
      <w:r>
        <w:rPr>
          <w:color w:val="000000"/>
        </w:rPr>
        <w:t xml:space="preserve">                                                     </w:t>
      </w:r>
      <w:r>
        <w:rPr>
          <w:rFonts w:hint="eastAsia" w:cs="宋体"/>
          <w:color w:val="000000"/>
        </w:rPr>
        <w:t>日期：</w:t>
      </w:r>
      <w:r>
        <w:rPr>
          <w:color w:val="000000"/>
        </w:rPr>
        <w:t xml:space="preserve">        </w:t>
      </w: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p>
    <w:p>
      <w:pPr>
        <w:spacing w:line="440" w:lineRule="exact"/>
        <w:rPr>
          <w:rFonts w:cs="宋体"/>
          <w:color w:val="000000"/>
        </w:rPr>
      </w:pPr>
    </w:p>
    <w:p>
      <w:pPr>
        <w:spacing w:line="440" w:lineRule="exact"/>
        <w:rPr>
          <w:color w:val="000000"/>
        </w:rPr>
      </w:pPr>
    </w:p>
    <w:p>
      <w:pPr>
        <w:spacing w:line="360" w:lineRule="auto"/>
        <w:rPr>
          <w:rFonts w:hint="eastAsia"/>
          <w:color w:val="000000"/>
        </w:rPr>
      </w:pPr>
    </w:p>
    <w:p>
      <w:pPr>
        <w:spacing w:line="360" w:lineRule="auto"/>
        <w:rPr>
          <w:color w:val="000000"/>
        </w:rPr>
      </w:pPr>
    </w:p>
    <w:p>
      <w:pPr>
        <w:spacing w:line="360" w:lineRule="auto"/>
        <w:rPr>
          <w:color w:val="000000"/>
        </w:rPr>
      </w:pPr>
    </w:p>
    <w:p>
      <w:pPr>
        <w:pStyle w:val="4"/>
        <w:spacing w:line="240" w:lineRule="auto"/>
        <w:rPr>
          <w:rFonts w:hint="eastAsia"/>
          <w:sz w:val="28"/>
          <w:szCs w:val="28"/>
        </w:rPr>
      </w:pPr>
      <w:bookmarkStart w:id="724" w:name="_Toc59203035"/>
      <w:r>
        <w:rPr>
          <w:rFonts w:hint="eastAsia"/>
          <w:sz w:val="28"/>
          <w:szCs w:val="28"/>
        </w:rPr>
        <w:t>附表</w:t>
      </w:r>
      <w:r>
        <w:rPr>
          <w:sz w:val="28"/>
          <w:szCs w:val="28"/>
        </w:rPr>
        <w:t>A-6-2</w:t>
      </w:r>
      <w:r>
        <w:rPr>
          <w:rFonts w:hint="eastAsia"/>
          <w:sz w:val="28"/>
          <w:szCs w:val="28"/>
        </w:rPr>
        <w:t>：企业信誉实力加权得分统计表</w:t>
      </w:r>
      <w:bookmarkEnd w:id="724"/>
    </w:p>
    <w:p>
      <w:pPr>
        <w:spacing w:line="440" w:lineRule="exact"/>
        <w:rPr>
          <w:rFonts w:hint="eastAsia" w:cs="宋体"/>
          <w:b/>
          <w:bCs/>
          <w:color w:val="000000"/>
        </w:rPr>
      </w:pPr>
    </w:p>
    <w:p>
      <w:pPr>
        <w:jc w:val="center"/>
        <w:rPr>
          <w:rFonts w:eastAsia="黑体"/>
          <w:color w:val="000000"/>
          <w:sz w:val="28"/>
          <w:szCs w:val="28"/>
        </w:rPr>
      </w:pPr>
      <w:r>
        <w:rPr>
          <w:rFonts w:hint="eastAsia" w:eastAsia="黑体" w:cs="黑体"/>
          <w:color w:val="000000"/>
          <w:sz w:val="28"/>
          <w:szCs w:val="28"/>
        </w:rPr>
        <w:t>企业信誉实力加权得分统计表</w:t>
      </w:r>
    </w:p>
    <w:p>
      <w:pPr>
        <w:spacing w:after="72" w:afterLines="30" w:line="440" w:lineRule="exact"/>
        <w:rPr>
          <w:rFonts w:hint="eastAsia" w:cs="宋体"/>
          <w:color w:val="000000"/>
        </w:rPr>
      </w:pPr>
    </w:p>
    <w:p>
      <w:pPr>
        <w:spacing w:after="72" w:afterLines="30" w:line="440" w:lineRule="exact"/>
        <w:rPr>
          <w:color w:val="000000"/>
        </w:rPr>
      </w:pPr>
      <w:r>
        <w:rPr>
          <w:rFonts w:hint="eastAsia" w:cs="宋体"/>
          <w:color w:val="000000"/>
        </w:rPr>
        <w:t>项目名称及项目招标编号：</w:t>
      </w:r>
      <w:r>
        <w:rPr>
          <w:color w:val="000000"/>
          <w:u w:val="single"/>
        </w:rPr>
        <w:t xml:space="preserve">                                           </w:t>
      </w:r>
      <w:r>
        <w:rPr>
          <w:rFonts w:hint="eastAsia" w:cs="宋体"/>
          <w:color w:val="000000"/>
        </w:rPr>
        <w:t>（项目名称）</w:t>
      </w:r>
      <w:r>
        <w:rPr>
          <w:color w:val="000000"/>
        </w:rPr>
        <w:t xml:space="preserve">                    </w:t>
      </w:r>
      <w:r>
        <w:rPr>
          <w:rFonts w:hint="eastAsia" w:cs="宋体"/>
          <w:color w:val="000000"/>
        </w:rPr>
        <w:t>时间：</w:t>
      </w:r>
      <w:r>
        <w:rPr>
          <w:color w:val="000000"/>
        </w:rPr>
        <w:t xml:space="preserve">      </w:t>
      </w: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r>
        <w:rPr>
          <w:rFonts w:hint="eastAsia"/>
          <w:color w:val="000000"/>
        </w:rPr>
        <w:t xml:space="preserve"> </w:t>
      </w:r>
    </w:p>
    <w:tbl>
      <w:tblPr>
        <w:tblStyle w:val="83"/>
        <w:tblW w:w="140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536"/>
        <w:gridCol w:w="1162"/>
        <w:gridCol w:w="1273"/>
        <w:gridCol w:w="1274"/>
        <w:gridCol w:w="1273"/>
        <w:gridCol w:w="1274"/>
        <w:gridCol w:w="1273"/>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709" w:type="dxa"/>
            <w:vMerge w:val="restart"/>
            <w:noWrap w:val="0"/>
            <w:vAlign w:val="center"/>
          </w:tcPr>
          <w:p>
            <w:pPr>
              <w:jc w:val="center"/>
              <w:rPr>
                <w:color w:val="000000"/>
              </w:rPr>
            </w:pPr>
            <w:r>
              <w:rPr>
                <w:rFonts w:hint="eastAsia" w:cs="宋体"/>
                <w:color w:val="000000"/>
              </w:rPr>
              <w:t>序号</w:t>
            </w:r>
          </w:p>
        </w:tc>
        <w:tc>
          <w:tcPr>
            <w:tcW w:w="4536" w:type="dxa"/>
            <w:vMerge w:val="restart"/>
            <w:noWrap w:val="0"/>
            <w:vAlign w:val="center"/>
          </w:tcPr>
          <w:p>
            <w:pPr>
              <w:jc w:val="center"/>
              <w:rPr>
                <w:rFonts w:hint="eastAsia"/>
                <w:color w:val="000000"/>
              </w:rPr>
            </w:pPr>
            <w:r>
              <w:rPr>
                <w:rFonts w:hint="eastAsia" w:cs="宋体"/>
                <w:color w:val="000000"/>
              </w:rPr>
              <w:t>评分项目</w:t>
            </w:r>
          </w:p>
        </w:tc>
        <w:tc>
          <w:tcPr>
            <w:tcW w:w="8803" w:type="dxa"/>
            <w:gridSpan w:val="7"/>
            <w:noWrap w:val="0"/>
            <w:vAlign w:val="center"/>
          </w:tcPr>
          <w:p>
            <w:pPr>
              <w:jc w:val="center"/>
              <w:rPr>
                <w:color w:val="000000"/>
              </w:rPr>
            </w:pPr>
            <w:r>
              <w:rPr>
                <w:rFonts w:hint="eastAsia" w:cs="宋体"/>
                <w:color w:val="000000"/>
              </w:rPr>
              <w:t>投标人名称（或代码）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709" w:type="dxa"/>
            <w:vMerge w:val="continue"/>
            <w:noWrap w:val="0"/>
            <w:vAlign w:val="center"/>
          </w:tcPr>
          <w:p>
            <w:pPr>
              <w:jc w:val="center"/>
              <w:rPr>
                <w:color w:val="000000"/>
              </w:rPr>
            </w:pPr>
          </w:p>
        </w:tc>
        <w:tc>
          <w:tcPr>
            <w:tcW w:w="4536" w:type="dxa"/>
            <w:vMerge w:val="continue"/>
            <w:noWrap w:val="0"/>
            <w:vAlign w:val="center"/>
          </w:tcPr>
          <w:p>
            <w:pPr>
              <w:jc w:val="center"/>
              <w:rPr>
                <w:color w:val="000000"/>
              </w:rPr>
            </w:pPr>
          </w:p>
        </w:tc>
        <w:tc>
          <w:tcPr>
            <w:tcW w:w="1162"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709" w:type="dxa"/>
            <w:noWrap w:val="0"/>
            <w:vAlign w:val="center"/>
          </w:tcPr>
          <w:p>
            <w:pPr>
              <w:jc w:val="center"/>
              <w:rPr>
                <w:color w:val="000000"/>
              </w:rPr>
            </w:pPr>
            <w:r>
              <w:rPr>
                <w:rFonts w:hint="eastAsia"/>
                <w:color w:val="000000"/>
              </w:rPr>
              <w:t>1</w:t>
            </w:r>
          </w:p>
        </w:tc>
        <w:tc>
          <w:tcPr>
            <w:tcW w:w="4536" w:type="dxa"/>
            <w:noWrap w:val="0"/>
            <w:vAlign w:val="center"/>
          </w:tcPr>
          <w:p>
            <w:pPr>
              <w:jc w:val="center"/>
              <w:rPr>
                <w:color w:val="000000"/>
              </w:rPr>
            </w:pPr>
            <w:r>
              <w:rPr>
                <w:rFonts w:hint="eastAsia"/>
                <w:color w:val="000000"/>
              </w:rPr>
              <w:t>施工企业信誉实力加权得分（满分    ）</w:t>
            </w:r>
          </w:p>
        </w:tc>
        <w:tc>
          <w:tcPr>
            <w:tcW w:w="1162"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709" w:type="dxa"/>
            <w:noWrap w:val="0"/>
            <w:vAlign w:val="center"/>
          </w:tcPr>
          <w:p>
            <w:pPr>
              <w:jc w:val="center"/>
              <w:rPr>
                <w:rFonts w:ascii="宋体" w:hAnsi="宋体"/>
                <w:color w:val="000000"/>
              </w:rPr>
            </w:pPr>
            <w:r>
              <w:rPr>
                <w:rFonts w:hint="eastAsia" w:ascii="宋体" w:hAnsi="宋体"/>
                <w:color w:val="000000"/>
              </w:rPr>
              <w:t>2</w:t>
            </w:r>
          </w:p>
        </w:tc>
        <w:tc>
          <w:tcPr>
            <w:tcW w:w="4536" w:type="dxa"/>
            <w:noWrap w:val="0"/>
            <w:vAlign w:val="center"/>
          </w:tcPr>
          <w:p>
            <w:pPr>
              <w:jc w:val="center"/>
              <w:rPr>
                <w:color w:val="000000"/>
              </w:rPr>
            </w:pPr>
            <w:r>
              <w:rPr>
                <w:rFonts w:hint="eastAsia" w:ascii="宋体" w:hAnsi="宋体"/>
                <w:color w:val="000000"/>
              </w:rPr>
              <w:t>设计获奖总得分（满分为100分）</w:t>
            </w:r>
          </w:p>
        </w:tc>
        <w:tc>
          <w:tcPr>
            <w:tcW w:w="1162"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709" w:type="dxa"/>
            <w:noWrap w:val="0"/>
            <w:vAlign w:val="center"/>
          </w:tcPr>
          <w:p>
            <w:pPr>
              <w:jc w:val="center"/>
              <w:rPr>
                <w:color w:val="000000"/>
              </w:rPr>
            </w:pPr>
            <w:r>
              <w:rPr>
                <w:rFonts w:hint="eastAsia"/>
                <w:color w:val="000000"/>
              </w:rPr>
              <w:t>3</w:t>
            </w:r>
          </w:p>
        </w:tc>
        <w:tc>
          <w:tcPr>
            <w:tcW w:w="4536" w:type="dxa"/>
            <w:noWrap w:val="0"/>
            <w:vAlign w:val="center"/>
          </w:tcPr>
          <w:p>
            <w:pPr>
              <w:jc w:val="center"/>
              <w:rPr>
                <w:color w:val="000000"/>
              </w:rPr>
            </w:pPr>
            <w:r>
              <w:rPr>
                <w:rFonts w:hint="eastAsia" w:cs="宋体"/>
                <w:color w:val="000000"/>
              </w:rPr>
              <w:t>设计企业信誉实力加权得分（满分）</w:t>
            </w:r>
          </w:p>
        </w:tc>
        <w:tc>
          <w:tcPr>
            <w:tcW w:w="1162"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709" w:type="dxa"/>
            <w:noWrap w:val="0"/>
            <w:vAlign w:val="center"/>
          </w:tcPr>
          <w:p>
            <w:pPr>
              <w:jc w:val="center"/>
              <w:rPr>
                <w:rFonts w:hint="eastAsia" w:cs="宋体"/>
                <w:color w:val="000000"/>
              </w:rPr>
            </w:pPr>
            <w:r>
              <w:rPr>
                <w:rFonts w:hint="eastAsia" w:cs="宋体"/>
                <w:color w:val="000000"/>
              </w:rPr>
              <w:t>4</w:t>
            </w:r>
          </w:p>
        </w:tc>
        <w:tc>
          <w:tcPr>
            <w:tcW w:w="4536" w:type="dxa"/>
            <w:noWrap w:val="0"/>
            <w:vAlign w:val="center"/>
          </w:tcPr>
          <w:p>
            <w:pPr>
              <w:jc w:val="center"/>
              <w:rPr>
                <w:color w:val="000000"/>
              </w:rPr>
            </w:pPr>
            <w:r>
              <w:rPr>
                <w:rFonts w:hint="eastAsia" w:ascii="宋体" w:hAnsi="宋体" w:cs="宋体"/>
                <w:color w:val="000000"/>
              </w:rPr>
              <w:t>企业信誉实力分分值权重（</w:t>
            </w:r>
            <w:r>
              <w:rPr>
                <w:rFonts w:ascii="宋体" w:hAnsi="宋体" w:cs="宋体"/>
                <w:color w:val="000000"/>
                <w:u w:val="single"/>
              </w:rPr>
              <w:t xml:space="preserve">     </w:t>
            </w:r>
            <w:r>
              <w:rPr>
                <w:rFonts w:ascii="宋体" w:hAnsi="宋体" w:cs="宋体"/>
                <w:color w:val="000000"/>
              </w:rPr>
              <w:t>%</w:t>
            </w:r>
            <w:r>
              <w:rPr>
                <w:rFonts w:hint="eastAsia" w:ascii="宋体" w:hAnsi="宋体" w:cs="宋体"/>
                <w:color w:val="000000"/>
              </w:rPr>
              <w:t>）</w:t>
            </w:r>
          </w:p>
        </w:tc>
        <w:tc>
          <w:tcPr>
            <w:tcW w:w="8803" w:type="dxa"/>
            <w:gridSpan w:val="7"/>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709" w:type="dxa"/>
            <w:noWrap w:val="0"/>
            <w:vAlign w:val="center"/>
          </w:tcPr>
          <w:p>
            <w:pPr>
              <w:jc w:val="center"/>
              <w:rPr>
                <w:rFonts w:hint="eastAsia" w:ascii="宋体" w:hAnsi="宋体" w:cs="宋体"/>
                <w:color w:val="000000"/>
              </w:rPr>
            </w:pPr>
            <w:r>
              <w:rPr>
                <w:rFonts w:hint="eastAsia" w:ascii="宋体" w:hAnsi="宋体" w:cs="宋体"/>
                <w:color w:val="000000"/>
              </w:rPr>
              <w:t>5</w:t>
            </w:r>
          </w:p>
        </w:tc>
        <w:tc>
          <w:tcPr>
            <w:tcW w:w="4536" w:type="dxa"/>
            <w:noWrap w:val="0"/>
            <w:vAlign w:val="center"/>
          </w:tcPr>
          <w:p>
            <w:pPr>
              <w:jc w:val="center"/>
              <w:rPr>
                <w:color w:val="000000"/>
              </w:rPr>
            </w:pPr>
            <w:r>
              <w:rPr>
                <w:rFonts w:hint="eastAsia" w:ascii="宋体" w:hAnsi="宋体" w:cs="宋体"/>
                <w:color w:val="000000"/>
              </w:rPr>
              <w:t>企业信誉实力加权得分</w:t>
            </w:r>
          </w:p>
        </w:tc>
        <w:tc>
          <w:tcPr>
            <w:tcW w:w="1162"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048" w:type="dxa"/>
            <w:gridSpan w:val="9"/>
            <w:noWrap w:val="0"/>
            <w:vAlign w:val="center"/>
          </w:tcPr>
          <w:p>
            <w:pPr>
              <w:jc w:val="left"/>
              <w:rPr>
                <w:rFonts w:ascii="宋体" w:hAnsi="宋体" w:cs="宋体"/>
                <w:color w:val="000000"/>
              </w:rPr>
            </w:pPr>
            <w:r>
              <w:rPr>
                <w:rFonts w:hint="eastAsia" w:ascii="宋体" w:hAnsi="宋体" w:cs="宋体"/>
                <w:color w:val="000000"/>
              </w:rPr>
              <w:t>设计企业信誉实力加权得分=设计获奖总得分（满分为100分）×企业信誉实力分分值权重</w:t>
            </w:r>
          </w:p>
          <w:p>
            <w:pPr>
              <w:jc w:val="left"/>
              <w:rPr>
                <w:rFonts w:hint="eastAsia" w:ascii="宋体" w:hAnsi="宋体" w:cs="宋体"/>
                <w:color w:val="000000"/>
              </w:rPr>
            </w:pPr>
            <w:r>
              <w:rPr>
                <w:rFonts w:hint="eastAsia" w:ascii="宋体" w:hAnsi="宋体" w:cs="宋体"/>
                <w:color w:val="000000"/>
              </w:rPr>
              <w:t>□企业信誉实力加权得分=80%×施工企业信誉实力加权得分+20%×设计企业信誉实力加权得分(由招标人勾选)</w:t>
            </w:r>
          </w:p>
          <w:p>
            <w:pPr>
              <w:jc w:val="left"/>
              <w:rPr>
                <w:rFonts w:hint="eastAsia"/>
                <w:color w:val="000000"/>
              </w:rPr>
            </w:pPr>
            <w:r>
              <w:rPr>
                <w:rFonts w:hint="eastAsia" w:ascii="宋体" w:hAnsi="宋体" w:cs="宋体"/>
                <w:color w:val="000000"/>
              </w:rPr>
              <w:t>□企业信誉实力加权得分=70%×施工企业信誉实力加权得分+30%×设计企业信誉实力加权得分(由招标人勾选)</w:t>
            </w:r>
          </w:p>
        </w:tc>
      </w:tr>
    </w:tbl>
    <w:p>
      <w:pPr>
        <w:spacing w:line="440" w:lineRule="exact"/>
        <w:rPr>
          <w:rFonts w:cs="宋体"/>
          <w:color w:val="000000"/>
        </w:rPr>
      </w:pPr>
      <w:r>
        <w:rPr>
          <w:rFonts w:hint="eastAsia" w:cs="宋体"/>
          <w:color w:val="000000"/>
        </w:rPr>
        <w:t>商务标全体评委签名：</w:t>
      </w:r>
      <w:r>
        <w:rPr>
          <w:color w:val="000000"/>
        </w:rPr>
        <w:t xml:space="preserve">                                                     </w:t>
      </w:r>
      <w:r>
        <w:rPr>
          <w:rFonts w:hint="eastAsia" w:cs="宋体"/>
          <w:color w:val="000000"/>
        </w:rPr>
        <w:t>日期：</w:t>
      </w:r>
      <w:r>
        <w:rPr>
          <w:color w:val="000000"/>
        </w:rPr>
        <w:t xml:space="preserve">        </w:t>
      </w: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p>
    <w:p>
      <w:pPr>
        <w:spacing w:line="360" w:lineRule="auto"/>
        <w:rPr>
          <w:color w:val="000000"/>
        </w:rPr>
      </w:pPr>
    </w:p>
    <w:p>
      <w:pPr>
        <w:spacing w:line="360" w:lineRule="auto"/>
        <w:rPr>
          <w:rFonts w:hint="eastAsia"/>
          <w:color w:val="000000"/>
        </w:rPr>
        <w:sectPr>
          <w:type w:val="continuous"/>
          <w:pgSz w:w="16840" w:h="11907" w:orient="landscape"/>
          <w:pgMar w:top="1440" w:right="1440" w:bottom="1440" w:left="1797" w:header="851" w:footer="851" w:gutter="0"/>
          <w:cols w:space="720" w:num="1"/>
          <w:docGrid w:linePitch="312" w:charSpace="0"/>
        </w:sectPr>
      </w:pPr>
    </w:p>
    <w:p>
      <w:pPr>
        <w:spacing w:line="380" w:lineRule="atLeast"/>
        <w:rPr>
          <w:rFonts w:hint="eastAsia"/>
          <w:color w:val="000000"/>
        </w:rPr>
      </w:pPr>
    </w:p>
    <w:p>
      <w:pPr>
        <w:pStyle w:val="4"/>
        <w:spacing w:line="240" w:lineRule="auto"/>
        <w:rPr>
          <w:b w:val="0"/>
          <w:color w:val="000000"/>
        </w:rPr>
      </w:pPr>
      <w:r>
        <w:rPr>
          <w:b w:val="0"/>
          <w:color w:val="000000"/>
        </w:rPr>
        <w:br w:type="page"/>
      </w:r>
      <w:bookmarkStart w:id="725" w:name="_Toc59203036"/>
      <w:r>
        <w:rPr>
          <w:sz w:val="28"/>
          <w:szCs w:val="28"/>
        </w:rPr>
        <w:t>附表A-7：形式评审记录表</w:t>
      </w:r>
      <w:bookmarkEnd w:id="725"/>
    </w:p>
    <w:p>
      <w:pPr>
        <w:jc w:val="center"/>
        <w:rPr>
          <w:rFonts w:ascii="宋体" w:hAnsi="宋体"/>
          <w:b/>
          <w:color w:val="000000"/>
          <w:sz w:val="28"/>
          <w:szCs w:val="28"/>
        </w:rPr>
      </w:pPr>
      <w:r>
        <w:rPr>
          <w:rFonts w:ascii="宋体" w:hAnsi="宋体"/>
          <w:b/>
          <w:color w:val="000000"/>
          <w:sz w:val="28"/>
          <w:szCs w:val="28"/>
        </w:rPr>
        <w:t>形式评审记录表</w:t>
      </w:r>
    </w:p>
    <w:p>
      <w:pPr>
        <w:spacing w:after="72" w:afterLines="30" w:line="440" w:lineRule="exact"/>
        <w:rPr>
          <w:color w:val="000000"/>
        </w:rPr>
      </w:pPr>
      <w:r>
        <w:rPr>
          <w:color w:val="000000"/>
        </w:rPr>
        <w:t>工程名称</w:t>
      </w:r>
      <w:r>
        <w:rPr>
          <w:rFonts w:hint="eastAsia"/>
          <w:color w:val="000000"/>
        </w:rPr>
        <w:t>及项目招标编号</w:t>
      </w:r>
      <w:r>
        <w:rPr>
          <w:color w:val="000000"/>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color w:val="000000"/>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6" w:hRule="atLeast"/>
          <w:jc w:val="center"/>
        </w:trPr>
        <w:tc>
          <w:tcPr>
            <w:tcW w:w="912" w:type="dxa"/>
            <w:noWrap w:val="0"/>
            <w:vAlign w:val="center"/>
          </w:tcPr>
          <w:p>
            <w:pPr>
              <w:spacing w:after="72" w:afterLines="30" w:line="440" w:lineRule="exact"/>
              <w:jc w:val="center"/>
              <w:rPr>
                <w:color w:val="000000"/>
              </w:rPr>
            </w:pPr>
            <w:r>
              <w:rPr>
                <w:color w:val="000000"/>
              </w:rPr>
              <w:t>序号</w:t>
            </w:r>
          </w:p>
        </w:tc>
        <w:tc>
          <w:tcPr>
            <w:tcW w:w="2156" w:type="dxa"/>
            <w:noWrap w:val="0"/>
            <w:vAlign w:val="center"/>
          </w:tcPr>
          <w:p>
            <w:pPr>
              <w:spacing w:line="440" w:lineRule="exact"/>
              <w:jc w:val="center"/>
              <w:rPr>
                <w:color w:val="000000"/>
              </w:rPr>
            </w:pPr>
            <w:r>
              <w:rPr>
                <w:color w:val="000000"/>
              </w:rPr>
              <w:t>评审因素</w:t>
            </w:r>
          </w:p>
        </w:tc>
        <w:tc>
          <w:tcPr>
            <w:tcW w:w="10776" w:type="dxa"/>
            <w:gridSpan w:val="9"/>
            <w:noWrap w:val="0"/>
            <w:vAlign w:val="center"/>
          </w:tcPr>
          <w:p>
            <w:pPr>
              <w:spacing w:line="440" w:lineRule="exact"/>
              <w:jc w:val="center"/>
              <w:rPr>
                <w:color w:val="000000"/>
              </w:rPr>
            </w:pPr>
            <w:r>
              <w:rPr>
                <w:color w:val="000000"/>
              </w:rPr>
              <w:t>投标人名称及评审意见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0" w:hRule="exact"/>
          <w:jc w:val="center"/>
        </w:trPr>
        <w:tc>
          <w:tcPr>
            <w:tcW w:w="912" w:type="dxa"/>
            <w:noWrap w:val="0"/>
            <w:vAlign w:val="center"/>
          </w:tcPr>
          <w:p>
            <w:pPr>
              <w:spacing w:line="440" w:lineRule="exact"/>
              <w:jc w:val="center"/>
              <w:rPr>
                <w:rFonts w:hint="eastAsia" w:eastAsia="黑体"/>
                <w:color w:val="000000"/>
              </w:rPr>
            </w:pPr>
            <w:r>
              <w:rPr>
                <w:rFonts w:hint="eastAsia" w:eastAsia="黑体"/>
                <w:color w:val="000000"/>
              </w:rPr>
              <w:t>1</w:t>
            </w:r>
          </w:p>
        </w:tc>
        <w:tc>
          <w:tcPr>
            <w:tcW w:w="2156" w:type="dxa"/>
            <w:noWrap w:val="0"/>
            <w:vAlign w:val="center"/>
          </w:tcPr>
          <w:p>
            <w:pPr>
              <w:spacing w:line="440" w:lineRule="exact"/>
              <w:jc w:val="center"/>
              <w:rPr>
                <w:rFonts w:hint="eastAsia"/>
                <w:color w:val="000000"/>
                <w:szCs w:val="21"/>
              </w:rPr>
            </w:pPr>
            <w:r>
              <w:rPr>
                <w:rFonts w:hint="eastAsia"/>
                <w:color w:val="000000"/>
                <w:szCs w:val="21"/>
              </w:rPr>
              <w:t>投标人名称、</w:t>
            </w:r>
            <w:r>
              <w:rPr>
                <w:color w:val="000000"/>
                <w:szCs w:val="21"/>
              </w:rPr>
              <w:t>盖章</w:t>
            </w:r>
          </w:p>
        </w:tc>
        <w:tc>
          <w:tcPr>
            <w:tcW w:w="1197"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8"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8"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8" w:type="dxa"/>
            <w:noWrap w:val="0"/>
            <w:vAlign w:val="center"/>
          </w:tcPr>
          <w:p>
            <w:pPr>
              <w:spacing w:line="44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0" w:hRule="exact"/>
          <w:jc w:val="center"/>
        </w:trPr>
        <w:tc>
          <w:tcPr>
            <w:tcW w:w="912" w:type="dxa"/>
            <w:noWrap w:val="0"/>
            <w:vAlign w:val="center"/>
          </w:tcPr>
          <w:p>
            <w:pPr>
              <w:spacing w:line="440" w:lineRule="exact"/>
              <w:jc w:val="center"/>
              <w:rPr>
                <w:rFonts w:hint="eastAsia" w:eastAsia="黑体"/>
                <w:color w:val="000000"/>
              </w:rPr>
            </w:pPr>
            <w:r>
              <w:rPr>
                <w:rFonts w:hint="eastAsia" w:eastAsia="黑体"/>
                <w:color w:val="000000"/>
              </w:rPr>
              <w:t>2</w:t>
            </w:r>
          </w:p>
        </w:tc>
        <w:tc>
          <w:tcPr>
            <w:tcW w:w="2156" w:type="dxa"/>
            <w:noWrap w:val="0"/>
            <w:vAlign w:val="center"/>
          </w:tcPr>
          <w:p>
            <w:pPr>
              <w:spacing w:line="440" w:lineRule="exact"/>
              <w:jc w:val="center"/>
              <w:rPr>
                <w:color w:val="000000"/>
                <w:szCs w:val="21"/>
              </w:rPr>
            </w:pPr>
            <w:r>
              <w:rPr>
                <w:color w:val="000000"/>
                <w:szCs w:val="21"/>
              </w:rPr>
              <w:t>投标函盖章</w:t>
            </w:r>
          </w:p>
        </w:tc>
        <w:tc>
          <w:tcPr>
            <w:tcW w:w="1197"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8"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8"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8" w:type="dxa"/>
            <w:noWrap w:val="0"/>
            <w:vAlign w:val="center"/>
          </w:tcPr>
          <w:p>
            <w:pPr>
              <w:spacing w:line="44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0" w:hRule="exact"/>
          <w:jc w:val="center"/>
        </w:trPr>
        <w:tc>
          <w:tcPr>
            <w:tcW w:w="912" w:type="dxa"/>
            <w:noWrap w:val="0"/>
            <w:vAlign w:val="center"/>
          </w:tcPr>
          <w:p>
            <w:pPr>
              <w:spacing w:line="440" w:lineRule="exact"/>
              <w:jc w:val="center"/>
              <w:rPr>
                <w:rFonts w:hint="eastAsia" w:eastAsia="黑体"/>
                <w:color w:val="000000"/>
              </w:rPr>
            </w:pPr>
            <w:r>
              <w:rPr>
                <w:rFonts w:hint="eastAsia" w:eastAsia="黑体"/>
                <w:color w:val="000000"/>
              </w:rPr>
              <w:t>3</w:t>
            </w:r>
          </w:p>
        </w:tc>
        <w:tc>
          <w:tcPr>
            <w:tcW w:w="2156" w:type="dxa"/>
            <w:noWrap w:val="0"/>
            <w:vAlign w:val="center"/>
          </w:tcPr>
          <w:p>
            <w:pPr>
              <w:spacing w:line="440" w:lineRule="exact"/>
              <w:jc w:val="center"/>
              <w:rPr>
                <w:color w:val="000000"/>
                <w:szCs w:val="21"/>
              </w:rPr>
            </w:pPr>
            <w:r>
              <w:rPr>
                <w:color w:val="000000"/>
                <w:szCs w:val="21"/>
              </w:rPr>
              <w:t>投标文件格式</w:t>
            </w:r>
          </w:p>
        </w:tc>
        <w:tc>
          <w:tcPr>
            <w:tcW w:w="1197"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8"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8"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8" w:type="dxa"/>
            <w:noWrap w:val="0"/>
            <w:vAlign w:val="center"/>
          </w:tcPr>
          <w:p>
            <w:pPr>
              <w:spacing w:line="44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0" w:hRule="exact"/>
          <w:jc w:val="center"/>
        </w:trPr>
        <w:tc>
          <w:tcPr>
            <w:tcW w:w="912" w:type="dxa"/>
            <w:noWrap w:val="0"/>
            <w:vAlign w:val="center"/>
          </w:tcPr>
          <w:p>
            <w:pPr>
              <w:spacing w:line="440" w:lineRule="exact"/>
              <w:jc w:val="center"/>
              <w:rPr>
                <w:rFonts w:hint="eastAsia" w:eastAsia="黑体"/>
                <w:color w:val="000000"/>
              </w:rPr>
            </w:pPr>
            <w:r>
              <w:rPr>
                <w:rFonts w:hint="eastAsia" w:eastAsia="黑体"/>
                <w:color w:val="000000"/>
              </w:rPr>
              <w:t>4</w:t>
            </w:r>
          </w:p>
        </w:tc>
        <w:tc>
          <w:tcPr>
            <w:tcW w:w="2156" w:type="dxa"/>
            <w:noWrap w:val="0"/>
            <w:vAlign w:val="center"/>
          </w:tcPr>
          <w:p>
            <w:pPr>
              <w:spacing w:line="440" w:lineRule="exact"/>
              <w:jc w:val="center"/>
              <w:rPr>
                <w:color w:val="000000"/>
                <w:szCs w:val="21"/>
              </w:rPr>
            </w:pPr>
            <w:r>
              <w:rPr>
                <w:color w:val="000000"/>
                <w:szCs w:val="21"/>
              </w:rPr>
              <w:t>联合体投标人</w:t>
            </w:r>
          </w:p>
        </w:tc>
        <w:tc>
          <w:tcPr>
            <w:tcW w:w="1197"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8"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8"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8" w:type="dxa"/>
            <w:noWrap w:val="0"/>
            <w:vAlign w:val="center"/>
          </w:tcPr>
          <w:p>
            <w:pPr>
              <w:spacing w:line="44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0" w:hRule="exact"/>
          <w:jc w:val="center"/>
        </w:trPr>
        <w:tc>
          <w:tcPr>
            <w:tcW w:w="912" w:type="dxa"/>
            <w:noWrap w:val="0"/>
            <w:vAlign w:val="center"/>
          </w:tcPr>
          <w:p>
            <w:pPr>
              <w:spacing w:line="440" w:lineRule="exact"/>
              <w:jc w:val="center"/>
              <w:rPr>
                <w:rFonts w:hint="eastAsia" w:eastAsia="黑体"/>
                <w:color w:val="000000"/>
              </w:rPr>
            </w:pPr>
            <w:r>
              <w:rPr>
                <w:rFonts w:hint="eastAsia" w:eastAsia="黑体"/>
                <w:color w:val="000000"/>
              </w:rPr>
              <w:t>5</w:t>
            </w:r>
          </w:p>
        </w:tc>
        <w:tc>
          <w:tcPr>
            <w:tcW w:w="2156" w:type="dxa"/>
            <w:noWrap w:val="0"/>
            <w:vAlign w:val="center"/>
          </w:tcPr>
          <w:p>
            <w:pPr>
              <w:spacing w:line="440" w:lineRule="exact"/>
              <w:jc w:val="center"/>
              <w:rPr>
                <w:color w:val="000000"/>
                <w:szCs w:val="21"/>
              </w:rPr>
            </w:pPr>
            <w:r>
              <w:rPr>
                <w:color w:val="000000"/>
                <w:szCs w:val="21"/>
              </w:rPr>
              <w:t>报价唯一</w:t>
            </w:r>
          </w:p>
        </w:tc>
        <w:tc>
          <w:tcPr>
            <w:tcW w:w="1197"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8"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8"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8" w:type="dxa"/>
            <w:noWrap w:val="0"/>
            <w:vAlign w:val="center"/>
          </w:tcPr>
          <w:p>
            <w:pPr>
              <w:spacing w:line="44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0" w:hRule="exact"/>
          <w:jc w:val="center"/>
        </w:trPr>
        <w:tc>
          <w:tcPr>
            <w:tcW w:w="912" w:type="dxa"/>
            <w:noWrap w:val="0"/>
            <w:vAlign w:val="center"/>
          </w:tcPr>
          <w:p>
            <w:pPr>
              <w:spacing w:line="440" w:lineRule="exact"/>
              <w:jc w:val="center"/>
              <w:rPr>
                <w:rFonts w:hint="eastAsia" w:eastAsia="黑体"/>
                <w:color w:val="000000"/>
              </w:rPr>
            </w:pPr>
            <w:r>
              <w:rPr>
                <w:rFonts w:hint="eastAsia" w:eastAsia="黑体"/>
                <w:color w:val="000000"/>
              </w:rPr>
              <w:t>6</w:t>
            </w:r>
          </w:p>
        </w:tc>
        <w:tc>
          <w:tcPr>
            <w:tcW w:w="2156" w:type="dxa"/>
            <w:noWrap w:val="0"/>
            <w:vAlign w:val="center"/>
          </w:tcPr>
          <w:p>
            <w:pPr>
              <w:spacing w:line="440" w:lineRule="exact"/>
              <w:jc w:val="center"/>
              <w:rPr>
                <w:rFonts w:hint="eastAsia"/>
                <w:color w:val="000000"/>
                <w:szCs w:val="21"/>
              </w:rPr>
            </w:pPr>
            <w:r>
              <w:rPr>
                <w:color w:val="000000"/>
                <w:szCs w:val="21"/>
              </w:rPr>
              <w:t>……</w:t>
            </w:r>
          </w:p>
        </w:tc>
        <w:tc>
          <w:tcPr>
            <w:tcW w:w="1197"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8"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8"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8" w:type="dxa"/>
            <w:noWrap w:val="0"/>
            <w:vAlign w:val="center"/>
          </w:tcPr>
          <w:p>
            <w:pPr>
              <w:spacing w:line="44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0" w:hRule="exact"/>
          <w:jc w:val="center"/>
        </w:trPr>
        <w:tc>
          <w:tcPr>
            <w:tcW w:w="912" w:type="dxa"/>
            <w:noWrap w:val="0"/>
            <w:vAlign w:val="center"/>
          </w:tcPr>
          <w:p>
            <w:pPr>
              <w:spacing w:line="440" w:lineRule="exact"/>
              <w:jc w:val="center"/>
              <w:rPr>
                <w:rFonts w:hint="eastAsia" w:eastAsia="黑体"/>
                <w:color w:val="000000"/>
              </w:rPr>
            </w:pPr>
          </w:p>
        </w:tc>
        <w:tc>
          <w:tcPr>
            <w:tcW w:w="2156" w:type="dxa"/>
            <w:noWrap w:val="0"/>
            <w:vAlign w:val="center"/>
          </w:tcPr>
          <w:p>
            <w:pPr>
              <w:spacing w:line="440" w:lineRule="exact"/>
              <w:jc w:val="center"/>
              <w:rPr>
                <w:color w:val="000000"/>
              </w:rPr>
            </w:pPr>
            <w:r>
              <w:rPr>
                <w:color w:val="000000"/>
              </w:rPr>
              <w:t>是否通过评审</w:t>
            </w:r>
          </w:p>
        </w:tc>
        <w:tc>
          <w:tcPr>
            <w:tcW w:w="1197"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8"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8"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7" w:type="dxa"/>
            <w:noWrap w:val="0"/>
            <w:vAlign w:val="center"/>
          </w:tcPr>
          <w:p>
            <w:pPr>
              <w:spacing w:line="440" w:lineRule="exact"/>
              <w:jc w:val="center"/>
              <w:rPr>
                <w:color w:val="000000"/>
              </w:rPr>
            </w:pPr>
          </w:p>
        </w:tc>
        <w:tc>
          <w:tcPr>
            <w:tcW w:w="1198" w:type="dxa"/>
            <w:noWrap w:val="0"/>
            <w:vAlign w:val="center"/>
          </w:tcPr>
          <w:p>
            <w:pPr>
              <w:spacing w:line="440" w:lineRule="exact"/>
              <w:jc w:val="center"/>
              <w:rPr>
                <w:color w:val="000000"/>
              </w:rPr>
            </w:pPr>
          </w:p>
        </w:tc>
      </w:tr>
    </w:tbl>
    <w:p>
      <w:pPr>
        <w:spacing w:line="440" w:lineRule="exact"/>
        <w:rPr>
          <w:rFonts w:eastAsia="楷体_GB2312"/>
          <w:color w:val="000000"/>
        </w:rPr>
      </w:pPr>
      <w:r>
        <w:rPr>
          <w:rFonts w:eastAsia="楷体_GB2312"/>
          <w:color w:val="000000"/>
          <w:szCs w:val="21"/>
        </w:rPr>
        <w:t>【</w:t>
      </w:r>
      <w:r>
        <w:rPr>
          <w:rFonts w:eastAsia="楷体_GB2312"/>
          <w:color w:val="000000"/>
        </w:rPr>
        <w:t>备注：本表可根据评分办法的需要进行调整</w:t>
      </w:r>
      <w:r>
        <w:rPr>
          <w:rFonts w:eastAsia="楷体_GB2312"/>
          <w:color w:val="000000"/>
          <w:szCs w:val="21"/>
        </w:rPr>
        <w:t>】</w:t>
      </w:r>
    </w:p>
    <w:p>
      <w:pPr>
        <w:spacing w:line="440" w:lineRule="exact"/>
        <w:rPr>
          <w:color w:val="000000"/>
        </w:rPr>
      </w:pPr>
    </w:p>
    <w:p>
      <w:pPr>
        <w:spacing w:line="440" w:lineRule="exact"/>
        <w:rPr>
          <w:color w:val="000000"/>
        </w:rPr>
      </w:pPr>
      <w:r>
        <w:rPr>
          <w:rFonts w:hint="eastAsia"/>
          <w:color w:val="000000"/>
        </w:rPr>
        <w:t>评标委员会全体成员</w:t>
      </w:r>
      <w:r>
        <w:rPr>
          <w:color w:val="000000"/>
        </w:rPr>
        <w:t>签名：                                                                        日期：        年     月     日</w:t>
      </w:r>
    </w:p>
    <w:p>
      <w:pPr>
        <w:spacing w:line="440" w:lineRule="exact"/>
      </w:pPr>
      <w:r>
        <w:t xml:space="preserve"> </w:t>
      </w:r>
    </w:p>
    <w:p>
      <w:pPr>
        <w:spacing w:line="440" w:lineRule="exact"/>
        <w:jc w:val="center"/>
        <w:rPr>
          <w:rFonts w:eastAsia="黑体"/>
          <w:sz w:val="28"/>
          <w:szCs w:val="28"/>
        </w:rPr>
      </w:pPr>
    </w:p>
    <w:p>
      <w:pPr>
        <w:pStyle w:val="4"/>
        <w:spacing w:line="240" w:lineRule="auto"/>
        <w:rPr>
          <w:b w:val="0"/>
          <w:color w:val="000000"/>
        </w:rPr>
      </w:pPr>
      <w:bookmarkStart w:id="726" w:name="_Toc59203037"/>
      <w:r>
        <w:rPr>
          <w:sz w:val="28"/>
          <w:szCs w:val="28"/>
        </w:rPr>
        <w:t>附表A-8</w:t>
      </w:r>
      <w:r>
        <w:rPr>
          <w:rFonts w:hint="eastAsia"/>
          <w:sz w:val="28"/>
          <w:szCs w:val="28"/>
        </w:rPr>
        <w:t>-1</w:t>
      </w:r>
      <w:r>
        <w:rPr>
          <w:sz w:val="28"/>
          <w:szCs w:val="28"/>
        </w:rPr>
        <w:t>：响应性评审记录表</w:t>
      </w:r>
      <w:r>
        <w:rPr>
          <w:rFonts w:hint="eastAsia"/>
          <w:sz w:val="28"/>
          <w:szCs w:val="28"/>
        </w:rPr>
        <w:t>（投标函）</w:t>
      </w:r>
      <w:bookmarkEnd w:id="726"/>
    </w:p>
    <w:p>
      <w:pPr>
        <w:jc w:val="center"/>
        <w:rPr>
          <w:rFonts w:ascii="宋体" w:hAnsi="宋体"/>
          <w:b/>
          <w:color w:val="000000"/>
          <w:sz w:val="28"/>
          <w:szCs w:val="28"/>
        </w:rPr>
      </w:pPr>
      <w:r>
        <w:rPr>
          <w:rFonts w:ascii="宋体" w:hAnsi="宋体"/>
          <w:b/>
          <w:color w:val="000000"/>
          <w:sz w:val="28"/>
          <w:szCs w:val="28"/>
        </w:rPr>
        <w:t>响应性评审记录表</w:t>
      </w:r>
      <w:r>
        <w:rPr>
          <w:rFonts w:hint="eastAsia" w:ascii="宋体" w:hAnsi="宋体"/>
          <w:b/>
          <w:color w:val="000000"/>
          <w:sz w:val="28"/>
          <w:szCs w:val="28"/>
        </w:rPr>
        <w:t>（投标函）</w:t>
      </w:r>
    </w:p>
    <w:p>
      <w:pPr>
        <w:spacing w:after="72" w:afterLines="30" w:line="440" w:lineRule="exact"/>
        <w:rPr>
          <w:color w:val="000000"/>
        </w:rPr>
      </w:pPr>
      <w:r>
        <w:rPr>
          <w:color w:val="000000"/>
        </w:rPr>
        <w:t>工程名称</w:t>
      </w:r>
      <w:r>
        <w:rPr>
          <w:rFonts w:hint="eastAsia"/>
          <w:color w:val="000000"/>
        </w:rPr>
        <w:t>及项目招标编号</w:t>
      </w:r>
      <w:r>
        <w:rPr>
          <w:color w:val="000000"/>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color w:val="000000"/>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470"/>
        <w:gridCol w:w="1134"/>
        <w:gridCol w:w="946"/>
        <w:gridCol w:w="1198"/>
        <w:gridCol w:w="1197"/>
        <w:gridCol w:w="1197"/>
        <w:gridCol w:w="1198"/>
        <w:gridCol w:w="1197"/>
        <w:gridCol w:w="1197"/>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912" w:type="dxa"/>
            <w:vMerge w:val="restart"/>
            <w:noWrap w:val="0"/>
            <w:vAlign w:val="center"/>
          </w:tcPr>
          <w:p>
            <w:pPr>
              <w:spacing w:after="72" w:afterLines="30" w:line="440" w:lineRule="exact"/>
              <w:jc w:val="center"/>
              <w:rPr>
                <w:color w:val="000000"/>
              </w:rPr>
            </w:pPr>
            <w:r>
              <w:rPr>
                <w:color w:val="000000"/>
              </w:rPr>
              <w:t>序号</w:t>
            </w:r>
          </w:p>
        </w:tc>
        <w:tc>
          <w:tcPr>
            <w:tcW w:w="2470" w:type="dxa"/>
            <w:vMerge w:val="restart"/>
            <w:noWrap w:val="0"/>
            <w:vAlign w:val="center"/>
          </w:tcPr>
          <w:p>
            <w:pPr>
              <w:jc w:val="center"/>
              <w:rPr>
                <w:color w:val="000000"/>
              </w:rPr>
            </w:pPr>
            <w:r>
              <w:rPr>
                <w:color w:val="000000"/>
              </w:rPr>
              <w:t>评审因素</w:t>
            </w:r>
          </w:p>
        </w:tc>
        <w:tc>
          <w:tcPr>
            <w:tcW w:w="10462" w:type="dxa"/>
            <w:gridSpan w:val="9"/>
            <w:noWrap w:val="0"/>
            <w:vAlign w:val="center"/>
          </w:tcPr>
          <w:p>
            <w:pPr>
              <w:jc w:val="center"/>
              <w:rPr>
                <w:color w:val="000000"/>
              </w:rPr>
            </w:pPr>
            <w:r>
              <w:rPr>
                <w:color w:val="000000"/>
              </w:rPr>
              <w:t>投标人名称及评审意见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912" w:type="dxa"/>
            <w:vMerge w:val="continue"/>
            <w:noWrap w:val="0"/>
            <w:vAlign w:val="center"/>
          </w:tcPr>
          <w:p>
            <w:pPr>
              <w:spacing w:after="72" w:afterLines="30" w:line="320" w:lineRule="exact"/>
              <w:jc w:val="center"/>
              <w:rPr>
                <w:rFonts w:hint="eastAsia"/>
                <w:color w:val="000000"/>
              </w:rPr>
            </w:pPr>
          </w:p>
        </w:tc>
        <w:tc>
          <w:tcPr>
            <w:tcW w:w="2470" w:type="dxa"/>
            <w:vMerge w:val="continue"/>
            <w:noWrap w:val="0"/>
            <w:vAlign w:val="center"/>
          </w:tcPr>
          <w:p>
            <w:pPr>
              <w:spacing w:line="440" w:lineRule="exact"/>
              <w:jc w:val="center"/>
              <w:rPr>
                <w:color w:val="000000"/>
                <w:szCs w:val="21"/>
              </w:rPr>
            </w:pPr>
          </w:p>
        </w:tc>
        <w:tc>
          <w:tcPr>
            <w:tcW w:w="1134" w:type="dxa"/>
            <w:noWrap w:val="0"/>
            <w:vAlign w:val="center"/>
          </w:tcPr>
          <w:p>
            <w:pPr>
              <w:spacing w:line="360" w:lineRule="atLeast"/>
              <w:jc w:val="center"/>
              <w:rPr>
                <w:color w:val="000000"/>
              </w:rPr>
            </w:pPr>
          </w:p>
        </w:tc>
        <w:tc>
          <w:tcPr>
            <w:tcW w:w="946"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912" w:type="dxa"/>
            <w:noWrap w:val="0"/>
            <w:vAlign w:val="center"/>
          </w:tcPr>
          <w:p>
            <w:pPr>
              <w:spacing w:after="72" w:afterLines="30" w:line="320" w:lineRule="exact"/>
              <w:jc w:val="center"/>
              <w:rPr>
                <w:rFonts w:hint="eastAsia"/>
                <w:color w:val="000000"/>
              </w:rPr>
            </w:pPr>
            <w:r>
              <w:rPr>
                <w:rFonts w:hint="eastAsia"/>
                <w:color w:val="000000"/>
              </w:rPr>
              <w:t>1</w:t>
            </w:r>
          </w:p>
        </w:tc>
        <w:tc>
          <w:tcPr>
            <w:tcW w:w="2470" w:type="dxa"/>
            <w:noWrap w:val="0"/>
            <w:vAlign w:val="center"/>
          </w:tcPr>
          <w:p>
            <w:pPr>
              <w:spacing w:line="440" w:lineRule="exact"/>
              <w:jc w:val="center"/>
              <w:rPr>
                <w:color w:val="000000"/>
                <w:szCs w:val="21"/>
              </w:rPr>
            </w:pPr>
            <w:r>
              <w:rPr>
                <w:rFonts w:hint="eastAsia"/>
                <w:color w:val="000000"/>
                <w:szCs w:val="21"/>
              </w:rPr>
              <w:t>投标函内容格式</w:t>
            </w:r>
          </w:p>
        </w:tc>
        <w:tc>
          <w:tcPr>
            <w:tcW w:w="1134" w:type="dxa"/>
            <w:noWrap w:val="0"/>
            <w:vAlign w:val="center"/>
          </w:tcPr>
          <w:p>
            <w:pPr>
              <w:spacing w:line="360" w:lineRule="atLeast"/>
              <w:jc w:val="center"/>
              <w:rPr>
                <w:color w:val="000000"/>
              </w:rPr>
            </w:pPr>
          </w:p>
        </w:tc>
        <w:tc>
          <w:tcPr>
            <w:tcW w:w="946"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912" w:type="dxa"/>
            <w:noWrap w:val="0"/>
            <w:vAlign w:val="center"/>
          </w:tcPr>
          <w:p>
            <w:pPr>
              <w:spacing w:after="72" w:afterLines="30" w:line="320" w:lineRule="exact"/>
              <w:jc w:val="center"/>
              <w:rPr>
                <w:rFonts w:hint="eastAsia"/>
                <w:color w:val="000000"/>
              </w:rPr>
            </w:pPr>
            <w:r>
              <w:rPr>
                <w:rFonts w:hint="eastAsia"/>
                <w:color w:val="000000"/>
              </w:rPr>
              <w:t>2</w:t>
            </w:r>
          </w:p>
        </w:tc>
        <w:tc>
          <w:tcPr>
            <w:tcW w:w="2470" w:type="dxa"/>
            <w:noWrap w:val="0"/>
            <w:vAlign w:val="center"/>
          </w:tcPr>
          <w:p>
            <w:pPr>
              <w:spacing w:line="440" w:lineRule="exact"/>
              <w:jc w:val="center"/>
              <w:rPr>
                <w:color w:val="000000"/>
                <w:szCs w:val="21"/>
              </w:rPr>
            </w:pPr>
            <w:r>
              <w:rPr>
                <w:color w:val="000000"/>
                <w:szCs w:val="21"/>
              </w:rPr>
              <w:t>工期</w:t>
            </w:r>
          </w:p>
        </w:tc>
        <w:tc>
          <w:tcPr>
            <w:tcW w:w="1134" w:type="dxa"/>
            <w:noWrap w:val="0"/>
            <w:vAlign w:val="center"/>
          </w:tcPr>
          <w:p>
            <w:pPr>
              <w:spacing w:line="360" w:lineRule="atLeast"/>
              <w:jc w:val="center"/>
              <w:rPr>
                <w:color w:val="000000"/>
              </w:rPr>
            </w:pPr>
          </w:p>
        </w:tc>
        <w:tc>
          <w:tcPr>
            <w:tcW w:w="946"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912" w:type="dxa"/>
            <w:noWrap w:val="0"/>
            <w:vAlign w:val="center"/>
          </w:tcPr>
          <w:p>
            <w:pPr>
              <w:spacing w:after="72" w:afterLines="30" w:line="320" w:lineRule="exact"/>
              <w:jc w:val="center"/>
              <w:rPr>
                <w:rFonts w:hint="eastAsia"/>
                <w:color w:val="000000"/>
              </w:rPr>
            </w:pPr>
            <w:r>
              <w:rPr>
                <w:rFonts w:hint="eastAsia"/>
                <w:color w:val="000000"/>
              </w:rPr>
              <w:t>3</w:t>
            </w:r>
          </w:p>
        </w:tc>
        <w:tc>
          <w:tcPr>
            <w:tcW w:w="2470" w:type="dxa"/>
            <w:noWrap w:val="0"/>
            <w:vAlign w:val="center"/>
          </w:tcPr>
          <w:p>
            <w:pPr>
              <w:spacing w:line="440" w:lineRule="exact"/>
              <w:jc w:val="center"/>
              <w:rPr>
                <w:rFonts w:hint="eastAsia"/>
                <w:color w:val="000000"/>
                <w:szCs w:val="21"/>
              </w:rPr>
            </w:pPr>
            <w:r>
              <w:rPr>
                <w:rFonts w:hint="eastAsia"/>
                <w:color w:val="000000"/>
                <w:szCs w:val="21"/>
              </w:rPr>
              <w:t>工程</w:t>
            </w:r>
            <w:r>
              <w:rPr>
                <w:color w:val="000000"/>
                <w:szCs w:val="21"/>
              </w:rPr>
              <w:t>质量</w:t>
            </w:r>
          </w:p>
        </w:tc>
        <w:tc>
          <w:tcPr>
            <w:tcW w:w="1134" w:type="dxa"/>
            <w:noWrap w:val="0"/>
            <w:vAlign w:val="center"/>
          </w:tcPr>
          <w:p>
            <w:pPr>
              <w:spacing w:line="360" w:lineRule="atLeast"/>
              <w:jc w:val="center"/>
              <w:rPr>
                <w:color w:val="000000"/>
              </w:rPr>
            </w:pPr>
          </w:p>
        </w:tc>
        <w:tc>
          <w:tcPr>
            <w:tcW w:w="946"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912" w:type="dxa"/>
            <w:noWrap w:val="0"/>
            <w:vAlign w:val="center"/>
          </w:tcPr>
          <w:p>
            <w:pPr>
              <w:spacing w:after="72" w:afterLines="30" w:line="320" w:lineRule="exact"/>
              <w:jc w:val="center"/>
              <w:rPr>
                <w:rFonts w:hint="eastAsia"/>
                <w:color w:val="000000"/>
              </w:rPr>
            </w:pPr>
            <w:r>
              <w:rPr>
                <w:rFonts w:hint="eastAsia"/>
                <w:color w:val="000000"/>
              </w:rPr>
              <w:t>4</w:t>
            </w:r>
          </w:p>
        </w:tc>
        <w:tc>
          <w:tcPr>
            <w:tcW w:w="2470" w:type="dxa"/>
            <w:noWrap w:val="0"/>
            <w:vAlign w:val="center"/>
          </w:tcPr>
          <w:p>
            <w:pPr>
              <w:spacing w:line="440" w:lineRule="exact"/>
              <w:jc w:val="center"/>
              <w:rPr>
                <w:color w:val="000000"/>
                <w:szCs w:val="21"/>
              </w:rPr>
            </w:pPr>
            <w:r>
              <w:rPr>
                <w:rFonts w:hint="eastAsia"/>
                <w:color w:val="000000"/>
                <w:szCs w:val="21"/>
              </w:rPr>
              <w:t>投标有效期</w:t>
            </w:r>
          </w:p>
        </w:tc>
        <w:tc>
          <w:tcPr>
            <w:tcW w:w="1134" w:type="dxa"/>
            <w:noWrap w:val="0"/>
            <w:vAlign w:val="center"/>
          </w:tcPr>
          <w:p>
            <w:pPr>
              <w:spacing w:line="360" w:lineRule="atLeast"/>
              <w:jc w:val="center"/>
              <w:rPr>
                <w:color w:val="000000"/>
              </w:rPr>
            </w:pPr>
          </w:p>
        </w:tc>
        <w:tc>
          <w:tcPr>
            <w:tcW w:w="946"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912" w:type="dxa"/>
            <w:noWrap w:val="0"/>
            <w:vAlign w:val="center"/>
          </w:tcPr>
          <w:p>
            <w:pPr>
              <w:spacing w:after="72" w:afterLines="30" w:line="320" w:lineRule="exact"/>
              <w:jc w:val="center"/>
              <w:rPr>
                <w:rFonts w:hint="eastAsia"/>
                <w:color w:val="000000"/>
              </w:rPr>
            </w:pPr>
            <w:r>
              <w:rPr>
                <w:rFonts w:hint="eastAsia"/>
                <w:color w:val="000000"/>
              </w:rPr>
              <w:t>5</w:t>
            </w:r>
          </w:p>
        </w:tc>
        <w:tc>
          <w:tcPr>
            <w:tcW w:w="2470" w:type="dxa"/>
            <w:noWrap w:val="0"/>
            <w:vAlign w:val="center"/>
          </w:tcPr>
          <w:p>
            <w:pPr>
              <w:spacing w:line="440" w:lineRule="exact"/>
              <w:jc w:val="center"/>
              <w:rPr>
                <w:color w:val="000000"/>
                <w:szCs w:val="21"/>
              </w:rPr>
            </w:pPr>
            <w:r>
              <w:rPr>
                <w:color w:val="000000"/>
                <w:szCs w:val="21"/>
              </w:rPr>
              <w:t>权利义务</w:t>
            </w:r>
          </w:p>
        </w:tc>
        <w:tc>
          <w:tcPr>
            <w:tcW w:w="1134" w:type="dxa"/>
            <w:noWrap w:val="0"/>
            <w:vAlign w:val="center"/>
          </w:tcPr>
          <w:p>
            <w:pPr>
              <w:spacing w:line="360" w:lineRule="atLeast"/>
              <w:jc w:val="center"/>
              <w:rPr>
                <w:color w:val="000000"/>
              </w:rPr>
            </w:pPr>
          </w:p>
        </w:tc>
        <w:tc>
          <w:tcPr>
            <w:tcW w:w="946"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912" w:type="dxa"/>
            <w:noWrap w:val="0"/>
            <w:vAlign w:val="center"/>
          </w:tcPr>
          <w:p>
            <w:pPr>
              <w:spacing w:after="72" w:afterLines="30" w:line="320" w:lineRule="exact"/>
              <w:jc w:val="center"/>
              <w:rPr>
                <w:rFonts w:hint="eastAsia"/>
                <w:color w:val="000000"/>
              </w:rPr>
            </w:pPr>
            <w:r>
              <w:rPr>
                <w:rFonts w:hint="eastAsia"/>
                <w:color w:val="000000"/>
              </w:rPr>
              <w:t>6</w:t>
            </w:r>
          </w:p>
        </w:tc>
        <w:tc>
          <w:tcPr>
            <w:tcW w:w="2470" w:type="dxa"/>
            <w:noWrap w:val="0"/>
            <w:vAlign w:val="center"/>
          </w:tcPr>
          <w:p>
            <w:pPr>
              <w:spacing w:line="440" w:lineRule="exact"/>
              <w:jc w:val="center"/>
              <w:rPr>
                <w:color w:val="000000"/>
                <w:szCs w:val="21"/>
              </w:rPr>
            </w:pPr>
            <w:r>
              <w:rPr>
                <w:rFonts w:hint="eastAsia"/>
                <w:color w:val="000000"/>
                <w:szCs w:val="21"/>
              </w:rPr>
              <w:t>技术标准和要求</w:t>
            </w:r>
          </w:p>
        </w:tc>
        <w:tc>
          <w:tcPr>
            <w:tcW w:w="1134" w:type="dxa"/>
            <w:noWrap w:val="0"/>
            <w:vAlign w:val="center"/>
          </w:tcPr>
          <w:p>
            <w:pPr>
              <w:spacing w:line="360" w:lineRule="atLeast"/>
              <w:jc w:val="center"/>
              <w:rPr>
                <w:color w:val="000000"/>
              </w:rPr>
            </w:pPr>
          </w:p>
        </w:tc>
        <w:tc>
          <w:tcPr>
            <w:tcW w:w="946"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912" w:type="dxa"/>
            <w:noWrap w:val="0"/>
            <w:vAlign w:val="center"/>
          </w:tcPr>
          <w:p>
            <w:pPr>
              <w:spacing w:after="72" w:afterLines="30" w:line="320" w:lineRule="exact"/>
              <w:jc w:val="center"/>
              <w:rPr>
                <w:rFonts w:hint="eastAsia"/>
                <w:color w:val="000000"/>
              </w:rPr>
            </w:pPr>
            <w:r>
              <w:rPr>
                <w:rFonts w:hint="eastAsia"/>
                <w:color w:val="000000"/>
              </w:rPr>
              <w:t>7</w:t>
            </w:r>
          </w:p>
        </w:tc>
        <w:tc>
          <w:tcPr>
            <w:tcW w:w="2470" w:type="dxa"/>
            <w:noWrap w:val="0"/>
            <w:vAlign w:val="center"/>
          </w:tcPr>
          <w:p>
            <w:pPr>
              <w:spacing w:line="440" w:lineRule="exact"/>
              <w:jc w:val="center"/>
              <w:rPr>
                <w:rFonts w:hint="eastAsia"/>
                <w:color w:val="000000"/>
                <w:szCs w:val="21"/>
              </w:rPr>
            </w:pPr>
            <w:r>
              <w:rPr>
                <w:rFonts w:hint="eastAsia"/>
                <w:color w:val="000000"/>
                <w:szCs w:val="21"/>
              </w:rPr>
              <w:t>投标价格</w:t>
            </w:r>
          </w:p>
        </w:tc>
        <w:tc>
          <w:tcPr>
            <w:tcW w:w="1134" w:type="dxa"/>
            <w:noWrap w:val="0"/>
            <w:vAlign w:val="center"/>
          </w:tcPr>
          <w:p>
            <w:pPr>
              <w:spacing w:line="360" w:lineRule="atLeast"/>
              <w:jc w:val="center"/>
              <w:rPr>
                <w:color w:val="000000"/>
              </w:rPr>
            </w:pPr>
          </w:p>
        </w:tc>
        <w:tc>
          <w:tcPr>
            <w:tcW w:w="946"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912" w:type="dxa"/>
            <w:noWrap w:val="0"/>
            <w:vAlign w:val="center"/>
          </w:tcPr>
          <w:p>
            <w:pPr>
              <w:spacing w:after="72" w:afterLines="30" w:line="320" w:lineRule="exact"/>
              <w:jc w:val="center"/>
              <w:rPr>
                <w:rFonts w:hint="eastAsia"/>
                <w:color w:val="000000"/>
              </w:rPr>
            </w:pPr>
            <w:r>
              <w:rPr>
                <w:rFonts w:hint="eastAsia"/>
                <w:color w:val="000000"/>
              </w:rPr>
              <w:t>8</w:t>
            </w:r>
          </w:p>
        </w:tc>
        <w:tc>
          <w:tcPr>
            <w:tcW w:w="2470" w:type="dxa"/>
            <w:noWrap w:val="0"/>
            <w:vAlign w:val="center"/>
          </w:tcPr>
          <w:p>
            <w:pPr>
              <w:spacing w:line="440" w:lineRule="exact"/>
              <w:jc w:val="center"/>
              <w:rPr>
                <w:rFonts w:hint="eastAsia"/>
                <w:color w:val="000000"/>
                <w:szCs w:val="21"/>
              </w:rPr>
            </w:pPr>
            <w:r>
              <w:rPr>
                <w:rFonts w:hint="eastAsia"/>
                <w:color w:val="000000"/>
                <w:szCs w:val="21"/>
              </w:rPr>
              <w:t>分包计划（如有）</w:t>
            </w:r>
          </w:p>
        </w:tc>
        <w:tc>
          <w:tcPr>
            <w:tcW w:w="1134" w:type="dxa"/>
            <w:noWrap w:val="0"/>
            <w:vAlign w:val="center"/>
          </w:tcPr>
          <w:p>
            <w:pPr>
              <w:spacing w:line="360" w:lineRule="atLeast"/>
              <w:jc w:val="center"/>
              <w:rPr>
                <w:color w:val="000000"/>
              </w:rPr>
            </w:pPr>
          </w:p>
        </w:tc>
        <w:tc>
          <w:tcPr>
            <w:tcW w:w="946"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912" w:type="dxa"/>
            <w:noWrap w:val="0"/>
            <w:vAlign w:val="center"/>
          </w:tcPr>
          <w:p>
            <w:pPr>
              <w:spacing w:after="72" w:afterLines="30" w:line="320" w:lineRule="exact"/>
              <w:jc w:val="center"/>
              <w:rPr>
                <w:rFonts w:hint="eastAsia"/>
                <w:color w:val="000000"/>
              </w:rPr>
            </w:pPr>
            <w:r>
              <w:rPr>
                <w:rFonts w:hint="eastAsia"/>
                <w:color w:val="000000"/>
              </w:rPr>
              <w:t>9</w:t>
            </w:r>
          </w:p>
        </w:tc>
        <w:tc>
          <w:tcPr>
            <w:tcW w:w="2470" w:type="dxa"/>
            <w:noWrap w:val="0"/>
            <w:vAlign w:val="center"/>
          </w:tcPr>
          <w:p>
            <w:pPr>
              <w:spacing w:line="440" w:lineRule="exact"/>
              <w:jc w:val="center"/>
              <w:rPr>
                <w:rFonts w:hint="eastAsia"/>
                <w:color w:val="000000"/>
                <w:szCs w:val="21"/>
              </w:rPr>
            </w:pPr>
            <w:r>
              <w:rPr>
                <w:rFonts w:hint="eastAsia"/>
                <w:color w:val="000000"/>
                <w:szCs w:val="21"/>
              </w:rPr>
              <w:t>澄清、说明、修正要求</w:t>
            </w:r>
          </w:p>
        </w:tc>
        <w:tc>
          <w:tcPr>
            <w:tcW w:w="1134" w:type="dxa"/>
            <w:noWrap w:val="0"/>
            <w:vAlign w:val="center"/>
          </w:tcPr>
          <w:p>
            <w:pPr>
              <w:spacing w:line="360" w:lineRule="atLeast"/>
              <w:jc w:val="center"/>
              <w:rPr>
                <w:color w:val="000000"/>
              </w:rPr>
            </w:pPr>
          </w:p>
        </w:tc>
        <w:tc>
          <w:tcPr>
            <w:tcW w:w="946"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912" w:type="dxa"/>
            <w:noWrap w:val="0"/>
            <w:vAlign w:val="center"/>
          </w:tcPr>
          <w:p>
            <w:pPr>
              <w:spacing w:after="72" w:afterLines="30" w:line="320" w:lineRule="exact"/>
              <w:jc w:val="center"/>
              <w:rPr>
                <w:rFonts w:hint="eastAsia"/>
                <w:color w:val="000000"/>
              </w:rPr>
            </w:pPr>
            <w:r>
              <w:rPr>
                <w:rFonts w:hint="eastAsia"/>
                <w:color w:val="000000"/>
              </w:rPr>
              <w:t>10</w:t>
            </w:r>
          </w:p>
        </w:tc>
        <w:tc>
          <w:tcPr>
            <w:tcW w:w="2470" w:type="dxa"/>
            <w:noWrap w:val="0"/>
            <w:vAlign w:val="center"/>
          </w:tcPr>
          <w:p>
            <w:pPr>
              <w:spacing w:line="440" w:lineRule="exact"/>
              <w:jc w:val="center"/>
              <w:rPr>
                <w:rFonts w:hint="eastAsia"/>
                <w:color w:val="000000"/>
                <w:szCs w:val="21"/>
              </w:rPr>
            </w:pPr>
            <w:r>
              <w:rPr>
                <w:rFonts w:hint="eastAsia"/>
                <w:color w:val="000000"/>
                <w:szCs w:val="21"/>
              </w:rPr>
              <w:t>其他实质性要求响应</w:t>
            </w:r>
          </w:p>
        </w:tc>
        <w:tc>
          <w:tcPr>
            <w:tcW w:w="1134" w:type="dxa"/>
            <w:noWrap w:val="0"/>
            <w:vAlign w:val="center"/>
          </w:tcPr>
          <w:p>
            <w:pPr>
              <w:spacing w:line="360" w:lineRule="atLeast"/>
              <w:jc w:val="center"/>
              <w:rPr>
                <w:color w:val="000000"/>
              </w:rPr>
            </w:pPr>
          </w:p>
        </w:tc>
        <w:tc>
          <w:tcPr>
            <w:tcW w:w="946"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3382" w:type="dxa"/>
            <w:gridSpan w:val="2"/>
            <w:noWrap w:val="0"/>
            <w:vAlign w:val="center"/>
          </w:tcPr>
          <w:p>
            <w:pPr>
              <w:spacing w:line="360" w:lineRule="atLeast"/>
              <w:jc w:val="center"/>
              <w:rPr>
                <w:color w:val="000000"/>
              </w:rPr>
            </w:pPr>
            <w:r>
              <w:rPr>
                <w:color w:val="000000"/>
              </w:rPr>
              <w:t>是否通过评审</w:t>
            </w:r>
          </w:p>
        </w:tc>
        <w:tc>
          <w:tcPr>
            <w:tcW w:w="1134" w:type="dxa"/>
            <w:noWrap w:val="0"/>
            <w:vAlign w:val="center"/>
          </w:tcPr>
          <w:p>
            <w:pPr>
              <w:spacing w:line="360" w:lineRule="atLeast"/>
              <w:jc w:val="center"/>
              <w:rPr>
                <w:color w:val="000000"/>
              </w:rPr>
            </w:pPr>
          </w:p>
        </w:tc>
        <w:tc>
          <w:tcPr>
            <w:tcW w:w="946"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7" w:type="dxa"/>
            <w:noWrap w:val="0"/>
            <w:vAlign w:val="center"/>
          </w:tcPr>
          <w:p>
            <w:pPr>
              <w:spacing w:line="360" w:lineRule="atLeast"/>
              <w:jc w:val="center"/>
              <w:rPr>
                <w:color w:val="000000"/>
              </w:rPr>
            </w:pPr>
          </w:p>
        </w:tc>
        <w:tc>
          <w:tcPr>
            <w:tcW w:w="1198" w:type="dxa"/>
            <w:noWrap w:val="0"/>
            <w:vAlign w:val="center"/>
          </w:tcPr>
          <w:p>
            <w:pPr>
              <w:spacing w:line="360" w:lineRule="atLeast"/>
              <w:jc w:val="center"/>
              <w:rPr>
                <w:color w:val="000000"/>
              </w:rPr>
            </w:pPr>
          </w:p>
        </w:tc>
      </w:tr>
    </w:tbl>
    <w:p>
      <w:pPr>
        <w:spacing w:line="360" w:lineRule="exact"/>
        <w:rPr>
          <w:rFonts w:eastAsia="楷体_GB2312"/>
          <w:color w:val="000000"/>
          <w:szCs w:val="44"/>
        </w:rPr>
      </w:pPr>
      <w:r>
        <w:rPr>
          <w:rFonts w:eastAsia="楷体_GB2312"/>
          <w:color w:val="000000"/>
          <w:szCs w:val="21"/>
        </w:rPr>
        <w:t>【</w:t>
      </w:r>
      <w:r>
        <w:rPr>
          <w:rFonts w:eastAsia="楷体_GB2312"/>
          <w:color w:val="000000"/>
        </w:rPr>
        <w:t>备注：本表可根据评分办法的需要进行调整</w:t>
      </w:r>
      <w:r>
        <w:rPr>
          <w:rFonts w:eastAsia="楷体_GB2312"/>
          <w:color w:val="000000"/>
          <w:szCs w:val="21"/>
        </w:rPr>
        <w:t>】</w:t>
      </w:r>
    </w:p>
    <w:p>
      <w:pPr>
        <w:spacing w:line="360" w:lineRule="exact"/>
        <w:rPr>
          <w:color w:val="000000"/>
        </w:rPr>
      </w:pPr>
    </w:p>
    <w:p>
      <w:pPr>
        <w:spacing w:line="360" w:lineRule="exact"/>
        <w:rPr>
          <w:color w:val="000000"/>
        </w:rPr>
      </w:pPr>
      <w:r>
        <w:rPr>
          <w:rFonts w:hint="eastAsia"/>
          <w:color w:val="000000"/>
        </w:rPr>
        <w:t>评标委员会经济评委</w:t>
      </w:r>
      <w:r>
        <w:rPr>
          <w:color w:val="000000"/>
        </w:rPr>
        <w:t>签名：                                                                        日期：        年     月     日</w:t>
      </w:r>
    </w:p>
    <w:p>
      <w:pPr>
        <w:pStyle w:val="4"/>
        <w:rPr>
          <w:rFonts w:ascii="宋体" w:hAnsi="宋体"/>
          <w:kern w:val="0"/>
          <w:szCs w:val="21"/>
        </w:rPr>
      </w:pPr>
      <w:bookmarkStart w:id="727" w:name="_Toc59203038"/>
      <w:r>
        <w:rPr>
          <w:rFonts w:hint="eastAsia" w:ascii="宋体" w:hAnsi="宋体"/>
          <w:kern w:val="0"/>
          <w:szCs w:val="21"/>
        </w:rPr>
        <w:t>附表</w:t>
      </w:r>
      <w:r>
        <w:rPr>
          <w:rFonts w:ascii="宋体" w:hAnsi="宋体"/>
          <w:kern w:val="0"/>
          <w:szCs w:val="21"/>
        </w:rPr>
        <w:t>A-8-2</w:t>
      </w:r>
      <w:r>
        <w:rPr>
          <w:rFonts w:hint="eastAsia" w:ascii="宋体" w:hAnsi="宋体"/>
          <w:kern w:val="0"/>
          <w:szCs w:val="21"/>
        </w:rPr>
        <w:t>：响应性评审记录表（资信业绩明标）</w:t>
      </w:r>
      <w:bookmarkEnd w:id="727"/>
    </w:p>
    <w:p>
      <w:pPr>
        <w:spacing w:after="72" w:line="440" w:lineRule="exact"/>
        <w:jc w:val="center"/>
      </w:pPr>
      <w:r>
        <w:rPr>
          <w:rFonts w:hint="eastAsia" w:eastAsia="黑体"/>
          <w:sz w:val="28"/>
          <w:szCs w:val="28"/>
        </w:rPr>
        <w:t>响应性评审记录表（资信业绩明标）</w:t>
      </w:r>
    </w:p>
    <w:p>
      <w:pPr>
        <w:spacing w:after="72" w:afterLines="30" w:line="440" w:lineRule="exact"/>
      </w:pPr>
      <w:r>
        <w:rPr>
          <w:rFonts w:hint="eastAsia" w:cs="宋体"/>
          <w:color w:val="000000"/>
        </w:rPr>
        <w:t>项目名称：</w:t>
      </w:r>
      <w:r>
        <w:rPr>
          <w:color w:val="000000"/>
          <w:u w:val="single"/>
        </w:rPr>
        <w:t xml:space="preserve">             </w:t>
      </w:r>
      <w:r>
        <w:rPr>
          <w:rFonts w:hint="eastAsia" w:cs="宋体"/>
          <w:color w:val="000000"/>
        </w:rPr>
        <w:t>（项目名称）</w:t>
      </w:r>
      <w:r>
        <w:rPr>
          <w:color w:val="000000"/>
        </w:rPr>
        <w:t xml:space="preserve">       </w:t>
      </w:r>
      <w:r>
        <w:rPr>
          <w:rFonts w:hint="eastAsia" w:cs="宋体"/>
          <w:color w:val="000000"/>
        </w:rPr>
        <w:t>项目招标编号：</w:t>
      </w:r>
      <w:r>
        <w:rPr>
          <w:color w:val="000000"/>
          <w:u w:val="single"/>
        </w:rPr>
        <w:t xml:space="preserve">               </w:t>
      </w:r>
      <w:r>
        <w:rPr>
          <w:color w:val="000000"/>
        </w:rPr>
        <w:t xml:space="preserve">        </w:t>
      </w:r>
      <w:r>
        <w:t xml:space="preserve">   </w:t>
      </w:r>
      <w:r>
        <w:rPr>
          <w:rFonts w:hint="eastAsia"/>
        </w:rPr>
        <w:t xml:space="preserve">        </w:t>
      </w:r>
      <w:r>
        <w:t xml:space="preserve">        时间：      年      月      日</w:t>
      </w:r>
    </w:p>
    <w:tbl>
      <w:tblPr>
        <w:tblStyle w:val="83"/>
        <w:tblW w:w="140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2635"/>
        <w:gridCol w:w="1024"/>
        <w:gridCol w:w="1197"/>
        <w:gridCol w:w="1198"/>
        <w:gridCol w:w="1197"/>
        <w:gridCol w:w="1197"/>
        <w:gridCol w:w="1198"/>
        <w:gridCol w:w="1197"/>
        <w:gridCol w:w="1197"/>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769" w:type="dxa"/>
            <w:vMerge w:val="restart"/>
            <w:noWrap w:val="0"/>
            <w:vAlign w:val="center"/>
          </w:tcPr>
          <w:p>
            <w:pPr>
              <w:spacing w:after="72" w:afterLines="30" w:line="440" w:lineRule="exact"/>
              <w:jc w:val="center"/>
            </w:pPr>
            <w:r>
              <w:t>序号</w:t>
            </w:r>
          </w:p>
        </w:tc>
        <w:tc>
          <w:tcPr>
            <w:tcW w:w="2635" w:type="dxa"/>
            <w:vMerge w:val="restart"/>
            <w:noWrap w:val="0"/>
            <w:vAlign w:val="center"/>
          </w:tcPr>
          <w:p>
            <w:pPr>
              <w:jc w:val="center"/>
            </w:pPr>
            <w:r>
              <w:t>评审因素</w:t>
            </w:r>
          </w:p>
        </w:tc>
        <w:tc>
          <w:tcPr>
            <w:tcW w:w="10603" w:type="dxa"/>
            <w:gridSpan w:val="9"/>
            <w:noWrap w:val="0"/>
            <w:vAlign w:val="center"/>
          </w:tcPr>
          <w:p>
            <w:pPr>
              <w:jc w:val="center"/>
            </w:pPr>
            <w:r>
              <w:t>投标人名称及评审意见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769" w:type="dxa"/>
            <w:vMerge w:val="continue"/>
            <w:noWrap w:val="0"/>
            <w:vAlign w:val="center"/>
          </w:tcPr>
          <w:p>
            <w:pPr>
              <w:jc w:val="center"/>
              <w:rPr>
                <w:rFonts w:eastAsia="黑体"/>
              </w:rPr>
            </w:pPr>
          </w:p>
        </w:tc>
        <w:tc>
          <w:tcPr>
            <w:tcW w:w="2635" w:type="dxa"/>
            <w:vMerge w:val="continue"/>
            <w:noWrap w:val="0"/>
            <w:vAlign w:val="center"/>
          </w:tcPr>
          <w:p>
            <w:pPr>
              <w:jc w:val="center"/>
            </w:pPr>
          </w:p>
        </w:tc>
        <w:tc>
          <w:tcPr>
            <w:tcW w:w="1024" w:type="dxa"/>
            <w:noWrap w:val="0"/>
            <w:vAlign w:val="center"/>
          </w:tcPr>
          <w:p>
            <w:pPr>
              <w:jc w:val="center"/>
            </w:pPr>
          </w:p>
        </w:tc>
        <w:tc>
          <w:tcPr>
            <w:tcW w:w="1197" w:type="dxa"/>
            <w:noWrap w:val="0"/>
            <w:vAlign w:val="center"/>
          </w:tcPr>
          <w:p>
            <w:pPr>
              <w:jc w:val="center"/>
            </w:pPr>
          </w:p>
        </w:tc>
        <w:tc>
          <w:tcPr>
            <w:tcW w:w="1198" w:type="dxa"/>
            <w:noWrap w:val="0"/>
            <w:vAlign w:val="center"/>
          </w:tcPr>
          <w:p>
            <w:pPr>
              <w:jc w:val="center"/>
            </w:pPr>
          </w:p>
        </w:tc>
        <w:tc>
          <w:tcPr>
            <w:tcW w:w="1197" w:type="dxa"/>
            <w:noWrap w:val="0"/>
            <w:vAlign w:val="center"/>
          </w:tcPr>
          <w:p>
            <w:pPr>
              <w:jc w:val="center"/>
            </w:pPr>
          </w:p>
        </w:tc>
        <w:tc>
          <w:tcPr>
            <w:tcW w:w="1197" w:type="dxa"/>
            <w:noWrap w:val="0"/>
            <w:vAlign w:val="center"/>
          </w:tcPr>
          <w:p>
            <w:pPr>
              <w:jc w:val="center"/>
            </w:pPr>
          </w:p>
        </w:tc>
        <w:tc>
          <w:tcPr>
            <w:tcW w:w="1198" w:type="dxa"/>
            <w:noWrap w:val="0"/>
            <w:vAlign w:val="center"/>
          </w:tcPr>
          <w:p>
            <w:pPr>
              <w:jc w:val="center"/>
            </w:pPr>
          </w:p>
        </w:tc>
        <w:tc>
          <w:tcPr>
            <w:tcW w:w="1197" w:type="dxa"/>
            <w:noWrap w:val="0"/>
            <w:vAlign w:val="center"/>
          </w:tcPr>
          <w:p>
            <w:pPr>
              <w:jc w:val="center"/>
            </w:pPr>
          </w:p>
        </w:tc>
        <w:tc>
          <w:tcPr>
            <w:tcW w:w="1197" w:type="dxa"/>
            <w:noWrap w:val="0"/>
            <w:vAlign w:val="center"/>
          </w:tcPr>
          <w:p>
            <w:pPr>
              <w:jc w:val="center"/>
            </w:pPr>
          </w:p>
        </w:tc>
        <w:tc>
          <w:tcPr>
            <w:tcW w:w="1198"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769" w:type="dxa"/>
            <w:noWrap w:val="0"/>
            <w:vAlign w:val="center"/>
          </w:tcPr>
          <w:p>
            <w:pPr>
              <w:spacing w:line="360" w:lineRule="atLeast"/>
              <w:jc w:val="center"/>
              <w:rPr>
                <w:rFonts w:eastAsia="黑体"/>
              </w:rPr>
            </w:pPr>
            <w:r>
              <w:rPr>
                <w:rFonts w:hint="eastAsia" w:eastAsia="黑体"/>
              </w:rPr>
              <w:t>1</w:t>
            </w:r>
          </w:p>
        </w:tc>
        <w:tc>
          <w:tcPr>
            <w:tcW w:w="2635" w:type="dxa"/>
            <w:noWrap w:val="0"/>
            <w:vAlign w:val="center"/>
          </w:tcPr>
          <w:p>
            <w:pPr>
              <w:spacing w:line="360" w:lineRule="atLeast"/>
              <w:jc w:val="center"/>
            </w:pPr>
            <w:r>
              <w:rPr>
                <w:rFonts w:hint="eastAsia"/>
              </w:rPr>
              <w:t>投标内容格式</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769" w:type="dxa"/>
            <w:noWrap w:val="0"/>
            <w:vAlign w:val="center"/>
          </w:tcPr>
          <w:p>
            <w:pPr>
              <w:spacing w:line="360" w:lineRule="atLeast"/>
              <w:jc w:val="center"/>
              <w:rPr>
                <w:rFonts w:eastAsia="黑体"/>
              </w:rPr>
            </w:pPr>
            <w:r>
              <w:rPr>
                <w:rFonts w:hint="eastAsia" w:eastAsia="黑体"/>
              </w:rPr>
              <w:t>2</w:t>
            </w:r>
          </w:p>
        </w:tc>
        <w:tc>
          <w:tcPr>
            <w:tcW w:w="2635" w:type="dxa"/>
            <w:noWrap w:val="0"/>
            <w:vAlign w:val="center"/>
          </w:tcPr>
          <w:p>
            <w:pPr>
              <w:spacing w:line="360" w:lineRule="atLeast"/>
              <w:jc w:val="center"/>
            </w:pPr>
            <w:r>
              <w:rPr>
                <w:rFonts w:hint="eastAsia"/>
              </w:rPr>
              <w:t>项目业绩</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58" w:hRule="exact"/>
          <w:jc w:val="center"/>
        </w:trPr>
        <w:tc>
          <w:tcPr>
            <w:tcW w:w="769" w:type="dxa"/>
            <w:noWrap w:val="0"/>
            <w:vAlign w:val="center"/>
          </w:tcPr>
          <w:p>
            <w:pPr>
              <w:spacing w:line="360" w:lineRule="atLeast"/>
              <w:jc w:val="center"/>
              <w:rPr>
                <w:rFonts w:eastAsia="黑体"/>
              </w:rPr>
            </w:pPr>
            <w:r>
              <w:rPr>
                <w:rFonts w:hint="eastAsia" w:eastAsia="黑体"/>
              </w:rPr>
              <w:t>3</w:t>
            </w:r>
          </w:p>
        </w:tc>
        <w:tc>
          <w:tcPr>
            <w:tcW w:w="2635" w:type="dxa"/>
            <w:noWrap w:val="0"/>
            <w:vAlign w:val="center"/>
          </w:tcPr>
          <w:p>
            <w:pPr>
              <w:spacing w:line="360" w:lineRule="atLeast"/>
              <w:jc w:val="center"/>
              <w:rPr>
                <w:rFonts w:hint="eastAsia"/>
              </w:rPr>
            </w:pPr>
            <w:r>
              <w:rPr>
                <w:rFonts w:hint="eastAsia"/>
              </w:rPr>
              <w:t>拟投入本项目管理人员配备情况</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20" w:hRule="exact"/>
          <w:jc w:val="center"/>
        </w:trPr>
        <w:tc>
          <w:tcPr>
            <w:tcW w:w="769" w:type="dxa"/>
            <w:noWrap w:val="0"/>
            <w:vAlign w:val="center"/>
          </w:tcPr>
          <w:p>
            <w:pPr>
              <w:spacing w:line="360" w:lineRule="atLeast"/>
              <w:jc w:val="center"/>
              <w:rPr>
                <w:rFonts w:eastAsia="黑体"/>
              </w:rPr>
            </w:pPr>
            <w:r>
              <w:rPr>
                <w:rFonts w:hint="eastAsia" w:eastAsia="黑体"/>
              </w:rPr>
              <w:t>4</w:t>
            </w:r>
          </w:p>
        </w:tc>
        <w:tc>
          <w:tcPr>
            <w:tcW w:w="2635" w:type="dxa"/>
            <w:noWrap w:val="0"/>
            <w:vAlign w:val="center"/>
          </w:tcPr>
          <w:p>
            <w:pPr>
              <w:spacing w:line="360" w:lineRule="atLeast"/>
              <w:jc w:val="center"/>
              <w:rPr>
                <w:rFonts w:hint="eastAsia"/>
              </w:rPr>
            </w:pPr>
            <w:r>
              <w:rPr>
                <w:rFonts w:hint="eastAsia"/>
              </w:rPr>
              <w:t>采用建筑信息模型（BIM）技术的项目业绩（如有）</w:t>
            </w:r>
          </w:p>
        </w:tc>
        <w:tc>
          <w:tcPr>
            <w:tcW w:w="1024" w:type="dxa"/>
            <w:noWrap w:val="0"/>
            <w:vAlign w:val="center"/>
          </w:tcPr>
          <w:p>
            <w:pPr>
              <w:spacing w:line="360" w:lineRule="atLeast"/>
              <w:jc w:val="center"/>
            </w:pPr>
          </w:p>
          <w:p>
            <w:pPr>
              <w:spacing w:line="360" w:lineRule="atLeast"/>
              <w:jc w:val="center"/>
              <w:rPr>
                <w:rFonts w:hint="eastAsia"/>
              </w:rPr>
            </w:pPr>
          </w:p>
          <w:p>
            <w:pPr>
              <w:spacing w:line="360" w:lineRule="atLeast"/>
              <w:jc w:val="center"/>
              <w:rPr>
                <w:rFonts w:hint="eastAsia"/>
              </w:rPr>
            </w:pPr>
          </w:p>
          <w:p>
            <w:pPr>
              <w:spacing w:line="360" w:lineRule="atLeast"/>
              <w:jc w:val="center"/>
              <w:rPr>
                <w:rFonts w:hint="eastAsia"/>
              </w:rP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769" w:type="dxa"/>
            <w:noWrap w:val="0"/>
            <w:vAlign w:val="center"/>
          </w:tcPr>
          <w:p>
            <w:pPr>
              <w:spacing w:line="360" w:lineRule="atLeast"/>
              <w:jc w:val="center"/>
              <w:rPr>
                <w:rFonts w:hint="eastAsia" w:eastAsia="黑体"/>
              </w:rPr>
            </w:pPr>
            <w:r>
              <w:rPr>
                <w:rFonts w:hint="eastAsia" w:eastAsia="黑体"/>
              </w:rPr>
              <w:t>5</w:t>
            </w:r>
          </w:p>
        </w:tc>
        <w:tc>
          <w:tcPr>
            <w:tcW w:w="2635" w:type="dxa"/>
            <w:noWrap w:val="0"/>
            <w:vAlign w:val="center"/>
          </w:tcPr>
          <w:p>
            <w:pPr>
              <w:spacing w:line="360" w:lineRule="atLeast"/>
              <w:jc w:val="center"/>
            </w:pPr>
            <w:r>
              <w:rPr>
                <w:rFonts w:hint="eastAsia"/>
              </w:rPr>
              <w:t>澄清、说明、修正要求</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769" w:type="dxa"/>
            <w:noWrap w:val="0"/>
            <w:vAlign w:val="center"/>
          </w:tcPr>
          <w:p>
            <w:pPr>
              <w:spacing w:line="360" w:lineRule="atLeast"/>
              <w:jc w:val="center"/>
              <w:rPr>
                <w:rFonts w:eastAsia="黑体"/>
              </w:rPr>
            </w:pPr>
            <w:r>
              <w:rPr>
                <w:rFonts w:hint="eastAsia" w:eastAsia="黑体"/>
              </w:rPr>
              <w:t>6</w:t>
            </w:r>
          </w:p>
        </w:tc>
        <w:tc>
          <w:tcPr>
            <w:tcW w:w="2635" w:type="dxa"/>
            <w:noWrap w:val="0"/>
            <w:vAlign w:val="center"/>
          </w:tcPr>
          <w:p>
            <w:pPr>
              <w:spacing w:line="360" w:lineRule="atLeast"/>
              <w:jc w:val="center"/>
            </w:pPr>
            <w:r>
              <w:rPr>
                <w:rFonts w:hint="eastAsia"/>
              </w:rPr>
              <w:t>其他实质性要求响应</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48" w:hRule="exact"/>
          <w:jc w:val="center"/>
        </w:trPr>
        <w:tc>
          <w:tcPr>
            <w:tcW w:w="769" w:type="dxa"/>
            <w:noWrap w:val="0"/>
            <w:vAlign w:val="center"/>
          </w:tcPr>
          <w:p>
            <w:pPr>
              <w:spacing w:line="360" w:lineRule="atLeast"/>
              <w:jc w:val="center"/>
              <w:rPr>
                <w:rFonts w:eastAsia="黑体"/>
              </w:rPr>
            </w:pPr>
          </w:p>
        </w:tc>
        <w:tc>
          <w:tcPr>
            <w:tcW w:w="2635" w:type="dxa"/>
            <w:noWrap w:val="0"/>
            <w:vAlign w:val="center"/>
          </w:tcPr>
          <w:p>
            <w:pPr>
              <w:spacing w:line="360" w:lineRule="atLeast"/>
              <w:jc w:val="center"/>
            </w:pPr>
            <w:r>
              <w:rPr>
                <w:rFonts w:hint="eastAsia"/>
              </w:rPr>
              <w:t>……</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3404" w:type="dxa"/>
            <w:gridSpan w:val="2"/>
            <w:noWrap w:val="0"/>
            <w:vAlign w:val="center"/>
          </w:tcPr>
          <w:p>
            <w:pPr>
              <w:spacing w:line="360" w:lineRule="atLeast"/>
              <w:jc w:val="center"/>
            </w:pPr>
            <w:r>
              <w:t>是否通过评审</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bl>
    <w:p>
      <w:pPr>
        <w:spacing w:line="360" w:lineRule="exact"/>
        <w:rPr>
          <w:rFonts w:eastAsia="楷体_GB2312"/>
        </w:rPr>
      </w:pPr>
      <w:r>
        <w:rPr>
          <w:rFonts w:eastAsia="楷体_GB2312"/>
          <w:szCs w:val="21"/>
        </w:rPr>
        <w:t>【</w:t>
      </w:r>
      <w:r>
        <w:rPr>
          <w:rFonts w:eastAsia="楷体_GB2312"/>
        </w:rPr>
        <w:t>备注：根据评分办法的</w:t>
      </w:r>
      <w:r>
        <w:rPr>
          <w:rFonts w:hint="eastAsia" w:eastAsia="楷体_GB2312"/>
        </w:rPr>
        <w:t>响应性评审</w:t>
      </w:r>
      <w:r>
        <w:rPr>
          <w:rFonts w:eastAsia="楷体_GB2312"/>
        </w:rPr>
        <w:t>标准调整本表</w:t>
      </w:r>
      <w:r>
        <w:rPr>
          <w:rFonts w:eastAsia="楷体_GB2312"/>
          <w:szCs w:val="21"/>
        </w:rPr>
        <w:t>】</w:t>
      </w:r>
    </w:p>
    <w:p>
      <w:pPr>
        <w:spacing w:line="360" w:lineRule="exact"/>
        <w:rPr>
          <w:rFonts w:hint="eastAsia"/>
          <w:color w:val="000000"/>
        </w:rPr>
      </w:pPr>
    </w:p>
    <w:p>
      <w:pPr>
        <w:spacing w:line="360" w:lineRule="exact"/>
      </w:pPr>
    </w:p>
    <w:p>
      <w:pPr>
        <w:pStyle w:val="4"/>
        <w:rPr>
          <w:rFonts w:ascii="宋体" w:hAnsi="宋体"/>
          <w:kern w:val="0"/>
          <w:szCs w:val="21"/>
        </w:rPr>
      </w:pPr>
      <w:bookmarkStart w:id="728" w:name="_Toc58255655"/>
      <w:bookmarkStart w:id="729" w:name="_Toc59203039"/>
      <w:r>
        <w:rPr>
          <w:rFonts w:hint="eastAsia" w:ascii="宋体" w:hAnsi="宋体"/>
          <w:kern w:val="0"/>
          <w:szCs w:val="21"/>
        </w:rPr>
        <w:t>附表</w:t>
      </w:r>
      <w:r>
        <w:rPr>
          <w:rFonts w:ascii="宋体" w:hAnsi="宋体"/>
          <w:kern w:val="0"/>
          <w:szCs w:val="21"/>
        </w:rPr>
        <w:t>A-8-3</w:t>
      </w:r>
      <w:r>
        <w:rPr>
          <w:rFonts w:hint="eastAsia" w:ascii="宋体" w:hAnsi="宋体"/>
          <w:kern w:val="0"/>
          <w:szCs w:val="21"/>
        </w:rPr>
        <w:t>：响应性评审记录表（技术标暗标）</w:t>
      </w:r>
      <w:bookmarkEnd w:id="728"/>
      <w:bookmarkEnd w:id="729"/>
    </w:p>
    <w:p>
      <w:pPr>
        <w:spacing w:after="72" w:line="440" w:lineRule="exact"/>
        <w:jc w:val="center"/>
      </w:pPr>
      <w:r>
        <w:rPr>
          <w:rFonts w:hint="eastAsia" w:eastAsia="黑体"/>
          <w:sz w:val="28"/>
          <w:szCs w:val="28"/>
        </w:rPr>
        <w:t>响应性评审记录表（技术标暗标）</w:t>
      </w:r>
    </w:p>
    <w:p>
      <w:pPr>
        <w:spacing w:after="72" w:afterLines="30" w:line="440" w:lineRule="exact"/>
      </w:pPr>
      <w:r>
        <w:rPr>
          <w:rFonts w:hint="eastAsia" w:cs="宋体"/>
          <w:color w:val="000000"/>
        </w:rPr>
        <w:t>项目名称：</w:t>
      </w:r>
      <w:r>
        <w:rPr>
          <w:color w:val="000000"/>
          <w:u w:val="single"/>
        </w:rPr>
        <w:t xml:space="preserve">             </w:t>
      </w:r>
      <w:r>
        <w:rPr>
          <w:rFonts w:hint="eastAsia" w:cs="宋体"/>
          <w:color w:val="000000"/>
        </w:rPr>
        <w:t>（项目名称）</w:t>
      </w:r>
      <w:r>
        <w:rPr>
          <w:color w:val="000000"/>
        </w:rPr>
        <w:t xml:space="preserve">       </w:t>
      </w:r>
      <w:r>
        <w:rPr>
          <w:rFonts w:hint="eastAsia" w:cs="宋体"/>
          <w:color w:val="000000"/>
        </w:rPr>
        <w:t>项目招标编号：</w:t>
      </w:r>
      <w:r>
        <w:rPr>
          <w:color w:val="000000"/>
          <w:u w:val="single"/>
        </w:rPr>
        <w:t xml:space="preserve">               </w:t>
      </w:r>
      <w:r>
        <w:rPr>
          <w:color w:val="000000"/>
        </w:rPr>
        <w:t xml:space="preserve">        </w:t>
      </w:r>
      <w:r>
        <w:t xml:space="preserve">   </w:t>
      </w:r>
      <w:r>
        <w:rPr>
          <w:rFonts w:hint="eastAsia"/>
        </w:rPr>
        <w:t xml:space="preserve">        </w:t>
      </w:r>
      <w:r>
        <w:t xml:space="preserve">        时间：      年      月      日</w:t>
      </w:r>
    </w:p>
    <w:tbl>
      <w:tblPr>
        <w:tblStyle w:val="83"/>
        <w:tblW w:w="1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2410"/>
        <w:gridCol w:w="1024"/>
        <w:gridCol w:w="1197"/>
        <w:gridCol w:w="1198"/>
        <w:gridCol w:w="1197"/>
        <w:gridCol w:w="1197"/>
        <w:gridCol w:w="1198"/>
        <w:gridCol w:w="1197"/>
        <w:gridCol w:w="1197"/>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831" w:type="dxa"/>
            <w:vMerge w:val="restart"/>
            <w:noWrap w:val="0"/>
            <w:vAlign w:val="center"/>
          </w:tcPr>
          <w:p>
            <w:pPr>
              <w:spacing w:after="72" w:afterLines="30" w:line="440" w:lineRule="exact"/>
              <w:jc w:val="center"/>
            </w:pPr>
            <w:r>
              <w:t>序号</w:t>
            </w:r>
          </w:p>
        </w:tc>
        <w:tc>
          <w:tcPr>
            <w:tcW w:w="2410" w:type="dxa"/>
            <w:vMerge w:val="restart"/>
            <w:noWrap w:val="0"/>
            <w:vAlign w:val="center"/>
          </w:tcPr>
          <w:p>
            <w:pPr>
              <w:jc w:val="center"/>
            </w:pPr>
            <w:r>
              <w:t>评审因素</w:t>
            </w:r>
          </w:p>
        </w:tc>
        <w:tc>
          <w:tcPr>
            <w:tcW w:w="10603" w:type="dxa"/>
            <w:gridSpan w:val="9"/>
            <w:noWrap w:val="0"/>
            <w:vAlign w:val="center"/>
          </w:tcPr>
          <w:p>
            <w:pPr>
              <w:jc w:val="center"/>
            </w:pPr>
            <w:r>
              <w:t>投标人名称及评审意见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831" w:type="dxa"/>
            <w:vMerge w:val="continue"/>
            <w:noWrap w:val="0"/>
            <w:vAlign w:val="center"/>
          </w:tcPr>
          <w:p>
            <w:pPr>
              <w:jc w:val="center"/>
              <w:rPr>
                <w:rFonts w:eastAsia="黑体"/>
              </w:rPr>
            </w:pPr>
          </w:p>
        </w:tc>
        <w:tc>
          <w:tcPr>
            <w:tcW w:w="2410" w:type="dxa"/>
            <w:vMerge w:val="continue"/>
            <w:noWrap w:val="0"/>
            <w:vAlign w:val="center"/>
          </w:tcPr>
          <w:p>
            <w:pPr>
              <w:jc w:val="center"/>
            </w:pPr>
          </w:p>
        </w:tc>
        <w:tc>
          <w:tcPr>
            <w:tcW w:w="1024" w:type="dxa"/>
            <w:noWrap w:val="0"/>
            <w:vAlign w:val="center"/>
          </w:tcPr>
          <w:p>
            <w:pPr>
              <w:jc w:val="center"/>
            </w:pPr>
          </w:p>
        </w:tc>
        <w:tc>
          <w:tcPr>
            <w:tcW w:w="1197" w:type="dxa"/>
            <w:noWrap w:val="0"/>
            <w:vAlign w:val="center"/>
          </w:tcPr>
          <w:p>
            <w:pPr>
              <w:jc w:val="center"/>
            </w:pPr>
          </w:p>
        </w:tc>
        <w:tc>
          <w:tcPr>
            <w:tcW w:w="1198" w:type="dxa"/>
            <w:noWrap w:val="0"/>
            <w:vAlign w:val="center"/>
          </w:tcPr>
          <w:p>
            <w:pPr>
              <w:jc w:val="center"/>
            </w:pPr>
          </w:p>
        </w:tc>
        <w:tc>
          <w:tcPr>
            <w:tcW w:w="1197" w:type="dxa"/>
            <w:noWrap w:val="0"/>
            <w:vAlign w:val="center"/>
          </w:tcPr>
          <w:p>
            <w:pPr>
              <w:jc w:val="center"/>
            </w:pPr>
          </w:p>
        </w:tc>
        <w:tc>
          <w:tcPr>
            <w:tcW w:w="1197" w:type="dxa"/>
            <w:noWrap w:val="0"/>
            <w:vAlign w:val="center"/>
          </w:tcPr>
          <w:p>
            <w:pPr>
              <w:jc w:val="center"/>
            </w:pPr>
          </w:p>
        </w:tc>
        <w:tc>
          <w:tcPr>
            <w:tcW w:w="1198" w:type="dxa"/>
            <w:noWrap w:val="0"/>
            <w:vAlign w:val="center"/>
          </w:tcPr>
          <w:p>
            <w:pPr>
              <w:jc w:val="center"/>
            </w:pPr>
          </w:p>
        </w:tc>
        <w:tc>
          <w:tcPr>
            <w:tcW w:w="1197" w:type="dxa"/>
            <w:noWrap w:val="0"/>
            <w:vAlign w:val="center"/>
          </w:tcPr>
          <w:p>
            <w:pPr>
              <w:jc w:val="center"/>
            </w:pPr>
          </w:p>
        </w:tc>
        <w:tc>
          <w:tcPr>
            <w:tcW w:w="1197" w:type="dxa"/>
            <w:noWrap w:val="0"/>
            <w:vAlign w:val="center"/>
          </w:tcPr>
          <w:p>
            <w:pPr>
              <w:jc w:val="center"/>
            </w:pPr>
          </w:p>
        </w:tc>
        <w:tc>
          <w:tcPr>
            <w:tcW w:w="1198"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831" w:type="dxa"/>
            <w:noWrap w:val="0"/>
            <w:vAlign w:val="center"/>
          </w:tcPr>
          <w:p>
            <w:pPr>
              <w:spacing w:line="360" w:lineRule="atLeast"/>
              <w:jc w:val="center"/>
              <w:rPr>
                <w:rFonts w:eastAsia="黑体"/>
              </w:rPr>
            </w:pPr>
            <w:r>
              <w:rPr>
                <w:rFonts w:hint="eastAsia" w:eastAsia="黑体"/>
              </w:rPr>
              <w:t>1</w:t>
            </w:r>
          </w:p>
        </w:tc>
        <w:tc>
          <w:tcPr>
            <w:tcW w:w="2410" w:type="dxa"/>
            <w:noWrap w:val="0"/>
            <w:vAlign w:val="center"/>
          </w:tcPr>
          <w:p>
            <w:pPr>
              <w:spacing w:line="360" w:lineRule="atLeast"/>
              <w:jc w:val="center"/>
            </w:pPr>
            <w:r>
              <w:rPr>
                <w:rFonts w:hint="eastAsia"/>
              </w:rPr>
              <w:t>技术标暗标编制格式</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831" w:type="dxa"/>
            <w:noWrap w:val="0"/>
            <w:vAlign w:val="center"/>
          </w:tcPr>
          <w:p>
            <w:pPr>
              <w:spacing w:line="360" w:lineRule="atLeast"/>
              <w:jc w:val="center"/>
              <w:rPr>
                <w:rFonts w:eastAsia="黑体"/>
              </w:rPr>
            </w:pPr>
            <w:r>
              <w:rPr>
                <w:rFonts w:hint="eastAsia" w:eastAsia="黑体"/>
              </w:rPr>
              <w:t>2</w:t>
            </w:r>
          </w:p>
        </w:tc>
        <w:tc>
          <w:tcPr>
            <w:tcW w:w="2410" w:type="dxa"/>
            <w:noWrap w:val="0"/>
            <w:vAlign w:val="center"/>
          </w:tcPr>
          <w:p>
            <w:pPr>
              <w:spacing w:line="360" w:lineRule="atLeast"/>
              <w:jc w:val="center"/>
            </w:pPr>
            <w:r>
              <w:rPr>
                <w:rFonts w:hint="eastAsia"/>
              </w:rPr>
              <w:t>技术标编制内容</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831" w:type="dxa"/>
            <w:noWrap w:val="0"/>
            <w:vAlign w:val="center"/>
          </w:tcPr>
          <w:p>
            <w:pPr>
              <w:spacing w:line="360" w:lineRule="atLeast"/>
              <w:jc w:val="center"/>
              <w:rPr>
                <w:rFonts w:eastAsia="黑体"/>
              </w:rPr>
            </w:pPr>
            <w:r>
              <w:rPr>
                <w:rFonts w:hint="eastAsia" w:eastAsia="黑体"/>
              </w:rPr>
              <w:t>3</w:t>
            </w:r>
          </w:p>
        </w:tc>
        <w:tc>
          <w:tcPr>
            <w:tcW w:w="2410" w:type="dxa"/>
            <w:noWrap w:val="0"/>
            <w:vAlign w:val="center"/>
          </w:tcPr>
          <w:p>
            <w:pPr>
              <w:spacing w:line="440" w:lineRule="exact"/>
              <w:jc w:val="center"/>
              <w:rPr>
                <w:color w:val="000000"/>
                <w:szCs w:val="21"/>
              </w:rPr>
            </w:pPr>
            <w:r>
              <w:rPr>
                <w:color w:val="000000"/>
                <w:szCs w:val="21"/>
              </w:rPr>
              <w:t>工期</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831" w:type="dxa"/>
            <w:noWrap w:val="0"/>
            <w:vAlign w:val="center"/>
          </w:tcPr>
          <w:p>
            <w:pPr>
              <w:spacing w:line="360" w:lineRule="atLeast"/>
              <w:jc w:val="center"/>
              <w:rPr>
                <w:rFonts w:eastAsia="黑体"/>
              </w:rPr>
            </w:pPr>
            <w:r>
              <w:rPr>
                <w:rFonts w:hint="eastAsia" w:eastAsia="黑体"/>
              </w:rPr>
              <w:t>4</w:t>
            </w:r>
          </w:p>
        </w:tc>
        <w:tc>
          <w:tcPr>
            <w:tcW w:w="2410" w:type="dxa"/>
            <w:noWrap w:val="0"/>
            <w:vAlign w:val="center"/>
          </w:tcPr>
          <w:p>
            <w:pPr>
              <w:spacing w:line="440" w:lineRule="exact"/>
              <w:jc w:val="center"/>
              <w:rPr>
                <w:rFonts w:hint="eastAsia"/>
                <w:color w:val="000000"/>
                <w:szCs w:val="21"/>
              </w:rPr>
            </w:pPr>
            <w:r>
              <w:rPr>
                <w:rFonts w:hint="eastAsia"/>
                <w:color w:val="000000"/>
                <w:szCs w:val="21"/>
              </w:rPr>
              <w:t>工程</w:t>
            </w:r>
            <w:r>
              <w:rPr>
                <w:color w:val="000000"/>
                <w:szCs w:val="21"/>
              </w:rPr>
              <w:t>质量</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831" w:type="dxa"/>
            <w:noWrap w:val="0"/>
            <w:vAlign w:val="center"/>
          </w:tcPr>
          <w:p>
            <w:pPr>
              <w:spacing w:line="360" w:lineRule="atLeast"/>
              <w:jc w:val="center"/>
              <w:rPr>
                <w:rFonts w:hint="eastAsia" w:eastAsia="黑体"/>
              </w:rPr>
            </w:pPr>
            <w:r>
              <w:rPr>
                <w:rFonts w:hint="eastAsia" w:eastAsia="黑体"/>
              </w:rPr>
              <w:t>5</w:t>
            </w:r>
          </w:p>
        </w:tc>
        <w:tc>
          <w:tcPr>
            <w:tcW w:w="2410" w:type="dxa"/>
            <w:noWrap w:val="0"/>
            <w:vAlign w:val="center"/>
          </w:tcPr>
          <w:p>
            <w:pPr>
              <w:spacing w:line="440" w:lineRule="exact"/>
              <w:jc w:val="center"/>
              <w:rPr>
                <w:color w:val="000000"/>
                <w:szCs w:val="21"/>
              </w:rPr>
            </w:pPr>
            <w:r>
              <w:rPr>
                <w:color w:val="000000"/>
                <w:szCs w:val="21"/>
              </w:rPr>
              <w:t>权利义务</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831" w:type="dxa"/>
            <w:noWrap w:val="0"/>
            <w:vAlign w:val="center"/>
          </w:tcPr>
          <w:p>
            <w:pPr>
              <w:spacing w:line="360" w:lineRule="atLeast"/>
              <w:jc w:val="center"/>
              <w:rPr>
                <w:rFonts w:hint="eastAsia" w:eastAsia="黑体"/>
              </w:rPr>
            </w:pPr>
            <w:r>
              <w:rPr>
                <w:rFonts w:hint="eastAsia" w:eastAsia="黑体"/>
              </w:rPr>
              <w:t>6</w:t>
            </w:r>
          </w:p>
        </w:tc>
        <w:tc>
          <w:tcPr>
            <w:tcW w:w="2410" w:type="dxa"/>
            <w:noWrap w:val="0"/>
            <w:vAlign w:val="center"/>
          </w:tcPr>
          <w:p>
            <w:pPr>
              <w:spacing w:line="440" w:lineRule="exact"/>
              <w:jc w:val="center"/>
              <w:rPr>
                <w:color w:val="000000"/>
                <w:szCs w:val="21"/>
              </w:rPr>
            </w:pPr>
            <w:r>
              <w:rPr>
                <w:rFonts w:hint="eastAsia"/>
                <w:color w:val="000000"/>
                <w:szCs w:val="21"/>
              </w:rPr>
              <w:t>技术标准和要求</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831" w:type="dxa"/>
            <w:noWrap w:val="0"/>
            <w:vAlign w:val="center"/>
          </w:tcPr>
          <w:p>
            <w:pPr>
              <w:spacing w:line="360" w:lineRule="atLeast"/>
              <w:jc w:val="center"/>
              <w:rPr>
                <w:rFonts w:hint="eastAsia" w:eastAsia="黑体"/>
              </w:rPr>
            </w:pPr>
            <w:r>
              <w:rPr>
                <w:rFonts w:hint="eastAsia" w:eastAsia="黑体"/>
              </w:rPr>
              <w:t>7</w:t>
            </w:r>
          </w:p>
        </w:tc>
        <w:tc>
          <w:tcPr>
            <w:tcW w:w="2410" w:type="dxa"/>
            <w:noWrap w:val="0"/>
            <w:vAlign w:val="center"/>
          </w:tcPr>
          <w:p>
            <w:pPr>
              <w:spacing w:line="440" w:lineRule="exact"/>
              <w:jc w:val="center"/>
              <w:rPr>
                <w:rFonts w:hint="eastAsia"/>
                <w:color w:val="000000"/>
                <w:szCs w:val="21"/>
              </w:rPr>
            </w:pPr>
            <w:r>
              <w:rPr>
                <w:rFonts w:hint="eastAsia"/>
                <w:color w:val="000000"/>
                <w:szCs w:val="21"/>
              </w:rPr>
              <w:t>分包计划（如有）</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831" w:type="dxa"/>
            <w:noWrap w:val="0"/>
            <w:vAlign w:val="center"/>
          </w:tcPr>
          <w:p>
            <w:pPr>
              <w:spacing w:line="360" w:lineRule="atLeast"/>
              <w:jc w:val="center"/>
              <w:rPr>
                <w:rFonts w:eastAsia="黑体"/>
              </w:rPr>
            </w:pPr>
            <w:r>
              <w:rPr>
                <w:rFonts w:hint="eastAsia" w:eastAsia="黑体"/>
              </w:rPr>
              <w:t>8</w:t>
            </w:r>
          </w:p>
        </w:tc>
        <w:tc>
          <w:tcPr>
            <w:tcW w:w="2410" w:type="dxa"/>
            <w:noWrap w:val="0"/>
            <w:vAlign w:val="center"/>
          </w:tcPr>
          <w:p>
            <w:pPr>
              <w:spacing w:line="440" w:lineRule="exact"/>
              <w:jc w:val="center"/>
              <w:rPr>
                <w:rFonts w:hint="eastAsia"/>
                <w:color w:val="000000"/>
                <w:szCs w:val="21"/>
              </w:rPr>
            </w:pPr>
            <w:r>
              <w:rPr>
                <w:rFonts w:hint="eastAsia"/>
                <w:color w:val="000000"/>
                <w:szCs w:val="21"/>
              </w:rPr>
              <w:t>澄清、说明、修正要求</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831" w:type="dxa"/>
            <w:noWrap w:val="0"/>
            <w:vAlign w:val="center"/>
          </w:tcPr>
          <w:p>
            <w:pPr>
              <w:spacing w:line="360" w:lineRule="atLeast"/>
              <w:jc w:val="center"/>
              <w:rPr>
                <w:rFonts w:eastAsia="黑体"/>
              </w:rPr>
            </w:pPr>
            <w:r>
              <w:rPr>
                <w:rFonts w:hint="eastAsia" w:eastAsia="黑体"/>
              </w:rPr>
              <w:t>9</w:t>
            </w:r>
          </w:p>
        </w:tc>
        <w:tc>
          <w:tcPr>
            <w:tcW w:w="2410" w:type="dxa"/>
            <w:noWrap w:val="0"/>
            <w:vAlign w:val="center"/>
          </w:tcPr>
          <w:p>
            <w:pPr>
              <w:spacing w:line="440" w:lineRule="exact"/>
              <w:jc w:val="center"/>
              <w:rPr>
                <w:rFonts w:hint="eastAsia"/>
                <w:color w:val="000000"/>
                <w:szCs w:val="21"/>
              </w:rPr>
            </w:pPr>
            <w:r>
              <w:rPr>
                <w:rFonts w:hint="eastAsia"/>
                <w:color w:val="000000"/>
                <w:szCs w:val="21"/>
              </w:rPr>
              <w:t>其他实质性要求响应</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831" w:type="dxa"/>
            <w:noWrap w:val="0"/>
            <w:vAlign w:val="center"/>
          </w:tcPr>
          <w:p>
            <w:pPr>
              <w:spacing w:line="360" w:lineRule="atLeast"/>
              <w:jc w:val="center"/>
              <w:rPr>
                <w:rFonts w:hint="eastAsia" w:eastAsia="黑体"/>
              </w:rPr>
            </w:pPr>
          </w:p>
        </w:tc>
        <w:tc>
          <w:tcPr>
            <w:tcW w:w="2410" w:type="dxa"/>
            <w:noWrap w:val="0"/>
            <w:vAlign w:val="center"/>
          </w:tcPr>
          <w:p>
            <w:pPr>
              <w:spacing w:line="440" w:lineRule="exact"/>
              <w:jc w:val="center"/>
              <w:rPr>
                <w:rFonts w:hint="eastAsia"/>
                <w:color w:val="000000"/>
                <w:szCs w:val="21"/>
              </w:rPr>
            </w:pPr>
            <w:r>
              <w:rPr>
                <w:rFonts w:hint="eastAsia"/>
                <w:color w:val="000000"/>
                <w:szCs w:val="21"/>
              </w:rPr>
              <w:t>……</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3241" w:type="dxa"/>
            <w:gridSpan w:val="2"/>
            <w:noWrap w:val="0"/>
            <w:vAlign w:val="center"/>
          </w:tcPr>
          <w:p>
            <w:pPr>
              <w:spacing w:line="360" w:lineRule="atLeast"/>
              <w:jc w:val="center"/>
            </w:pPr>
            <w:r>
              <w:t>是否通过评审</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bl>
    <w:p>
      <w:pPr>
        <w:spacing w:line="360" w:lineRule="exact"/>
        <w:rPr>
          <w:rFonts w:eastAsia="楷体_GB2312"/>
        </w:rPr>
      </w:pPr>
      <w:r>
        <w:rPr>
          <w:rFonts w:eastAsia="楷体_GB2312"/>
          <w:szCs w:val="21"/>
        </w:rPr>
        <w:t>【</w:t>
      </w:r>
      <w:r>
        <w:rPr>
          <w:rFonts w:eastAsia="楷体_GB2312"/>
        </w:rPr>
        <w:t>备注：根据评分办法的</w:t>
      </w:r>
      <w:r>
        <w:rPr>
          <w:rFonts w:hint="eastAsia" w:eastAsia="楷体_GB2312"/>
        </w:rPr>
        <w:t>响应性评审</w:t>
      </w:r>
      <w:r>
        <w:rPr>
          <w:rFonts w:eastAsia="楷体_GB2312"/>
        </w:rPr>
        <w:t>标准调整本表</w:t>
      </w:r>
      <w:r>
        <w:rPr>
          <w:rFonts w:eastAsia="楷体_GB2312"/>
          <w:szCs w:val="21"/>
        </w:rPr>
        <w:t>】</w:t>
      </w:r>
    </w:p>
    <w:p>
      <w:pPr>
        <w:spacing w:line="360" w:lineRule="exact"/>
      </w:pPr>
      <w:r>
        <w:t>评标委员会</w:t>
      </w:r>
      <w:r>
        <w:rPr>
          <w:rFonts w:hint="eastAsia"/>
        </w:rPr>
        <w:t>技术评委</w:t>
      </w:r>
      <w:r>
        <w:t>签名：                                                                        日期：        年     月     日</w:t>
      </w:r>
    </w:p>
    <w:p>
      <w:pPr>
        <w:pStyle w:val="4"/>
        <w:rPr>
          <w:rFonts w:ascii="宋体" w:hAnsi="宋体"/>
          <w:kern w:val="0"/>
          <w:szCs w:val="21"/>
        </w:rPr>
      </w:pPr>
      <w:bookmarkStart w:id="730" w:name="_Toc59203040"/>
      <w:r>
        <w:rPr>
          <w:rFonts w:hint="eastAsia" w:ascii="宋体" w:hAnsi="宋体"/>
          <w:kern w:val="0"/>
          <w:szCs w:val="21"/>
        </w:rPr>
        <w:t>附表</w:t>
      </w:r>
      <w:r>
        <w:rPr>
          <w:rFonts w:ascii="宋体" w:hAnsi="宋体"/>
          <w:kern w:val="0"/>
          <w:szCs w:val="21"/>
        </w:rPr>
        <w:t>A-8-4</w:t>
      </w:r>
      <w:r>
        <w:rPr>
          <w:rFonts w:hint="eastAsia" w:ascii="宋体" w:hAnsi="宋体"/>
          <w:kern w:val="0"/>
          <w:szCs w:val="21"/>
        </w:rPr>
        <w:t>：响应性评审记录表（设计标暗标）</w:t>
      </w:r>
      <w:bookmarkEnd w:id="730"/>
    </w:p>
    <w:p>
      <w:pPr>
        <w:spacing w:after="72" w:line="440" w:lineRule="exact"/>
        <w:jc w:val="center"/>
      </w:pPr>
      <w:r>
        <w:rPr>
          <w:rFonts w:hint="eastAsia" w:eastAsia="黑体"/>
          <w:sz w:val="28"/>
          <w:szCs w:val="28"/>
        </w:rPr>
        <w:t>响应性评审记录表（设计标暗标）</w:t>
      </w:r>
    </w:p>
    <w:p>
      <w:pPr>
        <w:spacing w:after="72" w:afterLines="30" w:line="440" w:lineRule="exact"/>
      </w:pPr>
      <w:r>
        <w:rPr>
          <w:rFonts w:hint="eastAsia" w:cs="宋体"/>
          <w:color w:val="000000"/>
        </w:rPr>
        <w:t>项目名称：</w:t>
      </w:r>
      <w:r>
        <w:rPr>
          <w:color w:val="000000"/>
          <w:u w:val="single"/>
        </w:rPr>
        <w:t xml:space="preserve">             </w:t>
      </w:r>
      <w:r>
        <w:rPr>
          <w:rFonts w:hint="eastAsia" w:cs="宋体"/>
          <w:color w:val="000000"/>
        </w:rPr>
        <w:t>（项目名称）</w:t>
      </w:r>
      <w:r>
        <w:rPr>
          <w:color w:val="000000"/>
        </w:rPr>
        <w:t xml:space="preserve">       </w:t>
      </w:r>
      <w:r>
        <w:rPr>
          <w:rFonts w:hint="eastAsia" w:cs="宋体"/>
          <w:color w:val="000000"/>
        </w:rPr>
        <w:t>项目招标编号：</w:t>
      </w:r>
      <w:r>
        <w:rPr>
          <w:color w:val="000000"/>
          <w:u w:val="single"/>
        </w:rPr>
        <w:t xml:space="preserve">               </w:t>
      </w:r>
      <w:r>
        <w:rPr>
          <w:color w:val="000000"/>
        </w:rPr>
        <w:t xml:space="preserve">        </w:t>
      </w:r>
      <w:r>
        <w:t xml:space="preserve">   </w:t>
      </w:r>
      <w:r>
        <w:rPr>
          <w:rFonts w:hint="eastAsia"/>
        </w:rPr>
        <w:t xml:space="preserve">        </w:t>
      </w:r>
      <w:r>
        <w:t xml:space="preserve">        时间：      年      月      日</w:t>
      </w:r>
    </w:p>
    <w:tbl>
      <w:tblPr>
        <w:tblStyle w:val="83"/>
        <w:tblW w:w="1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2410"/>
        <w:gridCol w:w="1024"/>
        <w:gridCol w:w="1197"/>
        <w:gridCol w:w="1198"/>
        <w:gridCol w:w="1197"/>
        <w:gridCol w:w="1197"/>
        <w:gridCol w:w="1198"/>
        <w:gridCol w:w="1197"/>
        <w:gridCol w:w="1197"/>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831" w:type="dxa"/>
            <w:vMerge w:val="restart"/>
            <w:noWrap w:val="0"/>
            <w:vAlign w:val="center"/>
          </w:tcPr>
          <w:p>
            <w:pPr>
              <w:spacing w:after="72" w:afterLines="30" w:line="440" w:lineRule="exact"/>
              <w:jc w:val="center"/>
            </w:pPr>
            <w:r>
              <w:t>序号</w:t>
            </w:r>
          </w:p>
        </w:tc>
        <w:tc>
          <w:tcPr>
            <w:tcW w:w="2410" w:type="dxa"/>
            <w:vMerge w:val="restart"/>
            <w:noWrap w:val="0"/>
            <w:vAlign w:val="center"/>
          </w:tcPr>
          <w:p>
            <w:pPr>
              <w:jc w:val="center"/>
            </w:pPr>
            <w:r>
              <w:t>评审因素</w:t>
            </w:r>
          </w:p>
        </w:tc>
        <w:tc>
          <w:tcPr>
            <w:tcW w:w="10603" w:type="dxa"/>
            <w:gridSpan w:val="9"/>
            <w:noWrap w:val="0"/>
            <w:vAlign w:val="center"/>
          </w:tcPr>
          <w:p>
            <w:pPr>
              <w:jc w:val="center"/>
            </w:pPr>
            <w:r>
              <w:t>投标人名称及评审意见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831" w:type="dxa"/>
            <w:vMerge w:val="continue"/>
            <w:noWrap w:val="0"/>
            <w:vAlign w:val="center"/>
          </w:tcPr>
          <w:p>
            <w:pPr>
              <w:jc w:val="center"/>
              <w:rPr>
                <w:rFonts w:eastAsia="黑体"/>
              </w:rPr>
            </w:pPr>
          </w:p>
        </w:tc>
        <w:tc>
          <w:tcPr>
            <w:tcW w:w="2410" w:type="dxa"/>
            <w:vMerge w:val="continue"/>
            <w:noWrap w:val="0"/>
            <w:vAlign w:val="center"/>
          </w:tcPr>
          <w:p>
            <w:pPr>
              <w:jc w:val="center"/>
            </w:pPr>
          </w:p>
        </w:tc>
        <w:tc>
          <w:tcPr>
            <w:tcW w:w="1024" w:type="dxa"/>
            <w:noWrap w:val="0"/>
            <w:vAlign w:val="center"/>
          </w:tcPr>
          <w:p>
            <w:pPr>
              <w:jc w:val="center"/>
            </w:pPr>
          </w:p>
        </w:tc>
        <w:tc>
          <w:tcPr>
            <w:tcW w:w="1197" w:type="dxa"/>
            <w:noWrap w:val="0"/>
            <w:vAlign w:val="center"/>
          </w:tcPr>
          <w:p>
            <w:pPr>
              <w:jc w:val="center"/>
            </w:pPr>
          </w:p>
        </w:tc>
        <w:tc>
          <w:tcPr>
            <w:tcW w:w="1198" w:type="dxa"/>
            <w:noWrap w:val="0"/>
            <w:vAlign w:val="center"/>
          </w:tcPr>
          <w:p>
            <w:pPr>
              <w:jc w:val="center"/>
            </w:pPr>
          </w:p>
        </w:tc>
        <w:tc>
          <w:tcPr>
            <w:tcW w:w="1197" w:type="dxa"/>
            <w:noWrap w:val="0"/>
            <w:vAlign w:val="center"/>
          </w:tcPr>
          <w:p>
            <w:pPr>
              <w:jc w:val="center"/>
            </w:pPr>
          </w:p>
        </w:tc>
        <w:tc>
          <w:tcPr>
            <w:tcW w:w="1197" w:type="dxa"/>
            <w:noWrap w:val="0"/>
            <w:vAlign w:val="center"/>
          </w:tcPr>
          <w:p>
            <w:pPr>
              <w:jc w:val="center"/>
            </w:pPr>
          </w:p>
        </w:tc>
        <w:tc>
          <w:tcPr>
            <w:tcW w:w="1198" w:type="dxa"/>
            <w:noWrap w:val="0"/>
            <w:vAlign w:val="center"/>
          </w:tcPr>
          <w:p>
            <w:pPr>
              <w:jc w:val="center"/>
            </w:pPr>
          </w:p>
        </w:tc>
        <w:tc>
          <w:tcPr>
            <w:tcW w:w="1197" w:type="dxa"/>
            <w:noWrap w:val="0"/>
            <w:vAlign w:val="center"/>
          </w:tcPr>
          <w:p>
            <w:pPr>
              <w:jc w:val="center"/>
            </w:pPr>
          </w:p>
        </w:tc>
        <w:tc>
          <w:tcPr>
            <w:tcW w:w="1197" w:type="dxa"/>
            <w:noWrap w:val="0"/>
            <w:vAlign w:val="center"/>
          </w:tcPr>
          <w:p>
            <w:pPr>
              <w:jc w:val="center"/>
            </w:pPr>
          </w:p>
        </w:tc>
        <w:tc>
          <w:tcPr>
            <w:tcW w:w="1198"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831" w:type="dxa"/>
            <w:noWrap w:val="0"/>
            <w:vAlign w:val="center"/>
          </w:tcPr>
          <w:p>
            <w:pPr>
              <w:spacing w:line="360" w:lineRule="atLeast"/>
              <w:jc w:val="center"/>
              <w:rPr>
                <w:rFonts w:eastAsia="黑体"/>
              </w:rPr>
            </w:pPr>
            <w:r>
              <w:rPr>
                <w:rFonts w:hint="eastAsia" w:eastAsia="黑体"/>
              </w:rPr>
              <w:t>1</w:t>
            </w:r>
          </w:p>
        </w:tc>
        <w:tc>
          <w:tcPr>
            <w:tcW w:w="2410" w:type="dxa"/>
            <w:noWrap w:val="0"/>
            <w:vAlign w:val="center"/>
          </w:tcPr>
          <w:p>
            <w:pPr>
              <w:spacing w:line="360" w:lineRule="atLeast"/>
              <w:jc w:val="center"/>
            </w:pPr>
            <w:r>
              <w:rPr>
                <w:rFonts w:hint="eastAsia"/>
              </w:rPr>
              <w:t>设计标暗标编制格式</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831" w:type="dxa"/>
            <w:noWrap w:val="0"/>
            <w:vAlign w:val="center"/>
          </w:tcPr>
          <w:p>
            <w:pPr>
              <w:spacing w:line="360" w:lineRule="atLeast"/>
              <w:jc w:val="center"/>
              <w:rPr>
                <w:rFonts w:eastAsia="黑体"/>
              </w:rPr>
            </w:pPr>
            <w:r>
              <w:rPr>
                <w:rFonts w:hint="eastAsia" w:eastAsia="黑体"/>
              </w:rPr>
              <w:t>2</w:t>
            </w:r>
          </w:p>
        </w:tc>
        <w:tc>
          <w:tcPr>
            <w:tcW w:w="2410" w:type="dxa"/>
            <w:noWrap w:val="0"/>
            <w:vAlign w:val="center"/>
          </w:tcPr>
          <w:p>
            <w:pPr>
              <w:spacing w:line="360" w:lineRule="atLeast"/>
              <w:jc w:val="center"/>
            </w:pPr>
            <w:r>
              <w:rPr>
                <w:rFonts w:hint="eastAsia"/>
              </w:rPr>
              <w:t>设计标编制内容</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831" w:type="dxa"/>
            <w:noWrap w:val="0"/>
            <w:vAlign w:val="center"/>
          </w:tcPr>
          <w:p>
            <w:pPr>
              <w:spacing w:line="360" w:lineRule="atLeast"/>
              <w:jc w:val="center"/>
              <w:rPr>
                <w:rFonts w:eastAsia="黑体"/>
              </w:rPr>
            </w:pPr>
            <w:r>
              <w:rPr>
                <w:rFonts w:hint="eastAsia" w:eastAsia="黑体"/>
              </w:rPr>
              <w:t>3</w:t>
            </w:r>
          </w:p>
        </w:tc>
        <w:tc>
          <w:tcPr>
            <w:tcW w:w="2410" w:type="dxa"/>
            <w:noWrap w:val="0"/>
            <w:vAlign w:val="center"/>
          </w:tcPr>
          <w:p>
            <w:pPr>
              <w:spacing w:line="440" w:lineRule="exact"/>
              <w:jc w:val="center"/>
              <w:rPr>
                <w:color w:val="000000"/>
                <w:szCs w:val="21"/>
              </w:rPr>
            </w:pPr>
            <w:r>
              <w:rPr>
                <w:rFonts w:hint="eastAsia"/>
                <w:color w:val="000000"/>
                <w:szCs w:val="21"/>
              </w:rPr>
              <w:t>技术标准和要求</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831" w:type="dxa"/>
            <w:noWrap w:val="0"/>
            <w:vAlign w:val="center"/>
          </w:tcPr>
          <w:p>
            <w:pPr>
              <w:spacing w:line="360" w:lineRule="atLeast"/>
              <w:jc w:val="center"/>
              <w:rPr>
                <w:rFonts w:eastAsia="黑体"/>
              </w:rPr>
            </w:pPr>
            <w:r>
              <w:rPr>
                <w:rFonts w:hint="eastAsia" w:eastAsia="黑体"/>
              </w:rPr>
              <w:t>4</w:t>
            </w:r>
          </w:p>
        </w:tc>
        <w:tc>
          <w:tcPr>
            <w:tcW w:w="2410" w:type="dxa"/>
            <w:noWrap w:val="0"/>
            <w:vAlign w:val="center"/>
          </w:tcPr>
          <w:p>
            <w:pPr>
              <w:spacing w:line="440" w:lineRule="exact"/>
              <w:jc w:val="center"/>
              <w:rPr>
                <w:rFonts w:hint="eastAsia"/>
                <w:color w:val="000000"/>
                <w:szCs w:val="21"/>
              </w:rPr>
            </w:pPr>
            <w:r>
              <w:rPr>
                <w:rFonts w:hint="eastAsia"/>
                <w:color w:val="000000"/>
                <w:szCs w:val="21"/>
              </w:rPr>
              <w:t>澄清、说明、修正要求</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831" w:type="dxa"/>
            <w:noWrap w:val="0"/>
            <w:vAlign w:val="center"/>
          </w:tcPr>
          <w:p>
            <w:pPr>
              <w:spacing w:line="360" w:lineRule="atLeast"/>
              <w:jc w:val="center"/>
              <w:rPr>
                <w:rFonts w:hint="eastAsia" w:eastAsia="黑体"/>
              </w:rPr>
            </w:pPr>
            <w:r>
              <w:rPr>
                <w:rFonts w:hint="eastAsia" w:eastAsia="黑体"/>
              </w:rPr>
              <w:t>5</w:t>
            </w:r>
          </w:p>
        </w:tc>
        <w:tc>
          <w:tcPr>
            <w:tcW w:w="2410" w:type="dxa"/>
            <w:noWrap w:val="0"/>
            <w:vAlign w:val="center"/>
          </w:tcPr>
          <w:p>
            <w:pPr>
              <w:spacing w:line="440" w:lineRule="exact"/>
              <w:jc w:val="center"/>
              <w:rPr>
                <w:rFonts w:hint="eastAsia"/>
                <w:color w:val="000000"/>
                <w:szCs w:val="21"/>
              </w:rPr>
            </w:pPr>
            <w:r>
              <w:rPr>
                <w:rFonts w:hint="eastAsia"/>
                <w:color w:val="000000"/>
                <w:szCs w:val="21"/>
              </w:rPr>
              <w:t>其他实质性要求响应</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831" w:type="dxa"/>
            <w:noWrap w:val="0"/>
            <w:vAlign w:val="center"/>
          </w:tcPr>
          <w:p>
            <w:pPr>
              <w:spacing w:line="360" w:lineRule="atLeast"/>
              <w:jc w:val="center"/>
              <w:rPr>
                <w:rFonts w:hint="eastAsia" w:eastAsia="黑体"/>
              </w:rPr>
            </w:pPr>
          </w:p>
        </w:tc>
        <w:tc>
          <w:tcPr>
            <w:tcW w:w="2410" w:type="dxa"/>
            <w:noWrap w:val="0"/>
            <w:vAlign w:val="center"/>
          </w:tcPr>
          <w:p>
            <w:pPr>
              <w:spacing w:line="440" w:lineRule="exact"/>
              <w:jc w:val="center"/>
              <w:rPr>
                <w:rFonts w:hint="eastAsia"/>
                <w:color w:val="000000"/>
                <w:szCs w:val="21"/>
              </w:rPr>
            </w:pPr>
            <w:r>
              <w:rPr>
                <w:rFonts w:hint="eastAsia"/>
                <w:color w:val="000000"/>
                <w:szCs w:val="21"/>
              </w:rPr>
              <w:t>……</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3241" w:type="dxa"/>
            <w:gridSpan w:val="2"/>
            <w:noWrap w:val="0"/>
            <w:vAlign w:val="center"/>
          </w:tcPr>
          <w:p>
            <w:pPr>
              <w:spacing w:line="360" w:lineRule="atLeast"/>
              <w:jc w:val="center"/>
            </w:pPr>
            <w:r>
              <w:t>是否通过评审</w:t>
            </w:r>
          </w:p>
        </w:tc>
        <w:tc>
          <w:tcPr>
            <w:tcW w:w="1024"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c>
          <w:tcPr>
            <w:tcW w:w="1197" w:type="dxa"/>
            <w:noWrap w:val="0"/>
            <w:vAlign w:val="center"/>
          </w:tcPr>
          <w:p>
            <w:pPr>
              <w:spacing w:line="360" w:lineRule="atLeast"/>
              <w:jc w:val="center"/>
            </w:pPr>
          </w:p>
        </w:tc>
        <w:tc>
          <w:tcPr>
            <w:tcW w:w="1197" w:type="dxa"/>
            <w:noWrap w:val="0"/>
            <w:vAlign w:val="center"/>
          </w:tcPr>
          <w:p>
            <w:pPr>
              <w:spacing w:line="360" w:lineRule="atLeast"/>
              <w:jc w:val="center"/>
            </w:pPr>
          </w:p>
        </w:tc>
        <w:tc>
          <w:tcPr>
            <w:tcW w:w="1198" w:type="dxa"/>
            <w:noWrap w:val="0"/>
            <w:vAlign w:val="center"/>
          </w:tcPr>
          <w:p>
            <w:pPr>
              <w:spacing w:line="360" w:lineRule="atLeast"/>
              <w:jc w:val="center"/>
            </w:pPr>
          </w:p>
        </w:tc>
      </w:tr>
    </w:tbl>
    <w:p>
      <w:pPr>
        <w:spacing w:line="360" w:lineRule="exact"/>
        <w:rPr>
          <w:rFonts w:eastAsia="楷体_GB2312"/>
        </w:rPr>
      </w:pPr>
      <w:r>
        <w:rPr>
          <w:rFonts w:eastAsia="楷体_GB2312"/>
          <w:szCs w:val="21"/>
        </w:rPr>
        <w:t>【</w:t>
      </w:r>
      <w:r>
        <w:rPr>
          <w:rFonts w:eastAsia="楷体_GB2312"/>
        </w:rPr>
        <w:t>备注：根据评分办法的</w:t>
      </w:r>
      <w:r>
        <w:rPr>
          <w:rFonts w:hint="eastAsia" w:eastAsia="楷体_GB2312"/>
        </w:rPr>
        <w:t>响应性评审</w:t>
      </w:r>
      <w:r>
        <w:rPr>
          <w:rFonts w:eastAsia="楷体_GB2312"/>
        </w:rPr>
        <w:t>标准调整本表</w:t>
      </w:r>
      <w:r>
        <w:rPr>
          <w:rFonts w:eastAsia="楷体_GB2312"/>
          <w:szCs w:val="21"/>
        </w:rPr>
        <w:t>】</w:t>
      </w:r>
    </w:p>
    <w:p>
      <w:pPr>
        <w:spacing w:line="360" w:lineRule="exact"/>
        <w:rPr>
          <w:rFonts w:hint="eastAsia"/>
          <w:color w:val="000000"/>
        </w:rPr>
      </w:pPr>
      <w:r>
        <w:t>评标委员会</w:t>
      </w:r>
      <w:r>
        <w:rPr>
          <w:rFonts w:hint="eastAsia"/>
        </w:rPr>
        <w:t>技术评委</w:t>
      </w:r>
      <w:r>
        <w:t>签名：                                                                        日期：        年     月     日</w:t>
      </w:r>
    </w:p>
    <w:p>
      <w:pPr>
        <w:pStyle w:val="4"/>
        <w:spacing w:line="240" w:lineRule="auto"/>
        <w:rPr>
          <w:b w:val="0"/>
          <w:color w:val="000000"/>
        </w:rPr>
      </w:pPr>
      <w:r>
        <w:rPr>
          <w:rFonts w:eastAsia="黑体"/>
          <w:color w:val="000000"/>
        </w:rPr>
        <w:br w:type="page"/>
      </w:r>
      <w:bookmarkStart w:id="731" w:name="_Toc59203041"/>
      <w:r>
        <w:rPr>
          <w:sz w:val="28"/>
          <w:szCs w:val="28"/>
        </w:rPr>
        <w:t>附表A-9：</w:t>
      </w:r>
      <w:r>
        <w:rPr>
          <w:rFonts w:hint="eastAsia"/>
          <w:sz w:val="28"/>
          <w:szCs w:val="28"/>
        </w:rPr>
        <w:t>工程总承包工作大纲</w:t>
      </w:r>
      <w:r>
        <w:rPr>
          <w:sz w:val="28"/>
          <w:szCs w:val="28"/>
        </w:rPr>
        <w:t>评</w:t>
      </w:r>
      <w:r>
        <w:rPr>
          <w:rFonts w:hint="eastAsia"/>
          <w:sz w:val="28"/>
          <w:szCs w:val="28"/>
        </w:rPr>
        <w:t>分</w:t>
      </w:r>
      <w:r>
        <w:rPr>
          <w:sz w:val="28"/>
          <w:szCs w:val="28"/>
        </w:rPr>
        <w:t>记录表</w:t>
      </w:r>
      <w:bookmarkEnd w:id="731"/>
    </w:p>
    <w:p>
      <w:pPr>
        <w:jc w:val="center"/>
        <w:rPr>
          <w:b/>
          <w:color w:val="000000"/>
          <w:sz w:val="28"/>
          <w:szCs w:val="28"/>
        </w:rPr>
      </w:pPr>
      <w:r>
        <w:rPr>
          <w:rFonts w:hint="eastAsia" w:ascii="宋体" w:hAnsi="宋体"/>
          <w:b/>
          <w:color w:val="000000"/>
          <w:sz w:val="28"/>
          <w:szCs w:val="28"/>
        </w:rPr>
        <w:t>工程总承包工作大纲</w:t>
      </w:r>
      <w:r>
        <w:rPr>
          <w:rFonts w:ascii="宋体" w:hAnsi="宋体"/>
          <w:b/>
          <w:color w:val="000000"/>
          <w:sz w:val="28"/>
          <w:szCs w:val="28"/>
        </w:rPr>
        <w:t>评</w:t>
      </w:r>
      <w:r>
        <w:rPr>
          <w:rFonts w:hint="eastAsia" w:ascii="宋体" w:hAnsi="宋体"/>
          <w:b/>
          <w:color w:val="000000"/>
          <w:sz w:val="28"/>
          <w:szCs w:val="28"/>
        </w:rPr>
        <w:t>分</w:t>
      </w:r>
      <w:r>
        <w:rPr>
          <w:rFonts w:ascii="宋体" w:hAnsi="宋体"/>
          <w:b/>
          <w:color w:val="000000"/>
          <w:sz w:val="28"/>
          <w:szCs w:val="28"/>
        </w:rPr>
        <w:t>记录表</w:t>
      </w:r>
    </w:p>
    <w:p>
      <w:pPr>
        <w:spacing w:after="72" w:afterLines="30" w:line="440" w:lineRule="exact"/>
        <w:rPr>
          <w:color w:val="000000"/>
        </w:rPr>
      </w:pPr>
      <w:r>
        <w:rPr>
          <w:color w:val="000000"/>
        </w:rPr>
        <w:t>工程名称</w:t>
      </w:r>
      <w:r>
        <w:rPr>
          <w:rFonts w:hint="eastAsia"/>
          <w:color w:val="000000"/>
        </w:rPr>
        <w:t>及项目招标编号</w:t>
      </w:r>
      <w:r>
        <w:rPr>
          <w:color w:val="000000"/>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color w:val="000000"/>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780"/>
        <w:gridCol w:w="1128"/>
        <w:gridCol w:w="1128"/>
        <w:gridCol w:w="1128"/>
        <w:gridCol w:w="1128"/>
        <w:gridCol w:w="1128"/>
        <w:gridCol w:w="1128"/>
        <w:gridCol w:w="1128"/>
        <w:gridCol w:w="1128"/>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0" w:hRule="atLeast"/>
          <w:jc w:val="center"/>
        </w:trPr>
        <w:tc>
          <w:tcPr>
            <w:tcW w:w="912" w:type="dxa"/>
            <w:vMerge w:val="restart"/>
            <w:noWrap w:val="0"/>
            <w:vAlign w:val="center"/>
          </w:tcPr>
          <w:p>
            <w:pPr>
              <w:spacing w:line="360" w:lineRule="auto"/>
              <w:jc w:val="center"/>
              <w:rPr>
                <w:color w:val="000000"/>
              </w:rPr>
            </w:pPr>
            <w:r>
              <w:rPr>
                <w:color w:val="000000"/>
              </w:rPr>
              <w:t>序号</w:t>
            </w:r>
          </w:p>
        </w:tc>
        <w:tc>
          <w:tcPr>
            <w:tcW w:w="2780" w:type="dxa"/>
            <w:vMerge w:val="restart"/>
            <w:noWrap w:val="0"/>
            <w:vAlign w:val="center"/>
          </w:tcPr>
          <w:p>
            <w:pPr>
              <w:spacing w:line="360" w:lineRule="auto"/>
              <w:jc w:val="center"/>
              <w:rPr>
                <w:color w:val="000000"/>
              </w:rPr>
            </w:pPr>
            <w:r>
              <w:rPr>
                <w:color w:val="000000"/>
              </w:rPr>
              <w:t>评审因素</w:t>
            </w:r>
          </w:p>
        </w:tc>
        <w:tc>
          <w:tcPr>
            <w:tcW w:w="10152" w:type="dxa"/>
            <w:gridSpan w:val="9"/>
            <w:noWrap w:val="0"/>
            <w:vAlign w:val="center"/>
          </w:tcPr>
          <w:p>
            <w:pPr>
              <w:spacing w:line="360" w:lineRule="auto"/>
              <w:jc w:val="center"/>
              <w:rPr>
                <w:color w:val="000000"/>
              </w:rPr>
            </w:pPr>
            <w:r>
              <w:rPr>
                <w:color w:val="000000"/>
              </w:rPr>
              <w:t>投标人名称</w:t>
            </w:r>
            <w:r>
              <w:rPr>
                <w:rFonts w:hint="eastAsia"/>
                <w:color w:val="000000"/>
              </w:rPr>
              <w:t>（或代码）</w:t>
            </w:r>
            <w:r>
              <w:rPr>
                <w:color w:val="000000"/>
              </w:rPr>
              <w:t>及评审意见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4" w:hRule="atLeast"/>
          <w:jc w:val="center"/>
        </w:trPr>
        <w:tc>
          <w:tcPr>
            <w:tcW w:w="912" w:type="dxa"/>
            <w:vMerge w:val="continue"/>
            <w:noWrap w:val="0"/>
            <w:vAlign w:val="center"/>
          </w:tcPr>
          <w:p>
            <w:pPr>
              <w:spacing w:after="72" w:afterLines="30" w:line="320" w:lineRule="exact"/>
              <w:jc w:val="center"/>
              <w:rPr>
                <w:rFonts w:hint="eastAsia"/>
                <w:color w:val="000000"/>
              </w:rPr>
            </w:pPr>
          </w:p>
        </w:tc>
        <w:tc>
          <w:tcPr>
            <w:tcW w:w="2780" w:type="dxa"/>
            <w:vMerge w:val="continue"/>
            <w:noWrap w:val="0"/>
            <w:vAlign w:val="center"/>
          </w:tcPr>
          <w:p>
            <w:pPr>
              <w:spacing w:line="440" w:lineRule="exact"/>
              <w:jc w:val="center"/>
              <w:rPr>
                <w:rFonts w:hint="eastAsia"/>
                <w:color w:val="000000"/>
                <w:szCs w:val="21"/>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4" w:hRule="atLeast"/>
          <w:jc w:val="center"/>
        </w:trPr>
        <w:tc>
          <w:tcPr>
            <w:tcW w:w="912" w:type="dxa"/>
            <w:noWrap w:val="0"/>
            <w:vAlign w:val="center"/>
          </w:tcPr>
          <w:p>
            <w:pPr>
              <w:spacing w:after="72" w:afterLines="30" w:line="320" w:lineRule="exact"/>
              <w:jc w:val="center"/>
              <w:rPr>
                <w:rFonts w:hint="eastAsia"/>
                <w:color w:val="000000"/>
              </w:rPr>
            </w:pPr>
            <w:r>
              <w:rPr>
                <w:rFonts w:hint="eastAsia"/>
                <w:color w:val="000000"/>
              </w:rPr>
              <w:t>1</w:t>
            </w:r>
          </w:p>
        </w:tc>
        <w:tc>
          <w:tcPr>
            <w:tcW w:w="2780" w:type="dxa"/>
            <w:noWrap w:val="0"/>
            <w:vAlign w:val="center"/>
          </w:tcPr>
          <w:p>
            <w:pPr>
              <w:spacing w:line="440" w:lineRule="exact"/>
              <w:jc w:val="center"/>
              <w:rPr>
                <w:rFonts w:hint="eastAsia"/>
                <w:color w:val="000000"/>
                <w:szCs w:val="21"/>
              </w:rPr>
            </w:pPr>
            <w:r>
              <w:rPr>
                <w:rFonts w:hint="eastAsia"/>
                <w:color w:val="000000"/>
                <w:szCs w:val="21"/>
              </w:rPr>
              <w:t>总体实施方案</w:t>
            </w: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3" w:hRule="atLeast"/>
          <w:jc w:val="center"/>
        </w:trPr>
        <w:tc>
          <w:tcPr>
            <w:tcW w:w="912" w:type="dxa"/>
            <w:noWrap w:val="0"/>
            <w:vAlign w:val="center"/>
          </w:tcPr>
          <w:p>
            <w:pPr>
              <w:spacing w:after="72" w:afterLines="30" w:line="320" w:lineRule="exact"/>
              <w:jc w:val="center"/>
              <w:rPr>
                <w:rFonts w:hint="eastAsia"/>
                <w:color w:val="000000"/>
              </w:rPr>
            </w:pPr>
            <w:r>
              <w:rPr>
                <w:rFonts w:hint="eastAsia"/>
                <w:color w:val="000000"/>
              </w:rPr>
              <w:t>2</w:t>
            </w:r>
          </w:p>
        </w:tc>
        <w:tc>
          <w:tcPr>
            <w:tcW w:w="2780" w:type="dxa"/>
            <w:noWrap w:val="0"/>
            <w:vAlign w:val="center"/>
          </w:tcPr>
          <w:p>
            <w:pPr>
              <w:spacing w:line="440" w:lineRule="exact"/>
              <w:jc w:val="center"/>
              <w:rPr>
                <w:rFonts w:hint="eastAsia" w:ascii="宋体" w:hAnsi="宋体"/>
                <w:color w:val="000000"/>
                <w:szCs w:val="21"/>
              </w:rPr>
            </w:pPr>
            <w:r>
              <w:rPr>
                <w:rFonts w:hint="eastAsia"/>
                <w:color w:val="000000"/>
                <w:szCs w:val="21"/>
              </w:rPr>
              <w:t>项目实施要点</w:t>
            </w: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4" w:hRule="atLeast"/>
          <w:jc w:val="center"/>
        </w:trPr>
        <w:tc>
          <w:tcPr>
            <w:tcW w:w="912" w:type="dxa"/>
            <w:noWrap w:val="0"/>
            <w:vAlign w:val="center"/>
          </w:tcPr>
          <w:p>
            <w:pPr>
              <w:spacing w:after="72" w:afterLines="30" w:line="320" w:lineRule="exact"/>
              <w:jc w:val="center"/>
              <w:rPr>
                <w:rFonts w:hint="eastAsia"/>
                <w:color w:val="000000"/>
              </w:rPr>
            </w:pPr>
            <w:r>
              <w:rPr>
                <w:rFonts w:hint="eastAsia"/>
                <w:color w:val="000000"/>
              </w:rPr>
              <w:t>3</w:t>
            </w:r>
          </w:p>
        </w:tc>
        <w:tc>
          <w:tcPr>
            <w:tcW w:w="2780" w:type="dxa"/>
            <w:noWrap w:val="0"/>
            <w:vAlign w:val="center"/>
          </w:tcPr>
          <w:p>
            <w:pPr>
              <w:spacing w:line="440" w:lineRule="exact"/>
              <w:jc w:val="center"/>
              <w:rPr>
                <w:rFonts w:hint="eastAsia" w:ascii="宋体" w:hAnsi="宋体"/>
                <w:color w:val="000000"/>
                <w:szCs w:val="21"/>
              </w:rPr>
            </w:pPr>
            <w:r>
              <w:rPr>
                <w:rFonts w:hint="eastAsia"/>
                <w:color w:val="000000"/>
                <w:szCs w:val="21"/>
              </w:rPr>
              <w:t>项目管理要点</w:t>
            </w: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4" w:hRule="atLeast"/>
          <w:jc w:val="center"/>
        </w:trPr>
        <w:tc>
          <w:tcPr>
            <w:tcW w:w="912" w:type="dxa"/>
            <w:noWrap w:val="0"/>
            <w:vAlign w:val="center"/>
          </w:tcPr>
          <w:p>
            <w:pPr>
              <w:spacing w:after="72" w:afterLines="30" w:line="320" w:lineRule="exact"/>
              <w:jc w:val="center"/>
              <w:rPr>
                <w:rFonts w:hint="eastAsia"/>
                <w:color w:val="000000"/>
              </w:rPr>
            </w:pPr>
            <w:r>
              <w:rPr>
                <w:rFonts w:hint="eastAsia"/>
                <w:color w:val="000000"/>
              </w:rPr>
              <w:t>4</w:t>
            </w:r>
          </w:p>
        </w:tc>
        <w:tc>
          <w:tcPr>
            <w:tcW w:w="2780" w:type="dxa"/>
            <w:noWrap w:val="0"/>
            <w:vAlign w:val="center"/>
          </w:tcPr>
          <w:p>
            <w:pPr>
              <w:spacing w:line="440" w:lineRule="exact"/>
              <w:jc w:val="center"/>
              <w:rPr>
                <w:rFonts w:hint="eastAsia"/>
                <w:color w:val="000000"/>
                <w:szCs w:val="21"/>
              </w:rPr>
            </w:pPr>
            <w:r>
              <w:rPr>
                <w:rFonts w:hint="eastAsia" w:ascii="宋体" w:hAnsi="宋体"/>
                <w:color w:val="000000"/>
                <w:szCs w:val="21"/>
              </w:rPr>
              <w:t>设计及施工的配合</w:t>
            </w: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3" w:hRule="atLeast"/>
          <w:jc w:val="center"/>
        </w:trPr>
        <w:tc>
          <w:tcPr>
            <w:tcW w:w="912" w:type="dxa"/>
            <w:noWrap w:val="0"/>
            <w:vAlign w:val="center"/>
          </w:tcPr>
          <w:p>
            <w:pPr>
              <w:spacing w:after="72" w:afterLines="30" w:line="320" w:lineRule="exact"/>
              <w:jc w:val="center"/>
              <w:rPr>
                <w:rFonts w:hint="eastAsia"/>
                <w:color w:val="000000"/>
              </w:rPr>
            </w:pPr>
          </w:p>
        </w:tc>
        <w:tc>
          <w:tcPr>
            <w:tcW w:w="2780" w:type="dxa"/>
            <w:noWrap w:val="0"/>
            <w:vAlign w:val="center"/>
          </w:tcPr>
          <w:p>
            <w:pPr>
              <w:spacing w:line="440" w:lineRule="exact"/>
              <w:jc w:val="center"/>
              <w:rPr>
                <w:rFonts w:hint="eastAsia"/>
                <w:color w:val="000000"/>
                <w:szCs w:val="21"/>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4" w:hRule="atLeast"/>
          <w:jc w:val="center"/>
        </w:trPr>
        <w:tc>
          <w:tcPr>
            <w:tcW w:w="3692" w:type="dxa"/>
            <w:gridSpan w:val="2"/>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c>
          <w:tcPr>
            <w:tcW w:w="1128" w:type="dxa"/>
            <w:noWrap w:val="0"/>
            <w:vAlign w:val="center"/>
          </w:tcPr>
          <w:p>
            <w:pPr>
              <w:spacing w:line="360" w:lineRule="auto"/>
              <w:jc w:val="center"/>
              <w:rPr>
                <w:color w:val="000000"/>
              </w:rPr>
            </w:pPr>
          </w:p>
        </w:tc>
      </w:tr>
    </w:tbl>
    <w:p>
      <w:pPr>
        <w:rPr>
          <w:rFonts w:eastAsia="楷体_GB2312"/>
          <w:color w:val="000000"/>
          <w:szCs w:val="21"/>
        </w:rPr>
      </w:pPr>
      <w:r>
        <w:rPr>
          <w:rFonts w:eastAsia="楷体_GB2312"/>
          <w:color w:val="000000"/>
          <w:szCs w:val="21"/>
        </w:rPr>
        <w:t>【</w:t>
      </w:r>
      <w:r>
        <w:rPr>
          <w:rFonts w:eastAsia="楷体_GB2312"/>
          <w:color w:val="000000"/>
        </w:rPr>
        <w:t>备注：本表可根据评分办法的需要进行调整</w:t>
      </w:r>
      <w:r>
        <w:rPr>
          <w:rFonts w:eastAsia="楷体_GB2312"/>
          <w:color w:val="000000"/>
          <w:szCs w:val="21"/>
        </w:rPr>
        <w:t>】</w:t>
      </w:r>
    </w:p>
    <w:p>
      <w:pPr>
        <w:spacing w:line="440" w:lineRule="exact"/>
        <w:rPr>
          <w:color w:val="000000"/>
        </w:rPr>
      </w:pPr>
    </w:p>
    <w:p>
      <w:pPr>
        <w:spacing w:line="440" w:lineRule="exact"/>
        <w:rPr>
          <w:color w:val="000000"/>
        </w:rPr>
      </w:pPr>
      <w:r>
        <w:rPr>
          <w:color w:val="000000"/>
        </w:rPr>
        <w:t>评委签名：                                                                        日期：        年     月     日</w:t>
      </w:r>
    </w:p>
    <w:p>
      <w:pPr>
        <w:spacing w:after="240" w:afterLines="100"/>
        <w:rPr>
          <w:rFonts w:hint="eastAsia"/>
          <w:color w:val="000000"/>
        </w:rPr>
      </w:pPr>
    </w:p>
    <w:p>
      <w:pPr>
        <w:rPr>
          <w:rFonts w:eastAsia="黑体"/>
          <w:color w:val="000000"/>
          <w:szCs w:val="21"/>
        </w:rPr>
      </w:pPr>
    </w:p>
    <w:p>
      <w:pPr>
        <w:rPr>
          <w:rFonts w:eastAsia="黑体"/>
          <w:color w:val="000000"/>
          <w:szCs w:val="21"/>
        </w:rPr>
      </w:pPr>
    </w:p>
    <w:p>
      <w:pPr>
        <w:rPr>
          <w:rFonts w:hint="eastAsia" w:eastAsia="黑体"/>
          <w:color w:val="000000"/>
          <w:szCs w:val="21"/>
        </w:rPr>
      </w:pPr>
    </w:p>
    <w:p>
      <w:pPr>
        <w:pStyle w:val="4"/>
        <w:spacing w:line="240" w:lineRule="auto"/>
        <w:rPr>
          <w:sz w:val="28"/>
          <w:szCs w:val="28"/>
        </w:rPr>
      </w:pPr>
      <w:bookmarkStart w:id="732" w:name="_Toc59203042"/>
      <w:r>
        <w:rPr>
          <w:sz w:val="28"/>
          <w:szCs w:val="28"/>
        </w:rPr>
        <w:t>附表A-10：</w:t>
      </w:r>
      <w:r>
        <w:rPr>
          <w:rFonts w:hint="eastAsia"/>
          <w:sz w:val="28"/>
          <w:szCs w:val="28"/>
        </w:rPr>
        <w:t>投标</w:t>
      </w:r>
      <w:r>
        <w:rPr>
          <w:sz w:val="28"/>
          <w:szCs w:val="28"/>
        </w:rPr>
        <w:t>人</w:t>
      </w:r>
      <w:r>
        <w:rPr>
          <w:rFonts w:hint="eastAsia"/>
          <w:sz w:val="28"/>
          <w:szCs w:val="28"/>
        </w:rPr>
        <w:t>工程总承包工作大纲评分计算</w:t>
      </w:r>
      <w:r>
        <w:rPr>
          <w:sz w:val="28"/>
          <w:szCs w:val="28"/>
        </w:rPr>
        <w:t>表</w:t>
      </w:r>
      <w:bookmarkEnd w:id="732"/>
    </w:p>
    <w:p>
      <w:pPr>
        <w:spacing w:line="440" w:lineRule="exact"/>
        <w:jc w:val="center"/>
        <w:rPr>
          <w:rFonts w:eastAsia="黑体"/>
          <w:color w:val="000000"/>
          <w:sz w:val="28"/>
          <w:szCs w:val="28"/>
        </w:rPr>
      </w:pPr>
      <w:r>
        <w:rPr>
          <w:rFonts w:hint="eastAsia" w:ascii="宋体" w:hAnsi="宋体"/>
          <w:b/>
          <w:color w:val="000000"/>
          <w:sz w:val="28"/>
          <w:szCs w:val="28"/>
        </w:rPr>
        <w:t>投标人名称（或代码）工程总承包工作大纲</w:t>
      </w:r>
      <w:r>
        <w:rPr>
          <w:rFonts w:hint="eastAsia" w:eastAsia="黑体"/>
          <w:color w:val="000000"/>
          <w:sz w:val="28"/>
          <w:szCs w:val="28"/>
        </w:rPr>
        <w:t>评分计算</w:t>
      </w:r>
      <w:r>
        <w:rPr>
          <w:rFonts w:eastAsia="黑体"/>
          <w:color w:val="000000"/>
          <w:sz w:val="28"/>
          <w:szCs w:val="28"/>
        </w:rPr>
        <w:t>表</w:t>
      </w:r>
    </w:p>
    <w:p>
      <w:pPr>
        <w:spacing w:after="72" w:afterLines="30" w:line="440" w:lineRule="exact"/>
        <w:rPr>
          <w:color w:val="000000"/>
        </w:rPr>
      </w:pPr>
      <w:r>
        <w:rPr>
          <w:rFonts w:hint="eastAsia"/>
          <w:color w:val="000000"/>
        </w:rPr>
        <w:t>项目</w:t>
      </w:r>
      <w:r>
        <w:rPr>
          <w:color w:val="000000"/>
        </w:rPr>
        <w:t>名称</w:t>
      </w:r>
      <w:r>
        <w:rPr>
          <w:rFonts w:hint="eastAsia"/>
          <w:color w:val="000000"/>
        </w:rPr>
        <w:t>及项目招标编号</w:t>
      </w:r>
      <w:r>
        <w:rPr>
          <w:color w:val="000000"/>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color w:val="000000"/>
        </w:rPr>
        <w:t xml:space="preserve">        时间：      年      月      日</w:t>
      </w:r>
    </w:p>
    <w:p>
      <w:pPr>
        <w:spacing w:after="72" w:afterLines="30" w:line="440" w:lineRule="exact"/>
        <w:rPr>
          <w:rFonts w:hint="eastAsia"/>
          <w:color w:val="000000"/>
        </w:rPr>
      </w:pP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833"/>
        <w:gridCol w:w="850"/>
        <w:gridCol w:w="851"/>
        <w:gridCol w:w="850"/>
        <w:gridCol w:w="993"/>
        <w:gridCol w:w="850"/>
        <w:gridCol w:w="2015"/>
        <w:gridCol w:w="993"/>
        <w:gridCol w:w="1275"/>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0" w:hRule="atLeast"/>
          <w:jc w:val="center"/>
        </w:trPr>
        <w:tc>
          <w:tcPr>
            <w:tcW w:w="1137" w:type="dxa"/>
            <w:vMerge w:val="restart"/>
            <w:noWrap w:val="0"/>
            <w:vAlign w:val="top"/>
          </w:tcPr>
          <w:p>
            <w:pPr>
              <w:spacing w:line="360" w:lineRule="auto"/>
              <w:jc w:val="center"/>
              <w:rPr>
                <w:color w:val="000000"/>
              </w:rPr>
            </w:pPr>
            <w:r>
              <w:rPr>
                <w:color w:val="000000"/>
              </w:rPr>
              <w:t>序号</w:t>
            </w:r>
          </w:p>
        </w:tc>
        <w:tc>
          <w:tcPr>
            <w:tcW w:w="2833" w:type="dxa"/>
            <w:vMerge w:val="restart"/>
            <w:noWrap w:val="0"/>
            <w:vAlign w:val="center"/>
          </w:tcPr>
          <w:p>
            <w:pPr>
              <w:spacing w:line="360" w:lineRule="auto"/>
              <w:jc w:val="center"/>
              <w:rPr>
                <w:color w:val="000000"/>
                <w:kern w:val="0"/>
                <w:szCs w:val="21"/>
              </w:rPr>
            </w:pPr>
            <w:r>
              <w:rPr>
                <w:color w:val="000000"/>
              </w:rPr>
              <w:t>评审因素</w:t>
            </w:r>
          </w:p>
        </w:tc>
        <w:tc>
          <w:tcPr>
            <w:tcW w:w="4394" w:type="dxa"/>
            <w:gridSpan w:val="5"/>
            <w:noWrap w:val="0"/>
            <w:vAlign w:val="center"/>
          </w:tcPr>
          <w:p>
            <w:pPr>
              <w:spacing w:line="360" w:lineRule="auto"/>
              <w:jc w:val="center"/>
              <w:rPr>
                <w:color w:val="000000"/>
              </w:rPr>
            </w:pPr>
            <w:r>
              <w:rPr>
                <w:rFonts w:hint="eastAsia" w:cs="宋体"/>
                <w:color w:val="000000"/>
                <w:szCs w:val="21"/>
                <w:lang w:bidi="ar"/>
              </w:rPr>
              <w:t>评委姓名</w:t>
            </w:r>
          </w:p>
        </w:tc>
        <w:tc>
          <w:tcPr>
            <w:tcW w:w="2015" w:type="dxa"/>
            <w:vMerge w:val="restart"/>
            <w:noWrap w:val="0"/>
            <w:vAlign w:val="center"/>
          </w:tcPr>
          <w:p>
            <w:pPr>
              <w:spacing w:line="360" w:lineRule="auto"/>
              <w:jc w:val="center"/>
              <w:rPr>
                <w:color w:val="000000"/>
              </w:rPr>
            </w:pPr>
            <w:r>
              <w:rPr>
                <w:rFonts w:hint="eastAsia" w:cs="宋体"/>
                <w:color w:val="000000"/>
                <w:szCs w:val="21"/>
                <w:lang w:bidi="ar"/>
              </w:rPr>
              <w:t>评分基准值</w:t>
            </w:r>
          </w:p>
        </w:tc>
        <w:tc>
          <w:tcPr>
            <w:tcW w:w="993" w:type="dxa"/>
            <w:vMerge w:val="restart"/>
            <w:noWrap w:val="0"/>
            <w:vAlign w:val="center"/>
          </w:tcPr>
          <w:p>
            <w:pPr>
              <w:spacing w:line="360" w:lineRule="auto"/>
              <w:jc w:val="center"/>
              <w:rPr>
                <w:rFonts w:hint="eastAsia" w:cs="宋体"/>
                <w:color w:val="000000"/>
                <w:szCs w:val="21"/>
                <w:lang w:bidi="ar"/>
              </w:rPr>
            </w:pPr>
            <w:r>
              <w:rPr>
                <w:rFonts w:hint="eastAsia" w:cs="宋体"/>
                <w:color w:val="000000"/>
                <w:szCs w:val="21"/>
                <w:lang w:bidi="ar"/>
              </w:rPr>
              <w:t>各评委</w:t>
            </w:r>
            <w:r>
              <w:rPr>
                <w:rStyle w:val="97"/>
                <w:rFonts w:hint="eastAsia"/>
                <w:color w:val="000000"/>
                <w:szCs w:val="21"/>
              </w:rPr>
              <w:t>有效</w:t>
            </w:r>
            <w:r>
              <w:rPr>
                <w:rFonts w:hint="eastAsia" w:cs="宋体"/>
                <w:color w:val="000000"/>
                <w:szCs w:val="21"/>
                <w:lang w:bidi="ar"/>
              </w:rPr>
              <w:t>评分合计</w:t>
            </w:r>
          </w:p>
        </w:tc>
        <w:tc>
          <w:tcPr>
            <w:tcW w:w="1275" w:type="dxa"/>
            <w:vMerge w:val="restart"/>
            <w:noWrap w:val="0"/>
            <w:vAlign w:val="top"/>
          </w:tcPr>
          <w:p>
            <w:pPr>
              <w:spacing w:line="360" w:lineRule="auto"/>
              <w:jc w:val="center"/>
              <w:rPr>
                <w:color w:val="000000"/>
              </w:rPr>
            </w:pPr>
            <w:r>
              <w:rPr>
                <w:rStyle w:val="97"/>
                <w:rFonts w:hint="eastAsia"/>
                <w:color w:val="000000"/>
                <w:szCs w:val="21"/>
              </w:rPr>
              <w:t>有效</w:t>
            </w:r>
            <w:r>
              <w:rPr>
                <w:rFonts w:hint="eastAsia" w:cs="宋体"/>
                <w:color w:val="000000"/>
                <w:szCs w:val="21"/>
                <w:lang w:bidi="ar"/>
              </w:rPr>
              <w:t>评分人数</w:t>
            </w:r>
          </w:p>
        </w:tc>
        <w:tc>
          <w:tcPr>
            <w:tcW w:w="962" w:type="dxa"/>
            <w:vMerge w:val="restart"/>
            <w:noWrap w:val="0"/>
            <w:vAlign w:val="top"/>
          </w:tcPr>
          <w:p>
            <w:pPr>
              <w:spacing w:line="360" w:lineRule="auto"/>
              <w:jc w:val="center"/>
              <w:rPr>
                <w:color w:val="000000"/>
              </w:rPr>
            </w:pPr>
            <w:r>
              <w:rPr>
                <w:rFonts w:hint="eastAsia" w:eastAsia="楷体_GB2312"/>
                <w:color w:val="000000"/>
                <w:szCs w:val="21"/>
              </w:rPr>
              <w:t>该单</w:t>
            </w:r>
            <w:r>
              <w:rPr>
                <w:rFonts w:eastAsia="楷体_GB2312"/>
                <w:color w:val="000000"/>
                <w:szCs w:val="21"/>
              </w:rPr>
              <w:t>项</w:t>
            </w:r>
            <w:r>
              <w:rPr>
                <w:rFonts w:hint="eastAsia" w:eastAsia="楷体_GB2312"/>
                <w:color w:val="000000"/>
                <w:szCs w:val="21"/>
              </w:rPr>
              <w:t>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4" w:hRule="atLeast"/>
          <w:jc w:val="center"/>
        </w:trPr>
        <w:tc>
          <w:tcPr>
            <w:tcW w:w="1137" w:type="dxa"/>
            <w:vMerge w:val="continue"/>
            <w:noWrap w:val="0"/>
            <w:vAlign w:val="top"/>
          </w:tcPr>
          <w:p>
            <w:pPr>
              <w:spacing w:line="360" w:lineRule="auto"/>
              <w:jc w:val="center"/>
              <w:rPr>
                <w:color w:val="000000"/>
                <w:kern w:val="0"/>
                <w:szCs w:val="21"/>
              </w:rPr>
            </w:pPr>
          </w:p>
        </w:tc>
        <w:tc>
          <w:tcPr>
            <w:tcW w:w="2833" w:type="dxa"/>
            <w:vMerge w:val="continue"/>
            <w:noWrap w:val="0"/>
            <w:vAlign w:val="center"/>
          </w:tcPr>
          <w:p>
            <w:pPr>
              <w:spacing w:line="360" w:lineRule="auto"/>
              <w:jc w:val="center"/>
              <w:rPr>
                <w:color w:val="000000"/>
                <w:kern w:val="0"/>
                <w:szCs w:val="21"/>
              </w:rPr>
            </w:pPr>
          </w:p>
        </w:tc>
        <w:tc>
          <w:tcPr>
            <w:tcW w:w="850" w:type="dxa"/>
            <w:noWrap w:val="0"/>
            <w:vAlign w:val="center"/>
          </w:tcPr>
          <w:p>
            <w:pPr>
              <w:spacing w:line="360" w:lineRule="auto"/>
              <w:jc w:val="center"/>
              <w:rPr>
                <w:color w:val="000000"/>
              </w:rPr>
            </w:pPr>
            <w:r>
              <w:rPr>
                <w:rFonts w:hint="eastAsia"/>
                <w:color w:val="000000"/>
              </w:rPr>
              <w:t>1</w:t>
            </w:r>
          </w:p>
        </w:tc>
        <w:tc>
          <w:tcPr>
            <w:tcW w:w="851" w:type="dxa"/>
            <w:noWrap w:val="0"/>
            <w:vAlign w:val="center"/>
          </w:tcPr>
          <w:p>
            <w:pPr>
              <w:spacing w:line="360" w:lineRule="auto"/>
              <w:jc w:val="center"/>
              <w:rPr>
                <w:color w:val="000000"/>
              </w:rPr>
            </w:pPr>
            <w:r>
              <w:rPr>
                <w:rFonts w:hint="eastAsia"/>
                <w:color w:val="000000"/>
              </w:rPr>
              <w:t>2</w:t>
            </w:r>
          </w:p>
        </w:tc>
        <w:tc>
          <w:tcPr>
            <w:tcW w:w="850" w:type="dxa"/>
            <w:noWrap w:val="0"/>
            <w:vAlign w:val="center"/>
          </w:tcPr>
          <w:p>
            <w:pPr>
              <w:spacing w:line="360" w:lineRule="auto"/>
              <w:jc w:val="center"/>
              <w:rPr>
                <w:color w:val="000000"/>
              </w:rPr>
            </w:pPr>
            <w:r>
              <w:rPr>
                <w:rFonts w:hint="eastAsia"/>
                <w:color w:val="000000"/>
              </w:rPr>
              <w:t>3</w:t>
            </w:r>
          </w:p>
        </w:tc>
        <w:tc>
          <w:tcPr>
            <w:tcW w:w="993" w:type="dxa"/>
            <w:noWrap w:val="0"/>
            <w:vAlign w:val="center"/>
          </w:tcPr>
          <w:p>
            <w:pPr>
              <w:spacing w:line="360" w:lineRule="auto"/>
              <w:jc w:val="center"/>
              <w:rPr>
                <w:color w:val="000000"/>
              </w:rPr>
            </w:pPr>
            <w:r>
              <w:rPr>
                <w:rFonts w:hint="eastAsia"/>
                <w:color w:val="000000"/>
              </w:rPr>
              <w:t>4</w:t>
            </w:r>
          </w:p>
        </w:tc>
        <w:tc>
          <w:tcPr>
            <w:tcW w:w="850" w:type="dxa"/>
            <w:noWrap w:val="0"/>
            <w:vAlign w:val="center"/>
          </w:tcPr>
          <w:p>
            <w:pPr>
              <w:spacing w:line="360" w:lineRule="auto"/>
              <w:jc w:val="center"/>
              <w:rPr>
                <w:color w:val="000000"/>
              </w:rPr>
            </w:pPr>
            <w:r>
              <w:rPr>
                <w:rFonts w:hint="eastAsia"/>
                <w:color w:val="000000"/>
              </w:rPr>
              <w:t>5</w:t>
            </w:r>
          </w:p>
        </w:tc>
        <w:tc>
          <w:tcPr>
            <w:tcW w:w="2015" w:type="dxa"/>
            <w:vMerge w:val="continue"/>
            <w:noWrap w:val="0"/>
            <w:vAlign w:val="center"/>
          </w:tcPr>
          <w:p>
            <w:pPr>
              <w:spacing w:line="360" w:lineRule="auto"/>
              <w:jc w:val="center"/>
              <w:rPr>
                <w:rFonts w:hint="eastAsia" w:cs="宋体"/>
                <w:color w:val="000000"/>
                <w:szCs w:val="21"/>
                <w:lang w:bidi="ar"/>
              </w:rPr>
            </w:pPr>
          </w:p>
        </w:tc>
        <w:tc>
          <w:tcPr>
            <w:tcW w:w="993" w:type="dxa"/>
            <w:vMerge w:val="continue"/>
            <w:noWrap w:val="0"/>
            <w:vAlign w:val="center"/>
          </w:tcPr>
          <w:p>
            <w:pPr>
              <w:spacing w:line="360" w:lineRule="auto"/>
              <w:jc w:val="center"/>
              <w:rPr>
                <w:rFonts w:hint="eastAsia"/>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7" w:hRule="atLeast"/>
          <w:jc w:val="center"/>
        </w:trPr>
        <w:tc>
          <w:tcPr>
            <w:tcW w:w="1137" w:type="dxa"/>
            <w:vMerge w:val="restart"/>
            <w:noWrap w:val="0"/>
            <w:vAlign w:val="top"/>
          </w:tcPr>
          <w:p>
            <w:pPr>
              <w:spacing w:line="360" w:lineRule="auto"/>
              <w:jc w:val="center"/>
              <w:rPr>
                <w:rFonts w:hint="eastAsia"/>
                <w:color w:val="000000"/>
                <w:kern w:val="0"/>
                <w:szCs w:val="21"/>
              </w:rPr>
            </w:pPr>
            <w:r>
              <w:rPr>
                <w:rFonts w:hint="eastAsia"/>
                <w:color w:val="000000"/>
                <w:kern w:val="0"/>
                <w:szCs w:val="21"/>
              </w:rPr>
              <w:t>1</w:t>
            </w:r>
          </w:p>
        </w:tc>
        <w:tc>
          <w:tcPr>
            <w:tcW w:w="2833" w:type="dxa"/>
            <w:vMerge w:val="restart"/>
            <w:noWrap w:val="0"/>
            <w:vAlign w:val="center"/>
          </w:tcPr>
          <w:p>
            <w:pPr>
              <w:spacing w:line="360" w:lineRule="auto"/>
              <w:jc w:val="left"/>
              <w:rPr>
                <w:color w:val="000000"/>
              </w:rPr>
            </w:pPr>
            <w:r>
              <w:rPr>
                <w:rFonts w:hint="eastAsia"/>
                <w:color w:val="000000"/>
                <w:szCs w:val="21"/>
              </w:rPr>
              <w:t>总体实施方案</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993"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2015"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6" w:hRule="atLeast"/>
          <w:jc w:val="center"/>
        </w:trPr>
        <w:tc>
          <w:tcPr>
            <w:tcW w:w="1137" w:type="dxa"/>
            <w:vMerge w:val="continue"/>
            <w:noWrap w:val="0"/>
            <w:vAlign w:val="top"/>
          </w:tcPr>
          <w:p>
            <w:pPr>
              <w:spacing w:line="360" w:lineRule="auto"/>
              <w:jc w:val="center"/>
              <w:rPr>
                <w:rFonts w:hint="eastAsia"/>
                <w:color w:val="000000"/>
                <w:kern w:val="0"/>
                <w:szCs w:val="21"/>
              </w:rPr>
            </w:pPr>
          </w:p>
        </w:tc>
        <w:tc>
          <w:tcPr>
            <w:tcW w:w="2833" w:type="dxa"/>
            <w:vMerge w:val="continue"/>
            <w:noWrap w:val="0"/>
            <w:vAlign w:val="center"/>
          </w:tcPr>
          <w:p>
            <w:pPr>
              <w:spacing w:line="360" w:lineRule="auto"/>
              <w:jc w:val="left"/>
              <w:rPr>
                <w:rFonts w:hint="eastAsia"/>
                <w:color w:val="000000"/>
                <w:kern w:val="0"/>
                <w:szCs w:val="21"/>
              </w:rPr>
            </w:pP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993"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2015"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37" w:type="dxa"/>
            <w:vMerge w:val="restart"/>
            <w:noWrap w:val="0"/>
            <w:vAlign w:val="top"/>
          </w:tcPr>
          <w:p>
            <w:pPr>
              <w:spacing w:line="360" w:lineRule="auto"/>
              <w:jc w:val="center"/>
              <w:rPr>
                <w:rFonts w:hint="eastAsia"/>
                <w:color w:val="000000"/>
                <w:kern w:val="0"/>
                <w:szCs w:val="21"/>
              </w:rPr>
            </w:pPr>
            <w:r>
              <w:rPr>
                <w:rFonts w:hint="eastAsia"/>
                <w:color w:val="000000"/>
                <w:kern w:val="0"/>
                <w:szCs w:val="21"/>
              </w:rPr>
              <w:t>2</w:t>
            </w:r>
          </w:p>
        </w:tc>
        <w:tc>
          <w:tcPr>
            <w:tcW w:w="2833" w:type="dxa"/>
            <w:vMerge w:val="restart"/>
            <w:noWrap w:val="0"/>
            <w:vAlign w:val="center"/>
          </w:tcPr>
          <w:p>
            <w:pPr>
              <w:spacing w:line="360" w:lineRule="auto"/>
              <w:jc w:val="left"/>
              <w:rPr>
                <w:color w:val="000000"/>
              </w:rPr>
            </w:pPr>
            <w:r>
              <w:rPr>
                <w:rFonts w:hint="eastAsia"/>
                <w:color w:val="000000"/>
                <w:szCs w:val="21"/>
              </w:rPr>
              <w:t>项目实施要点</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993"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2015"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37" w:type="dxa"/>
            <w:vMerge w:val="continue"/>
            <w:noWrap w:val="0"/>
            <w:vAlign w:val="top"/>
          </w:tcPr>
          <w:p>
            <w:pPr>
              <w:spacing w:line="360" w:lineRule="auto"/>
              <w:jc w:val="center"/>
              <w:rPr>
                <w:rFonts w:hint="eastAsia"/>
                <w:color w:val="000000"/>
                <w:kern w:val="0"/>
                <w:szCs w:val="21"/>
              </w:rPr>
            </w:pPr>
          </w:p>
        </w:tc>
        <w:tc>
          <w:tcPr>
            <w:tcW w:w="2833" w:type="dxa"/>
            <w:vMerge w:val="continue"/>
            <w:noWrap w:val="0"/>
            <w:vAlign w:val="center"/>
          </w:tcPr>
          <w:p>
            <w:pPr>
              <w:spacing w:line="360" w:lineRule="auto"/>
              <w:jc w:val="left"/>
              <w:rPr>
                <w:rFonts w:hint="eastAsia"/>
                <w:color w:val="000000"/>
                <w:kern w:val="0"/>
                <w:szCs w:val="21"/>
              </w:rPr>
            </w:pP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993"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2015"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37" w:type="dxa"/>
            <w:vMerge w:val="restart"/>
            <w:noWrap w:val="0"/>
            <w:vAlign w:val="top"/>
          </w:tcPr>
          <w:p>
            <w:pPr>
              <w:spacing w:line="360" w:lineRule="auto"/>
              <w:jc w:val="center"/>
              <w:rPr>
                <w:rFonts w:hint="eastAsia"/>
                <w:color w:val="000000"/>
                <w:kern w:val="0"/>
                <w:szCs w:val="21"/>
              </w:rPr>
            </w:pPr>
            <w:r>
              <w:rPr>
                <w:rFonts w:hint="eastAsia"/>
                <w:color w:val="000000"/>
                <w:kern w:val="0"/>
                <w:szCs w:val="21"/>
              </w:rPr>
              <w:t>3</w:t>
            </w:r>
          </w:p>
        </w:tc>
        <w:tc>
          <w:tcPr>
            <w:tcW w:w="2833" w:type="dxa"/>
            <w:vMerge w:val="restart"/>
            <w:noWrap w:val="0"/>
            <w:vAlign w:val="center"/>
          </w:tcPr>
          <w:p>
            <w:pPr>
              <w:spacing w:line="360" w:lineRule="auto"/>
              <w:jc w:val="left"/>
              <w:rPr>
                <w:rFonts w:hint="eastAsia"/>
                <w:color w:val="000000"/>
                <w:kern w:val="0"/>
                <w:szCs w:val="21"/>
              </w:rPr>
            </w:pPr>
            <w:r>
              <w:rPr>
                <w:rFonts w:hint="eastAsia"/>
                <w:color w:val="000000"/>
                <w:szCs w:val="21"/>
              </w:rPr>
              <w:t>项目管理要点</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993"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2015"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37" w:type="dxa"/>
            <w:vMerge w:val="continue"/>
            <w:noWrap w:val="0"/>
            <w:vAlign w:val="top"/>
          </w:tcPr>
          <w:p>
            <w:pPr>
              <w:spacing w:line="360" w:lineRule="auto"/>
              <w:jc w:val="center"/>
              <w:rPr>
                <w:rFonts w:hint="eastAsia"/>
                <w:color w:val="000000"/>
                <w:kern w:val="0"/>
                <w:szCs w:val="21"/>
              </w:rPr>
            </w:pPr>
          </w:p>
        </w:tc>
        <w:tc>
          <w:tcPr>
            <w:tcW w:w="2833" w:type="dxa"/>
            <w:vMerge w:val="continue"/>
            <w:noWrap w:val="0"/>
            <w:vAlign w:val="center"/>
          </w:tcPr>
          <w:p>
            <w:pPr>
              <w:spacing w:line="360" w:lineRule="auto"/>
              <w:jc w:val="left"/>
              <w:rPr>
                <w:rFonts w:hint="eastAsia"/>
                <w:color w:val="000000"/>
                <w:kern w:val="0"/>
                <w:szCs w:val="21"/>
              </w:rPr>
            </w:pP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993"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2015"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37" w:type="dxa"/>
            <w:vMerge w:val="restart"/>
            <w:noWrap w:val="0"/>
            <w:vAlign w:val="top"/>
          </w:tcPr>
          <w:p>
            <w:pPr>
              <w:spacing w:line="360" w:lineRule="auto"/>
              <w:jc w:val="center"/>
              <w:rPr>
                <w:rFonts w:hint="eastAsia"/>
                <w:color w:val="000000"/>
                <w:kern w:val="0"/>
                <w:szCs w:val="21"/>
              </w:rPr>
            </w:pPr>
            <w:r>
              <w:rPr>
                <w:rFonts w:hint="eastAsia"/>
                <w:color w:val="000000"/>
                <w:kern w:val="0"/>
                <w:szCs w:val="21"/>
              </w:rPr>
              <w:t>4</w:t>
            </w:r>
          </w:p>
        </w:tc>
        <w:tc>
          <w:tcPr>
            <w:tcW w:w="2833" w:type="dxa"/>
            <w:vMerge w:val="restart"/>
            <w:noWrap w:val="0"/>
            <w:vAlign w:val="center"/>
          </w:tcPr>
          <w:p>
            <w:pPr>
              <w:spacing w:line="360" w:lineRule="auto"/>
              <w:jc w:val="left"/>
              <w:rPr>
                <w:rFonts w:hint="eastAsia"/>
                <w:color w:val="000000"/>
                <w:kern w:val="0"/>
                <w:szCs w:val="21"/>
              </w:rPr>
            </w:pPr>
            <w:r>
              <w:rPr>
                <w:rFonts w:hint="eastAsia" w:ascii="宋体" w:hAnsi="宋体"/>
                <w:color w:val="000000"/>
                <w:szCs w:val="21"/>
              </w:rPr>
              <w:t>设计及施工的配合</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993"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2015"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37" w:type="dxa"/>
            <w:vMerge w:val="continue"/>
            <w:noWrap w:val="0"/>
            <w:vAlign w:val="top"/>
          </w:tcPr>
          <w:p>
            <w:pPr>
              <w:spacing w:line="360" w:lineRule="auto"/>
              <w:jc w:val="left"/>
              <w:rPr>
                <w:rFonts w:hint="eastAsia"/>
                <w:color w:val="000000"/>
                <w:kern w:val="0"/>
                <w:szCs w:val="21"/>
              </w:rPr>
            </w:pPr>
          </w:p>
        </w:tc>
        <w:tc>
          <w:tcPr>
            <w:tcW w:w="2833" w:type="dxa"/>
            <w:vMerge w:val="continue"/>
            <w:noWrap w:val="0"/>
            <w:vAlign w:val="center"/>
          </w:tcPr>
          <w:p>
            <w:pPr>
              <w:spacing w:line="360" w:lineRule="auto"/>
              <w:jc w:val="left"/>
              <w:rPr>
                <w:rFonts w:hint="eastAsia"/>
                <w:color w:val="000000"/>
                <w:kern w:val="0"/>
                <w:szCs w:val="21"/>
              </w:rPr>
            </w:pP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993"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2015"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3" w:hRule="atLeast"/>
          <w:jc w:val="center"/>
        </w:trPr>
        <w:tc>
          <w:tcPr>
            <w:tcW w:w="1137" w:type="dxa"/>
            <w:noWrap w:val="0"/>
            <w:vAlign w:val="top"/>
          </w:tcPr>
          <w:p>
            <w:pPr>
              <w:spacing w:line="360" w:lineRule="auto"/>
              <w:jc w:val="left"/>
              <w:rPr>
                <w:color w:val="000000"/>
                <w:kern w:val="0"/>
                <w:szCs w:val="21"/>
              </w:rPr>
            </w:pPr>
          </w:p>
        </w:tc>
        <w:tc>
          <w:tcPr>
            <w:tcW w:w="2833" w:type="dxa"/>
            <w:noWrap w:val="0"/>
            <w:vAlign w:val="center"/>
          </w:tcPr>
          <w:p>
            <w:pPr>
              <w:spacing w:line="360" w:lineRule="auto"/>
              <w:jc w:val="left"/>
              <w:rPr>
                <w:rFonts w:hint="eastAsia"/>
                <w:color w:val="000000"/>
                <w:kern w:val="0"/>
                <w:szCs w:val="21"/>
              </w:rPr>
            </w:pPr>
            <w:r>
              <w:rPr>
                <w:color w:val="000000"/>
                <w:kern w:val="0"/>
                <w:szCs w:val="21"/>
              </w:rPr>
              <w:t>.........</w:t>
            </w:r>
          </w:p>
        </w:tc>
        <w:tc>
          <w:tcPr>
            <w:tcW w:w="850" w:type="dxa"/>
            <w:noWrap w:val="0"/>
            <w:vAlign w:val="center"/>
          </w:tcPr>
          <w:p>
            <w:pPr>
              <w:spacing w:line="360" w:lineRule="auto"/>
              <w:jc w:val="center"/>
              <w:rPr>
                <w:color w:val="000000"/>
              </w:rPr>
            </w:pPr>
          </w:p>
        </w:tc>
        <w:tc>
          <w:tcPr>
            <w:tcW w:w="851" w:type="dxa"/>
            <w:noWrap w:val="0"/>
            <w:vAlign w:val="center"/>
          </w:tcPr>
          <w:p>
            <w:pPr>
              <w:spacing w:line="360" w:lineRule="auto"/>
              <w:jc w:val="center"/>
              <w:rPr>
                <w:color w:val="000000"/>
              </w:rPr>
            </w:pPr>
          </w:p>
        </w:tc>
        <w:tc>
          <w:tcPr>
            <w:tcW w:w="850"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850" w:type="dxa"/>
            <w:noWrap w:val="0"/>
            <w:vAlign w:val="center"/>
          </w:tcPr>
          <w:p>
            <w:pPr>
              <w:spacing w:line="360" w:lineRule="auto"/>
              <w:jc w:val="center"/>
              <w:rPr>
                <w:color w:val="000000"/>
              </w:rPr>
            </w:pPr>
          </w:p>
        </w:tc>
        <w:tc>
          <w:tcPr>
            <w:tcW w:w="2015"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3" w:hRule="atLeast"/>
          <w:jc w:val="center"/>
        </w:trPr>
        <w:tc>
          <w:tcPr>
            <w:tcW w:w="3970" w:type="dxa"/>
            <w:gridSpan w:val="2"/>
            <w:noWrap w:val="0"/>
            <w:vAlign w:val="top"/>
          </w:tcPr>
          <w:p>
            <w:pPr>
              <w:spacing w:line="360" w:lineRule="auto"/>
              <w:jc w:val="left"/>
              <w:rPr>
                <w:color w:val="000000"/>
                <w:kern w:val="0"/>
                <w:szCs w:val="21"/>
              </w:rPr>
            </w:pPr>
            <w:r>
              <w:rPr>
                <w:rFonts w:hint="eastAsia"/>
                <w:color w:val="000000"/>
                <w:kern w:val="0"/>
                <w:szCs w:val="21"/>
              </w:rPr>
              <w:t>工程总承包工作大纲总评分结果</w:t>
            </w:r>
          </w:p>
        </w:tc>
        <w:tc>
          <w:tcPr>
            <w:tcW w:w="2551" w:type="dxa"/>
            <w:gridSpan w:val="3"/>
            <w:noWrap w:val="0"/>
            <w:vAlign w:val="center"/>
          </w:tcPr>
          <w:p>
            <w:pPr>
              <w:spacing w:line="360" w:lineRule="auto"/>
              <w:jc w:val="center"/>
              <w:rPr>
                <w:color w:val="000000"/>
              </w:rPr>
            </w:pPr>
          </w:p>
        </w:tc>
        <w:tc>
          <w:tcPr>
            <w:tcW w:w="1843" w:type="dxa"/>
            <w:gridSpan w:val="2"/>
            <w:noWrap w:val="0"/>
            <w:vAlign w:val="center"/>
          </w:tcPr>
          <w:p>
            <w:pPr>
              <w:spacing w:line="360" w:lineRule="auto"/>
              <w:jc w:val="center"/>
              <w:rPr>
                <w:color w:val="000000"/>
              </w:rPr>
            </w:pPr>
            <w:r>
              <w:rPr>
                <w:rFonts w:hint="eastAsia"/>
                <w:color w:val="000000"/>
              </w:rPr>
              <w:t>是否通过评审</w:t>
            </w:r>
          </w:p>
        </w:tc>
        <w:tc>
          <w:tcPr>
            <w:tcW w:w="5245" w:type="dxa"/>
            <w:gridSpan w:val="4"/>
            <w:noWrap w:val="0"/>
            <w:vAlign w:val="center"/>
          </w:tcPr>
          <w:p>
            <w:pPr>
              <w:spacing w:line="360" w:lineRule="auto"/>
              <w:jc w:val="center"/>
              <w:rPr>
                <w:color w:val="000000"/>
              </w:rPr>
            </w:pPr>
          </w:p>
        </w:tc>
      </w:tr>
    </w:tbl>
    <w:p>
      <w:pPr>
        <w:rPr>
          <w:rFonts w:hint="eastAsia" w:eastAsia="楷体_GB2312"/>
          <w:color w:val="000000"/>
          <w:szCs w:val="21"/>
        </w:rPr>
      </w:pPr>
    </w:p>
    <w:p>
      <w:pPr>
        <w:spacing w:after="240" w:afterLines="100"/>
        <w:rPr>
          <w:color w:val="000000"/>
        </w:rPr>
      </w:pPr>
      <w:r>
        <w:rPr>
          <w:rFonts w:hint="eastAsia" w:eastAsia="楷体_GB2312"/>
          <w:color w:val="000000"/>
          <w:szCs w:val="21"/>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p>
    <w:p>
      <w:pPr>
        <w:rPr>
          <w:rFonts w:eastAsia="楷体_GB2312"/>
          <w:color w:val="000000"/>
          <w:szCs w:val="21"/>
        </w:rPr>
      </w:pPr>
    </w:p>
    <w:p>
      <w:pPr>
        <w:spacing w:line="440" w:lineRule="exact"/>
        <w:rPr>
          <w:color w:val="000000"/>
        </w:rPr>
      </w:pPr>
    </w:p>
    <w:p>
      <w:pPr>
        <w:spacing w:line="440" w:lineRule="exact"/>
        <w:rPr>
          <w:color w:val="000000"/>
        </w:rPr>
      </w:pPr>
      <w:r>
        <w:rPr>
          <w:rFonts w:hint="eastAsia"/>
          <w:color w:val="000000"/>
        </w:rPr>
        <w:t>总承包工作大纲评审</w:t>
      </w:r>
      <w:r>
        <w:rPr>
          <w:color w:val="000000"/>
        </w:rPr>
        <w:t>全体</w:t>
      </w:r>
      <w:r>
        <w:rPr>
          <w:rFonts w:hint="eastAsia"/>
          <w:color w:val="000000"/>
        </w:rPr>
        <w:t>评委</w:t>
      </w:r>
      <w:r>
        <w:rPr>
          <w:color w:val="000000"/>
        </w:rPr>
        <w:t>签名：                                                         日期：        年     月     日</w:t>
      </w:r>
    </w:p>
    <w:p>
      <w:pPr>
        <w:rPr>
          <w:rFonts w:eastAsia="黑体"/>
          <w:color w:val="000000"/>
          <w:szCs w:val="21"/>
        </w:rPr>
      </w:pPr>
    </w:p>
    <w:p>
      <w:pPr>
        <w:spacing w:after="240" w:afterLines="100"/>
        <w:rPr>
          <w:rFonts w:hint="eastAsia"/>
          <w:color w:val="000000"/>
        </w:rPr>
      </w:pPr>
    </w:p>
    <w:p>
      <w:pPr>
        <w:spacing w:after="240" w:afterLines="100"/>
        <w:rPr>
          <w:rFonts w:hint="eastAsia"/>
          <w:color w:val="000000"/>
        </w:rPr>
      </w:pPr>
    </w:p>
    <w:p>
      <w:pPr>
        <w:pStyle w:val="4"/>
        <w:spacing w:line="240" w:lineRule="auto"/>
        <w:rPr>
          <w:sz w:val="28"/>
          <w:szCs w:val="28"/>
        </w:rPr>
      </w:pPr>
      <w:bookmarkStart w:id="733" w:name="_Toc59203043"/>
      <w:r>
        <w:rPr>
          <w:sz w:val="28"/>
          <w:szCs w:val="28"/>
        </w:rPr>
        <w:t>附表A-11：</w:t>
      </w:r>
      <w:r>
        <w:rPr>
          <w:rFonts w:hint="eastAsia"/>
          <w:sz w:val="28"/>
          <w:szCs w:val="28"/>
        </w:rPr>
        <w:t>施工组织设计</w:t>
      </w:r>
      <w:r>
        <w:rPr>
          <w:sz w:val="28"/>
          <w:szCs w:val="28"/>
        </w:rPr>
        <w:t>评</w:t>
      </w:r>
      <w:r>
        <w:rPr>
          <w:rFonts w:hint="eastAsia"/>
          <w:sz w:val="28"/>
          <w:szCs w:val="28"/>
        </w:rPr>
        <w:t>分</w:t>
      </w:r>
      <w:r>
        <w:rPr>
          <w:sz w:val="28"/>
          <w:szCs w:val="28"/>
        </w:rPr>
        <w:t>记录表</w:t>
      </w:r>
      <w:bookmarkEnd w:id="733"/>
    </w:p>
    <w:p>
      <w:pPr>
        <w:spacing w:after="240" w:afterLines="100"/>
        <w:rPr>
          <w:color w:val="000000"/>
        </w:rPr>
        <w:sectPr>
          <w:type w:val="continuous"/>
          <w:pgSz w:w="16840" w:h="11907" w:orient="landscape"/>
          <w:pgMar w:top="1440" w:right="1440" w:bottom="1440" w:left="1797" w:header="851" w:footer="851" w:gutter="0"/>
          <w:cols w:space="720" w:num="1"/>
          <w:docGrid w:linePitch="312" w:charSpace="0"/>
        </w:sectPr>
      </w:pPr>
    </w:p>
    <w:p>
      <w:pPr>
        <w:jc w:val="center"/>
        <w:rPr>
          <w:rFonts w:ascii="宋体" w:hAnsi="宋体"/>
          <w:b/>
          <w:color w:val="000000"/>
          <w:sz w:val="28"/>
          <w:szCs w:val="28"/>
        </w:rPr>
      </w:pPr>
      <w:r>
        <w:rPr>
          <w:rFonts w:hint="eastAsia" w:ascii="宋体" w:hAnsi="宋体"/>
          <w:b/>
          <w:color w:val="000000"/>
          <w:sz w:val="28"/>
          <w:szCs w:val="28"/>
        </w:rPr>
        <w:t>施工组织设计</w:t>
      </w:r>
      <w:r>
        <w:rPr>
          <w:rFonts w:ascii="宋体" w:hAnsi="宋体"/>
          <w:b/>
          <w:color w:val="000000"/>
          <w:sz w:val="28"/>
          <w:szCs w:val="28"/>
        </w:rPr>
        <w:t>评</w:t>
      </w:r>
      <w:r>
        <w:rPr>
          <w:rFonts w:hint="eastAsia" w:ascii="宋体" w:hAnsi="宋体"/>
          <w:b/>
          <w:color w:val="000000"/>
          <w:sz w:val="28"/>
          <w:szCs w:val="28"/>
        </w:rPr>
        <w:t>分</w:t>
      </w:r>
      <w:r>
        <w:rPr>
          <w:rFonts w:ascii="宋体" w:hAnsi="宋体"/>
          <w:b/>
          <w:color w:val="000000"/>
          <w:sz w:val="28"/>
          <w:szCs w:val="28"/>
        </w:rPr>
        <w:t>记录表</w:t>
      </w:r>
    </w:p>
    <w:p>
      <w:pPr>
        <w:spacing w:after="72" w:afterLines="30" w:line="440" w:lineRule="exact"/>
        <w:rPr>
          <w:color w:val="000000"/>
        </w:rPr>
      </w:pPr>
      <w:r>
        <w:rPr>
          <w:color w:val="000000"/>
        </w:rPr>
        <w:t>工程名称</w:t>
      </w:r>
      <w:r>
        <w:rPr>
          <w:rFonts w:hint="eastAsia"/>
          <w:color w:val="000000"/>
        </w:rPr>
        <w:t>及项目招标编号</w:t>
      </w:r>
      <w:r>
        <w:rPr>
          <w:color w:val="000000"/>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color w:val="000000"/>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3060"/>
        <w:gridCol w:w="992"/>
        <w:gridCol w:w="1134"/>
        <w:gridCol w:w="1001"/>
        <w:gridCol w:w="1132"/>
        <w:gridCol w:w="1132"/>
        <w:gridCol w:w="1132"/>
        <w:gridCol w:w="1132"/>
        <w:gridCol w:w="1132"/>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32" w:hRule="atLeast"/>
          <w:jc w:val="center"/>
        </w:trPr>
        <w:tc>
          <w:tcPr>
            <w:tcW w:w="914" w:type="dxa"/>
            <w:vMerge w:val="restart"/>
            <w:noWrap w:val="0"/>
            <w:vAlign w:val="center"/>
          </w:tcPr>
          <w:p>
            <w:pPr>
              <w:spacing w:line="360" w:lineRule="auto"/>
              <w:jc w:val="center"/>
              <w:rPr>
                <w:color w:val="000000"/>
              </w:rPr>
            </w:pPr>
            <w:r>
              <w:rPr>
                <w:color w:val="000000"/>
              </w:rPr>
              <w:t>序号</w:t>
            </w:r>
          </w:p>
        </w:tc>
        <w:tc>
          <w:tcPr>
            <w:tcW w:w="3060" w:type="dxa"/>
            <w:vMerge w:val="restart"/>
            <w:noWrap w:val="0"/>
            <w:vAlign w:val="center"/>
          </w:tcPr>
          <w:p>
            <w:pPr>
              <w:spacing w:line="360" w:lineRule="auto"/>
              <w:jc w:val="center"/>
              <w:rPr>
                <w:color w:val="000000"/>
              </w:rPr>
            </w:pPr>
            <w:r>
              <w:rPr>
                <w:color w:val="000000"/>
              </w:rPr>
              <w:t>评审因素</w:t>
            </w:r>
          </w:p>
        </w:tc>
        <w:tc>
          <w:tcPr>
            <w:tcW w:w="9920" w:type="dxa"/>
            <w:gridSpan w:val="9"/>
            <w:noWrap w:val="0"/>
            <w:vAlign w:val="center"/>
          </w:tcPr>
          <w:p>
            <w:pPr>
              <w:spacing w:line="360" w:lineRule="auto"/>
              <w:jc w:val="center"/>
              <w:rPr>
                <w:color w:val="000000"/>
              </w:rPr>
            </w:pPr>
            <w:r>
              <w:rPr>
                <w:color w:val="000000"/>
              </w:rPr>
              <w:t>投标人名称</w:t>
            </w:r>
            <w:r>
              <w:rPr>
                <w:rFonts w:hint="eastAsia"/>
                <w:color w:val="000000"/>
              </w:rPr>
              <w:t>（或代码）</w:t>
            </w:r>
            <w:r>
              <w:rPr>
                <w:color w:val="000000"/>
              </w:rPr>
              <w:t>及评审意见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75" w:hRule="atLeast"/>
          <w:jc w:val="center"/>
        </w:trPr>
        <w:tc>
          <w:tcPr>
            <w:tcW w:w="914" w:type="dxa"/>
            <w:vMerge w:val="continue"/>
            <w:noWrap w:val="0"/>
            <w:vAlign w:val="center"/>
          </w:tcPr>
          <w:p>
            <w:pPr>
              <w:spacing w:line="240" w:lineRule="exact"/>
              <w:rPr>
                <w:rFonts w:hint="eastAsia" w:ascii="宋体" w:hAnsi="宋体"/>
                <w:color w:val="000000"/>
                <w:sz w:val="18"/>
                <w:szCs w:val="18"/>
              </w:rPr>
            </w:pPr>
          </w:p>
        </w:tc>
        <w:tc>
          <w:tcPr>
            <w:tcW w:w="3060" w:type="dxa"/>
            <w:vMerge w:val="continue"/>
            <w:noWrap w:val="0"/>
            <w:vAlign w:val="center"/>
          </w:tcPr>
          <w:p>
            <w:pPr>
              <w:spacing w:line="240" w:lineRule="exact"/>
              <w:rPr>
                <w:rFonts w:hint="eastAsia" w:ascii="宋体" w:hAnsi="宋体"/>
                <w:color w:val="000000"/>
                <w:sz w:val="18"/>
                <w:szCs w:val="18"/>
              </w:rPr>
            </w:pPr>
          </w:p>
        </w:tc>
        <w:tc>
          <w:tcPr>
            <w:tcW w:w="992"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001"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75" w:hRule="atLeast"/>
          <w:jc w:val="center"/>
        </w:trPr>
        <w:tc>
          <w:tcPr>
            <w:tcW w:w="914" w:type="dxa"/>
            <w:noWrap w:val="0"/>
            <w:vAlign w:val="center"/>
          </w:tcPr>
          <w:p>
            <w:pPr>
              <w:spacing w:line="240" w:lineRule="exact"/>
              <w:rPr>
                <w:rFonts w:hint="eastAsia" w:ascii="宋体" w:hAnsi="宋体"/>
                <w:color w:val="000000"/>
                <w:sz w:val="18"/>
                <w:szCs w:val="18"/>
              </w:rPr>
            </w:pPr>
            <w:r>
              <w:rPr>
                <w:rFonts w:hint="eastAsia" w:ascii="宋体" w:hAnsi="宋体"/>
                <w:color w:val="000000"/>
                <w:sz w:val="18"/>
                <w:szCs w:val="18"/>
              </w:rPr>
              <w:t>1</w:t>
            </w:r>
          </w:p>
        </w:tc>
        <w:tc>
          <w:tcPr>
            <w:tcW w:w="3060" w:type="dxa"/>
            <w:noWrap w:val="0"/>
            <w:vAlign w:val="center"/>
          </w:tcPr>
          <w:p>
            <w:pPr>
              <w:spacing w:line="240" w:lineRule="exact"/>
              <w:rPr>
                <w:rFonts w:hint="eastAsia" w:ascii="宋体" w:hAnsi="宋体"/>
                <w:color w:val="000000"/>
                <w:sz w:val="18"/>
                <w:szCs w:val="18"/>
              </w:rPr>
            </w:pPr>
            <w:r>
              <w:rPr>
                <w:rFonts w:hint="eastAsia" w:ascii="宋体" w:hAnsi="宋体"/>
                <w:color w:val="000000"/>
                <w:sz w:val="18"/>
                <w:szCs w:val="18"/>
              </w:rPr>
              <w:t>主要施工方法</w:t>
            </w:r>
          </w:p>
        </w:tc>
        <w:tc>
          <w:tcPr>
            <w:tcW w:w="992"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001"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75" w:hRule="atLeast"/>
          <w:jc w:val="center"/>
        </w:trPr>
        <w:tc>
          <w:tcPr>
            <w:tcW w:w="914" w:type="dxa"/>
            <w:noWrap w:val="0"/>
            <w:vAlign w:val="center"/>
          </w:tcPr>
          <w:p>
            <w:pPr>
              <w:spacing w:line="240" w:lineRule="exact"/>
              <w:rPr>
                <w:rFonts w:hint="eastAsia" w:ascii="宋体" w:hAnsi="宋体"/>
                <w:color w:val="000000"/>
                <w:sz w:val="18"/>
                <w:szCs w:val="18"/>
              </w:rPr>
            </w:pPr>
            <w:r>
              <w:rPr>
                <w:rFonts w:hint="eastAsia" w:ascii="宋体" w:hAnsi="宋体"/>
                <w:color w:val="000000"/>
                <w:sz w:val="18"/>
                <w:szCs w:val="18"/>
              </w:rPr>
              <w:t>2</w:t>
            </w:r>
          </w:p>
        </w:tc>
        <w:tc>
          <w:tcPr>
            <w:tcW w:w="3060" w:type="dxa"/>
            <w:noWrap w:val="0"/>
            <w:vAlign w:val="center"/>
          </w:tcPr>
          <w:p>
            <w:pPr>
              <w:spacing w:line="240" w:lineRule="exact"/>
              <w:rPr>
                <w:rFonts w:hint="eastAsia" w:ascii="宋体" w:hAnsi="宋体"/>
                <w:color w:val="000000"/>
                <w:sz w:val="18"/>
                <w:szCs w:val="18"/>
              </w:rPr>
            </w:pPr>
            <w:r>
              <w:rPr>
                <w:rFonts w:ascii="宋体" w:hAnsi="宋体"/>
                <w:color w:val="000000"/>
                <w:sz w:val="18"/>
                <w:szCs w:val="18"/>
              </w:rPr>
              <w:t>拟投入的主要物资计划</w:t>
            </w:r>
          </w:p>
        </w:tc>
        <w:tc>
          <w:tcPr>
            <w:tcW w:w="992"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001"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5" w:hRule="atLeast"/>
          <w:jc w:val="center"/>
        </w:trPr>
        <w:tc>
          <w:tcPr>
            <w:tcW w:w="914" w:type="dxa"/>
            <w:noWrap w:val="0"/>
            <w:vAlign w:val="center"/>
          </w:tcPr>
          <w:p>
            <w:pPr>
              <w:spacing w:line="240" w:lineRule="exact"/>
              <w:rPr>
                <w:rFonts w:hint="eastAsia" w:ascii="宋体" w:hAnsi="宋体"/>
                <w:color w:val="000000"/>
                <w:sz w:val="18"/>
                <w:szCs w:val="18"/>
              </w:rPr>
            </w:pPr>
            <w:r>
              <w:rPr>
                <w:rFonts w:hint="eastAsia" w:ascii="宋体" w:hAnsi="宋体"/>
                <w:color w:val="000000"/>
                <w:sz w:val="18"/>
                <w:szCs w:val="18"/>
              </w:rPr>
              <w:t>3</w:t>
            </w:r>
          </w:p>
        </w:tc>
        <w:tc>
          <w:tcPr>
            <w:tcW w:w="3060" w:type="dxa"/>
            <w:noWrap w:val="0"/>
            <w:vAlign w:val="center"/>
          </w:tcPr>
          <w:p>
            <w:pPr>
              <w:spacing w:line="240" w:lineRule="exact"/>
              <w:rPr>
                <w:rFonts w:hint="eastAsia" w:ascii="宋体" w:hAnsi="宋体"/>
                <w:color w:val="000000"/>
                <w:sz w:val="18"/>
                <w:szCs w:val="18"/>
              </w:rPr>
            </w:pPr>
            <w:r>
              <w:rPr>
                <w:rFonts w:ascii="宋体" w:hAnsi="宋体"/>
                <w:color w:val="000000"/>
                <w:sz w:val="18"/>
                <w:szCs w:val="18"/>
              </w:rPr>
              <w:t>劳动力安排计划</w:t>
            </w:r>
          </w:p>
        </w:tc>
        <w:tc>
          <w:tcPr>
            <w:tcW w:w="992"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001"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16" w:hRule="atLeast"/>
          <w:jc w:val="center"/>
        </w:trPr>
        <w:tc>
          <w:tcPr>
            <w:tcW w:w="914" w:type="dxa"/>
            <w:noWrap w:val="0"/>
            <w:vAlign w:val="center"/>
          </w:tcPr>
          <w:p>
            <w:pPr>
              <w:spacing w:line="240" w:lineRule="exact"/>
              <w:rPr>
                <w:rFonts w:hint="eastAsia" w:ascii="宋体" w:hAnsi="宋体"/>
                <w:color w:val="000000"/>
                <w:sz w:val="18"/>
                <w:szCs w:val="18"/>
              </w:rPr>
            </w:pPr>
            <w:r>
              <w:rPr>
                <w:rFonts w:hint="eastAsia" w:ascii="宋体" w:hAnsi="宋体"/>
                <w:color w:val="000000"/>
                <w:sz w:val="18"/>
                <w:szCs w:val="18"/>
              </w:rPr>
              <w:t>4</w:t>
            </w:r>
          </w:p>
        </w:tc>
        <w:tc>
          <w:tcPr>
            <w:tcW w:w="3060" w:type="dxa"/>
            <w:noWrap w:val="0"/>
            <w:vAlign w:val="center"/>
          </w:tcPr>
          <w:p>
            <w:pPr>
              <w:spacing w:line="240" w:lineRule="exact"/>
              <w:rPr>
                <w:rFonts w:hint="eastAsia" w:ascii="宋体" w:hAnsi="宋体"/>
                <w:color w:val="000000"/>
                <w:sz w:val="18"/>
                <w:szCs w:val="18"/>
              </w:rPr>
            </w:pPr>
            <w:r>
              <w:rPr>
                <w:rFonts w:ascii="宋体" w:hAnsi="宋体"/>
                <w:color w:val="000000"/>
                <w:sz w:val="18"/>
                <w:szCs w:val="18"/>
              </w:rPr>
              <w:t>确保工程质量的技术组织措施</w:t>
            </w:r>
          </w:p>
        </w:tc>
        <w:tc>
          <w:tcPr>
            <w:tcW w:w="992"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001"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0" w:hRule="atLeast"/>
          <w:jc w:val="center"/>
        </w:trPr>
        <w:tc>
          <w:tcPr>
            <w:tcW w:w="914" w:type="dxa"/>
            <w:noWrap w:val="0"/>
            <w:vAlign w:val="center"/>
          </w:tcPr>
          <w:p>
            <w:pPr>
              <w:spacing w:line="240" w:lineRule="exact"/>
              <w:rPr>
                <w:rFonts w:hint="eastAsia" w:ascii="宋体" w:hAnsi="宋体"/>
                <w:color w:val="000000"/>
                <w:sz w:val="18"/>
                <w:szCs w:val="18"/>
              </w:rPr>
            </w:pPr>
            <w:r>
              <w:rPr>
                <w:rFonts w:hint="eastAsia" w:ascii="宋体" w:hAnsi="宋体"/>
                <w:color w:val="000000"/>
                <w:sz w:val="18"/>
                <w:szCs w:val="18"/>
              </w:rPr>
              <w:t>5</w:t>
            </w:r>
          </w:p>
        </w:tc>
        <w:tc>
          <w:tcPr>
            <w:tcW w:w="3060" w:type="dxa"/>
            <w:noWrap w:val="0"/>
            <w:vAlign w:val="center"/>
          </w:tcPr>
          <w:p>
            <w:pPr>
              <w:spacing w:line="240" w:lineRule="exact"/>
              <w:rPr>
                <w:rFonts w:hint="eastAsia" w:ascii="宋体" w:hAnsi="宋体"/>
                <w:color w:val="000000"/>
                <w:sz w:val="18"/>
                <w:szCs w:val="18"/>
              </w:rPr>
            </w:pPr>
            <w:r>
              <w:rPr>
                <w:rFonts w:ascii="宋体" w:hAnsi="宋体"/>
                <w:color w:val="000000"/>
                <w:sz w:val="18"/>
                <w:szCs w:val="18"/>
              </w:rPr>
              <w:t>确保安全生产的技术组织措施</w:t>
            </w:r>
          </w:p>
        </w:tc>
        <w:tc>
          <w:tcPr>
            <w:tcW w:w="992"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001"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914" w:type="dxa"/>
            <w:noWrap w:val="0"/>
            <w:vAlign w:val="center"/>
          </w:tcPr>
          <w:p>
            <w:pPr>
              <w:spacing w:line="240" w:lineRule="exact"/>
              <w:rPr>
                <w:rFonts w:hint="eastAsia" w:ascii="宋体" w:hAnsi="宋体"/>
                <w:color w:val="000000"/>
                <w:sz w:val="18"/>
                <w:szCs w:val="18"/>
              </w:rPr>
            </w:pPr>
            <w:r>
              <w:rPr>
                <w:rFonts w:hint="eastAsia" w:ascii="宋体" w:hAnsi="宋体"/>
                <w:color w:val="000000"/>
                <w:sz w:val="18"/>
                <w:szCs w:val="18"/>
              </w:rPr>
              <w:t>6</w:t>
            </w:r>
          </w:p>
        </w:tc>
        <w:tc>
          <w:tcPr>
            <w:tcW w:w="3060" w:type="dxa"/>
            <w:noWrap w:val="0"/>
            <w:vAlign w:val="center"/>
          </w:tcPr>
          <w:p>
            <w:pPr>
              <w:spacing w:line="240" w:lineRule="exact"/>
              <w:rPr>
                <w:rFonts w:hint="eastAsia" w:ascii="宋体" w:hAnsi="宋体"/>
                <w:color w:val="000000"/>
                <w:sz w:val="18"/>
                <w:szCs w:val="18"/>
              </w:rPr>
            </w:pPr>
            <w:r>
              <w:rPr>
                <w:rFonts w:ascii="宋体" w:hAnsi="宋体"/>
                <w:color w:val="000000"/>
                <w:sz w:val="18"/>
                <w:szCs w:val="18"/>
              </w:rPr>
              <w:t>确保工期的技术组织措施</w:t>
            </w:r>
          </w:p>
        </w:tc>
        <w:tc>
          <w:tcPr>
            <w:tcW w:w="992"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001"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atLeast"/>
          <w:jc w:val="center"/>
        </w:trPr>
        <w:tc>
          <w:tcPr>
            <w:tcW w:w="914" w:type="dxa"/>
            <w:noWrap w:val="0"/>
            <w:vAlign w:val="center"/>
          </w:tcPr>
          <w:p>
            <w:pPr>
              <w:spacing w:line="240" w:lineRule="exact"/>
              <w:rPr>
                <w:rFonts w:hint="eastAsia" w:ascii="宋体" w:hAnsi="宋体"/>
                <w:color w:val="000000"/>
                <w:sz w:val="18"/>
                <w:szCs w:val="18"/>
              </w:rPr>
            </w:pPr>
            <w:r>
              <w:rPr>
                <w:rFonts w:hint="eastAsia" w:ascii="宋体" w:hAnsi="宋体"/>
                <w:color w:val="000000"/>
                <w:sz w:val="18"/>
                <w:szCs w:val="18"/>
              </w:rPr>
              <w:t>7</w:t>
            </w:r>
          </w:p>
        </w:tc>
        <w:tc>
          <w:tcPr>
            <w:tcW w:w="3060" w:type="dxa"/>
            <w:noWrap w:val="0"/>
            <w:vAlign w:val="center"/>
          </w:tcPr>
          <w:p>
            <w:pPr>
              <w:spacing w:line="240" w:lineRule="exact"/>
              <w:rPr>
                <w:rFonts w:hint="eastAsia" w:ascii="宋体" w:hAnsi="宋体"/>
                <w:color w:val="000000"/>
                <w:sz w:val="18"/>
                <w:szCs w:val="18"/>
              </w:rPr>
            </w:pPr>
            <w:r>
              <w:rPr>
                <w:rFonts w:ascii="宋体" w:hAnsi="宋体"/>
                <w:color w:val="000000"/>
                <w:sz w:val="18"/>
                <w:szCs w:val="18"/>
              </w:rPr>
              <w:t>确保文明施工的技术组织措施</w:t>
            </w:r>
          </w:p>
        </w:tc>
        <w:tc>
          <w:tcPr>
            <w:tcW w:w="992"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001"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17" w:hRule="atLeast"/>
          <w:jc w:val="center"/>
        </w:trPr>
        <w:tc>
          <w:tcPr>
            <w:tcW w:w="914" w:type="dxa"/>
            <w:noWrap w:val="0"/>
            <w:vAlign w:val="center"/>
          </w:tcPr>
          <w:p>
            <w:pPr>
              <w:spacing w:line="240" w:lineRule="exact"/>
              <w:rPr>
                <w:rFonts w:hint="eastAsia" w:ascii="宋体" w:hAnsi="宋体"/>
                <w:color w:val="000000"/>
                <w:sz w:val="18"/>
                <w:szCs w:val="18"/>
              </w:rPr>
            </w:pPr>
            <w:r>
              <w:rPr>
                <w:rFonts w:hint="eastAsia" w:ascii="宋体" w:hAnsi="宋体"/>
                <w:color w:val="000000"/>
                <w:sz w:val="18"/>
                <w:szCs w:val="18"/>
              </w:rPr>
              <w:t>8</w:t>
            </w:r>
          </w:p>
        </w:tc>
        <w:tc>
          <w:tcPr>
            <w:tcW w:w="3060" w:type="dxa"/>
            <w:noWrap w:val="0"/>
            <w:vAlign w:val="center"/>
          </w:tcPr>
          <w:p>
            <w:pPr>
              <w:spacing w:line="240" w:lineRule="exact"/>
              <w:rPr>
                <w:rFonts w:hint="eastAsia" w:ascii="宋体" w:hAnsi="宋体"/>
                <w:color w:val="000000"/>
                <w:sz w:val="18"/>
                <w:szCs w:val="18"/>
              </w:rPr>
            </w:pPr>
            <w:r>
              <w:rPr>
                <w:rFonts w:ascii="宋体" w:hAnsi="宋体"/>
                <w:color w:val="000000"/>
                <w:sz w:val="18"/>
                <w:szCs w:val="18"/>
              </w:rPr>
              <w:t>工程施工的重点和难点及保证措施</w:t>
            </w:r>
          </w:p>
        </w:tc>
        <w:tc>
          <w:tcPr>
            <w:tcW w:w="992"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001"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83" w:hRule="atLeast"/>
          <w:jc w:val="center"/>
        </w:trPr>
        <w:tc>
          <w:tcPr>
            <w:tcW w:w="914" w:type="dxa"/>
            <w:noWrap w:val="0"/>
            <w:vAlign w:val="center"/>
          </w:tcPr>
          <w:p>
            <w:pPr>
              <w:spacing w:line="240" w:lineRule="exact"/>
              <w:rPr>
                <w:rFonts w:hint="eastAsia" w:ascii="宋体" w:hAnsi="宋体"/>
                <w:color w:val="000000"/>
                <w:sz w:val="18"/>
                <w:szCs w:val="18"/>
              </w:rPr>
            </w:pPr>
            <w:r>
              <w:rPr>
                <w:rFonts w:hint="eastAsia" w:ascii="宋体" w:hAnsi="宋体"/>
                <w:color w:val="000000"/>
                <w:sz w:val="18"/>
                <w:szCs w:val="18"/>
              </w:rPr>
              <w:t>9</w:t>
            </w:r>
          </w:p>
        </w:tc>
        <w:tc>
          <w:tcPr>
            <w:tcW w:w="3060" w:type="dxa"/>
            <w:noWrap w:val="0"/>
            <w:vAlign w:val="center"/>
          </w:tcPr>
          <w:p>
            <w:pPr>
              <w:spacing w:line="240" w:lineRule="exact"/>
              <w:rPr>
                <w:rFonts w:hint="eastAsia" w:ascii="宋体" w:hAnsi="宋体"/>
                <w:color w:val="000000"/>
                <w:sz w:val="18"/>
                <w:szCs w:val="18"/>
              </w:rPr>
            </w:pPr>
            <w:r>
              <w:rPr>
                <w:rFonts w:ascii="宋体" w:hAnsi="宋体"/>
                <w:color w:val="000000"/>
                <w:sz w:val="18"/>
                <w:szCs w:val="18"/>
              </w:rPr>
              <w:t>施工总平面布置图</w:t>
            </w:r>
          </w:p>
        </w:tc>
        <w:tc>
          <w:tcPr>
            <w:tcW w:w="992"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001"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83" w:hRule="atLeast"/>
          <w:jc w:val="center"/>
        </w:trPr>
        <w:tc>
          <w:tcPr>
            <w:tcW w:w="914" w:type="dxa"/>
            <w:noWrap w:val="0"/>
            <w:vAlign w:val="center"/>
          </w:tcPr>
          <w:p>
            <w:pPr>
              <w:spacing w:line="240" w:lineRule="exact"/>
              <w:rPr>
                <w:rFonts w:hint="eastAsia" w:ascii="宋体" w:hAnsi="宋体"/>
                <w:color w:val="000000"/>
                <w:sz w:val="18"/>
                <w:szCs w:val="18"/>
              </w:rPr>
            </w:pPr>
            <w:r>
              <w:rPr>
                <w:rFonts w:hint="eastAsia" w:ascii="宋体" w:hAnsi="宋体"/>
                <w:color w:val="000000"/>
                <w:sz w:val="18"/>
                <w:szCs w:val="18"/>
              </w:rPr>
              <w:t>10</w:t>
            </w:r>
          </w:p>
        </w:tc>
        <w:tc>
          <w:tcPr>
            <w:tcW w:w="3060" w:type="dxa"/>
            <w:noWrap w:val="0"/>
            <w:vAlign w:val="center"/>
          </w:tcPr>
          <w:p>
            <w:pPr>
              <w:spacing w:line="240" w:lineRule="exact"/>
              <w:rPr>
                <w:rFonts w:ascii="宋体" w:hAnsi="宋体"/>
                <w:color w:val="000000"/>
                <w:sz w:val="18"/>
                <w:szCs w:val="18"/>
              </w:rPr>
            </w:pPr>
            <w:r>
              <w:rPr>
                <w:rFonts w:hint="eastAsia" w:ascii="宋体" w:hAnsi="宋体"/>
                <w:color w:val="000000"/>
                <w:sz w:val="18"/>
                <w:szCs w:val="18"/>
              </w:rPr>
              <w:t>装配式技术应用分析</w:t>
            </w:r>
          </w:p>
        </w:tc>
        <w:tc>
          <w:tcPr>
            <w:tcW w:w="992"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001"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83" w:hRule="atLeast"/>
          <w:jc w:val="center"/>
        </w:trPr>
        <w:tc>
          <w:tcPr>
            <w:tcW w:w="914" w:type="dxa"/>
            <w:noWrap w:val="0"/>
            <w:vAlign w:val="center"/>
          </w:tcPr>
          <w:p>
            <w:pPr>
              <w:spacing w:line="240" w:lineRule="exact"/>
              <w:rPr>
                <w:rFonts w:hint="eastAsia" w:ascii="宋体" w:hAnsi="宋体"/>
                <w:color w:val="000000"/>
                <w:sz w:val="18"/>
                <w:szCs w:val="18"/>
              </w:rPr>
            </w:pPr>
            <w:r>
              <w:rPr>
                <w:rFonts w:hint="eastAsia" w:ascii="宋体" w:hAnsi="宋体"/>
                <w:color w:val="000000"/>
                <w:sz w:val="18"/>
                <w:szCs w:val="18"/>
              </w:rPr>
              <w:t>11</w:t>
            </w:r>
          </w:p>
        </w:tc>
        <w:tc>
          <w:tcPr>
            <w:tcW w:w="3060" w:type="dxa"/>
            <w:noWrap w:val="0"/>
            <w:vAlign w:val="center"/>
          </w:tcPr>
          <w:p>
            <w:pPr>
              <w:spacing w:line="240" w:lineRule="exact"/>
              <w:rPr>
                <w:rFonts w:hint="eastAsia" w:ascii="宋体" w:hAnsi="宋体"/>
                <w:color w:val="000000"/>
                <w:sz w:val="18"/>
                <w:szCs w:val="18"/>
              </w:rPr>
            </w:pPr>
            <w:r>
              <w:rPr>
                <w:rFonts w:hint="eastAsia" w:ascii="宋体" w:hAnsi="宋体"/>
                <w:color w:val="000000"/>
                <w:sz w:val="18"/>
                <w:szCs w:val="18"/>
              </w:rPr>
              <w:t>BIM技术应用分析（</w:t>
            </w:r>
            <w:r>
              <w:rPr>
                <w:rFonts w:ascii="宋体" w:hAnsi="宋体"/>
                <w:color w:val="000000"/>
                <w:sz w:val="18"/>
                <w:szCs w:val="18"/>
              </w:rPr>
              <w:t>如有）</w:t>
            </w:r>
          </w:p>
        </w:tc>
        <w:tc>
          <w:tcPr>
            <w:tcW w:w="992"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001"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38" w:hRule="atLeast"/>
          <w:jc w:val="center"/>
        </w:trPr>
        <w:tc>
          <w:tcPr>
            <w:tcW w:w="3974" w:type="dxa"/>
            <w:gridSpan w:val="2"/>
            <w:noWrap w:val="0"/>
            <w:vAlign w:val="center"/>
          </w:tcPr>
          <w:p>
            <w:pPr>
              <w:spacing w:line="360" w:lineRule="auto"/>
              <w:jc w:val="center"/>
              <w:rPr>
                <w:color w:val="000000"/>
              </w:rPr>
            </w:pPr>
            <w:r>
              <w:rPr>
                <w:color w:val="000000"/>
                <w:szCs w:val="44"/>
              </w:rPr>
              <w:t>得分合计</w:t>
            </w:r>
            <w:r>
              <w:rPr>
                <w:rFonts w:hint="eastAsia"/>
                <w:color w:val="000000"/>
                <w:szCs w:val="44"/>
              </w:rPr>
              <w:t>（</w:t>
            </w:r>
            <w:r>
              <w:rPr>
                <w:color w:val="000000"/>
                <w:szCs w:val="44"/>
              </w:rPr>
              <w:t>满分</w:t>
            </w:r>
            <w:r>
              <w:rPr>
                <w:color w:val="000000"/>
                <w:szCs w:val="44"/>
                <w:u w:val="single"/>
              </w:rPr>
              <w:t xml:space="preserve">       </w:t>
            </w:r>
            <w:r>
              <w:rPr>
                <w:rFonts w:hint="eastAsia"/>
                <w:color w:val="000000"/>
                <w:szCs w:val="44"/>
              </w:rPr>
              <w:t>）</w:t>
            </w:r>
          </w:p>
        </w:tc>
        <w:tc>
          <w:tcPr>
            <w:tcW w:w="992"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001"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bl>
    <w:p>
      <w:pPr>
        <w:rPr>
          <w:rFonts w:eastAsia="楷体_GB2312"/>
          <w:color w:val="000000"/>
          <w:szCs w:val="21"/>
        </w:rPr>
      </w:pPr>
      <w:r>
        <w:rPr>
          <w:rFonts w:eastAsia="楷体_GB2312"/>
          <w:color w:val="000000"/>
          <w:szCs w:val="21"/>
        </w:rPr>
        <w:t>【</w:t>
      </w:r>
      <w:r>
        <w:rPr>
          <w:rFonts w:eastAsia="楷体_GB2312"/>
          <w:color w:val="000000"/>
        </w:rPr>
        <w:t>备注：本表可根据评分办法的需要进行调整</w:t>
      </w:r>
      <w:r>
        <w:rPr>
          <w:rFonts w:eastAsia="楷体_GB2312"/>
          <w:color w:val="000000"/>
          <w:szCs w:val="21"/>
        </w:rPr>
        <w:t>】</w:t>
      </w:r>
    </w:p>
    <w:p>
      <w:pPr>
        <w:spacing w:line="440" w:lineRule="exact"/>
        <w:rPr>
          <w:color w:val="000000"/>
        </w:rPr>
      </w:pPr>
      <w:r>
        <w:rPr>
          <w:rFonts w:hint="eastAsia"/>
          <w:color w:val="000000"/>
        </w:rPr>
        <w:t>评委</w:t>
      </w:r>
      <w:r>
        <w:rPr>
          <w:color w:val="000000"/>
        </w:rPr>
        <w:t>签名：                                                                        日期：        年     月     日</w:t>
      </w:r>
    </w:p>
    <w:p>
      <w:pPr>
        <w:rPr>
          <w:rFonts w:hint="eastAsia"/>
          <w:color w:val="000000"/>
        </w:rPr>
      </w:pPr>
    </w:p>
    <w:p>
      <w:pPr>
        <w:pStyle w:val="4"/>
        <w:spacing w:line="240" w:lineRule="auto"/>
        <w:rPr>
          <w:rFonts w:eastAsia="黑体"/>
          <w:color w:val="000000"/>
          <w:szCs w:val="21"/>
        </w:rPr>
      </w:pPr>
      <w:r>
        <w:rPr>
          <w:rFonts w:eastAsia="黑体"/>
          <w:color w:val="000000"/>
          <w:sz w:val="28"/>
          <w:szCs w:val="28"/>
        </w:rPr>
        <w:br w:type="page"/>
      </w:r>
      <w:bookmarkStart w:id="734" w:name="_Toc59203044"/>
      <w:r>
        <w:rPr>
          <w:sz w:val="28"/>
          <w:szCs w:val="28"/>
        </w:rPr>
        <w:t>附表A-12：</w:t>
      </w:r>
      <w:r>
        <w:rPr>
          <w:rFonts w:hint="eastAsia"/>
          <w:sz w:val="28"/>
          <w:szCs w:val="28"/>
        </w:rPr>
        <w:t>投标</w:t>
      </w:r>
      <w:r>
        <w:rPr>
          <w:sz w:val="28"/>
          <w:szCs w:val="28"/>
        </w:rPr>
        <w:t>人</w:t>
      </w:r>
      <w:r>
        <w:rPr>
          <w:rFonts w:hint="eastAsia"/>
          <w:sz w:val="28"/>
          <w:szCs w:val="28"/>
        </w:rPr>
        <w:t>施工组织设计评分计算</w:t>
      </w:r>
      <w:r>
        <w:rPr>
          <w:sz w:val="28"/>
          <w:szCs w:val="28"/>
        </w:rPr>
        <w:t>表</w:t>
      </w:r>
      <w:bookmarkEnd w:id="734"/>
    </w:p>
    <w:p>
      <w:pPr>
        <w:spacing w:line="440" w:lineRule="exact"/>
        <w:jc w:val="center"/>
        <w:rPr>
          <w:rFonts w:eastAsia="黑体"/>
          <w:color w:val="000000"/>
          <w:sz w:val="28"/>
          <w:szCs w:val="28"/>
        </w:rPr>
      </w:pPr>
      <w:r>
        <w:rPr>
          <w:rFonts w:eastAsia="黑体"/>
          <w:color w:val="000000"/>
          <w:sz w:val="28"/>
          <w:szCs w:val="28"/>
          <w:u w:val="single"/>
        </w:rPr>
        <w:t>投标人名称</w:t>
      </w:r>
      <w:r>
        <w:rPr>
          <w:rFonts w:hint="eastAsia" w:eastAsia="黑体"/>
          <w:color w:val="000000"/>
          <w:sz w:val="28"/>
          <w:szCs w:val="28"/>
          <w:u w:val="single"/>
        </w:rPr>
        <w:t xml:space="preserve">（或代码） </w:t>
      </w:r>
      <w:r>
        <w:rPr>
          <w:rFonts w:hint="eastAsia" w:eastAsia="黑体"/>
          <w:color w:val="000000"/>
          <w:sz w:val="28"/>
          <w:szCs w:val="28"/>
        </w:rPr>
        <w:t>施工组织设计评分计算</w:t>
      </w:r>
      <w:r>
        <w:rPr>
          <w:rFonts w:eastAsia="黑体"/>
          <w:color w:val="000000"/>
          <w:sz w:val="28"/>
          <w:szCs w:val="28"/>
        </w:rPr>
        <w:t>表</w:t>
      </w:r>
    </w:p>
    <w:p>
      <w:pPr>
        <w:spacing w:after="72" w:afterLines="30" w:line="440" w:lineRule="exact"/>
        <w:rPr>
          <w:color w:val="000000"/>
        </w:rPr>
      </w:pPr>
      <w:r>
        <w:rPr>
          <w:rFonts w:hint="eastAsia"/>
          <w:color w:val="000000"/>
        </w:rPr>
        <w:t>项目</w:t>
      </w:r>
      <w:r>
        <w:rPr>
          <w:color w:val="000000"/>
        </w:rPr>
        <w:t>名称</w:t>
      </w:r>
      <w:r>
        <w:rPr>
          <w:rFonts w:hint="eastAsia"/>
          <w:color w:val="000000"/>
        </w:rPr>
        <w:t>及项目招标编号</w:t>
      </w:r>
      <w:r>
        <w:rPr>
          <w:color w:val="000000"/>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color w:val="000000"/>
        </w:rPr>
        <w:t xml:space="preserve">        时间：      年      月      日</w:t>
      </w:r>
    </w:p>
    <w:p>
      <w:pPr>
        <w:spacing w:after="72" w:afterLines="30" w:line="440" w:lineRule="exact"/>
        <w:rPr>
          <w:rFonts w:hint="eastAsia"/>
          <w:color w:val="000000"/>
        </w:rPr>
      </w:pP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2806"/>
        <w:gridCol w:w="850"/>
        <w:gridCol w:w="851"/>
        <w:gridCol w:w="850"/>
        <w:gridCol w:w="993"/>
        <w:gridCol w:w="850"/>
        <w:gridCol w:w="2015"/>
        <w:gridCol w:w="993"/>
        <w:gridCol w:w="1275"/>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0" w:hRule="atLeast"/>
          <w:jc w:val="center"/>
        </w:trPr>
        <w:tc>
          <w:tcPr>
            <w:tcW w:w="1164" w:type="dxa"/>
            <w:vMerge w:val="restart"/>
            <w:noWrap w:val="0"/>
            <w:vAlign w:val="top"/>
          </w:tcPr>
          <w:p>
            <w:pPr>
              <w:spacing w:line="360" w:lineRule="auto"/>
              <w:jc w:val="center"/>
              <w:rPr>
                <w:color w:val="000000"/>
              </w:rPr>
            </w:pPr>
            <w:r>
              <w:rPr>
                <w:color w:val="000000"/>
              </w:rPr>
              <w:t>序号</w:t>
            </w:r>
          </w:p>
        </w:tc>
        <w:tc>
          <w:tcPr>
            <w:tcW w:w="2806" w:type="dxa"/>
            <w:vMerge w:val="restart"/>
            <w:noWrap w:val="0"/>
            <w:vAlign w:val="center"/>
          </w:tcPr>
          <w:p>
            <w:pPr>
              <w:spacing w:line="360" w:lineRule="auto"/>
              <w:jc w:val="center"/>
              <w:rPr>
                <w:color w:val="000000"/>
                <w:kern w:val="0"/>
                <w:szCs w:val="21"/>
              </w:rPr>
            </w:pPr>
            <w:r>
              <w:rPr>
                <w:color w:val="000000"/>
              </w:rPr>
              <w:t>评审因素</w:t>
            </w:r>
          </w:p>
        </w:tc>
        <w:tc>
          <w:tcPr>
            <w:tcW w:w="4394" w:type="dxa"/>
            <w:gridSpan w:val="5"/>
            <w:noWrap w:val="0"/>
            <w:vAlign w:val="center"/>
          </w:tcPr>
          <w:p>
            <w:pPr>
              <w:spacing w:line="360" w:lineRule="auto"/>
              <w:jc w:val="center"/>
              <w:rPr>
                <w:color w:val="000000"/>
              </w:rPr>
            </w:pPr>
            <w:r>
              <w:rPr>
                <w:rFonts w:hint="eastAsia" w:cs="宋体"/>
                <w:color w:val="000000"/>
                <w:szCs w:val="21"/>
                <w:lang w:bidi="ar"/>
              </w:rPr>
              <w:t>评委姓名</w:t>
            </w:r>
          </w:p>
        </w:tc>
        <w:tc>
          <w:tcPr>
            <w:tcW w:w="2015" w:type="dxa"/>
            <w:vMerge w:val="restart"/>
            <w:noWrap w:val="0"/>
            <w:vAlign w:val="center"/>
          </w:tcPr>
          <w:p>
            <w:pPr>
              <w:spacing w:line="360" w:lineRule="auto"/>
              <w:jc w:val="center"/>
              <w:rPr>
                <w:color w:val="000000"/>
              </w:rPr>
            </w:pPr>
            <w:r>
              <w:rPr>
                <w:rFonts w:hint="eastAsia" w:cs="宋体"/>
                <w:color w:val="000000"/>
                <w:szCs w:val="21"/>
                <w:lang w:bidi="ar"/>
              </w:rPr>
              <w:t>评分基准值</w:t>
            </w:r>
          </w:p>
        </w:tc>
        <w:tc>
          <w:tcPr>
            <w:tcW w:w="993" w:type="dxa"/>
            <w:vMerge w:val="restart"/>
            <w:noWrap w:val="0"/>
            <w:vAlign w:val="center"/>
          </w:tcPr>
          <w:p>
            <w:pPr>
              <w:spacing w:line="360" w:lineRule="auto"/>
              <w:jc w:val="center"/>
              <w:rPr>
                <w:rFonts w:hint="eastAsia" w:cs="宋体"/>
                <w:color w:val="000000"/>
                <w:szCs w:val="21"/>
                <w:lang w:bidi="ar"/>
              </w:rPr>
            </w:pPr>
            <w:r>
              <w:rPr>
                <w:rFonts w:hint="eastAsia" w:cs="宋体"/>
                <w:color w:val="000000"/>
                <w:szCs w:val="21"/>
                <w:lang w:bidi="ar"/>
              </w:rPr>
              <w:t>各评委</w:t>
            </w:r>
            <w:r>
              <w:rPr>
                <w:rStyle w:val="97"/>
                <w:rFonts w:hint="eastAsia"/>
                <w:color w:val="000000"/>
                <w:szCs w:val="21"/>
              </w:rPr>
              <w:t>有效</w:t>
            </w:r>
            <w:r>
              <w:rPr>
                <w:rFonts w:hint="eastAsia" w:cs="宋体"/>
                <w:color w:val="000000"/>
                <w:szCs w:val="21"/>
                <w:lang w:bidi="ar"/>
              </w:rPr>
              <w:t>评分合计</w:t>
            </w:r>
          </w:p>
        </w:tc>
        <w:tc>
          <w:tcPr>
            <w:tcW w:w="1275" w:type="dxa"/>
            <w:vMerge w:val="restart"/>
            <w:noWrap w:val="0"/>
            <w:vAlign w:val="top"/>
          </w:tcPr>
          <w:p>
            <w:pPr>
              <w:spacing w:line="360" w:lineRule="auto"/>
              <w:jc w:val="center"/>
              <w:rPr>
                <w:color w:val="000000"/>
              </w:rPr>
            </w:pPr>
            <w:r>
              <w:rPr>
                <w:rStyle w:val="97"/>
                <w:rFonts w:hint="eastAsia"/>
                <w:color w:val="000000"/>
                <w:szCs w:val="21"/>
              </w:rPr>
              <w:t>有效</w:t>
            </w:r>
            <w:r>
              <w:rPr>
                <w:rFonts w:hint="eastAsia" w:cs="宋体"/>
                <w:color w:val="000000"/>
                <w:szCs w:val="21"/>
                <w:lang w:bidi="ar"/>
              </w:rPr>
              <w:t>评分人数</w:t>
            </w:r>
          </w:p>
        </w:tc>
        <w:tc>
          <w:tcPr>
            <w:tcW w:w="962" w:type="dxa"/>
            <w:vMerge w:val="restart"/>
            <w:noWrap w:val="0"/>
            <w:vAlign w:val="top"/>
          </w:tcPr>
          <w:p>
            <w:pPr>
              <w:spacing w:line="360" w:lineRule="auto"/>
              <w:jc w:val="center"/>
              <w:rPr>
                <w:color w:val="000000"/>
              </w:rPr>
            </w:pPr>
            <w:r>
              <w:rPr>
                <w:rFonts w:hint="eastAsia" w:eastAsia="楷体_GB2312"/>
                <w:color w:val="000000"/>
                <w:szCs w:val="21"/>
              </w:rPr>
              <w:t>该单</w:t>
            </w:r>
            <w:r>
              <w:rPr>
                <w:rFonts w:eastAsia="楷体_GB2312"/>
                <w:color w:val="000000"/>
                <w:szCs w:val="21"/>
              </w:rPr>
              <w:t>项</w:t>
            </w:r>
            <w:r>
              <w:rPr>
                <w:rFonts w:hint="eastAsia" w:eastAsia="楷体_GB2312"/>
                <w:color w:val="000000"/>
                <w:szCs w:val="21"/>
              </w:rPr>
              <w:t>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4" w:hRule="atLeast"/>
          <w:jc w:val="center"/>
        </w:trPr>
        <w:tc>
          <w:tcPr>
            <w:tcW w:w="1164" w:type="dxa"/>
            <w:vMerge w:val="continue"/>
            <w:noWrap w:val="0"/>
            <w:vAlign w:val="top"/>
          </w:tcPr>
          <w:p>
            <w:pPr>
              <w:spacing w:line="360" w:lineRule="auto"/>
              <w:jc w:val="center"/>
              <w:rPr>
                <w:color w:val="000000"/>
                <w:kern w:val="0"/>
                <w:szCs w:val="21"/>
              </w:rPr>
            </w:pPr>
          </w:p>
        </w:tc>
        <w:tc>
          <w:tcPr>
            <w:tcW w:w="2806" w:type="dxa"/>
            <w:vMerge w:val="continue"/>
            <w:noWrap w:val="0"/>
            <w:vAlign w:val="center"/>
          </w:tcPr>
          <w:p>
            <w:pPr>
              <w:spacing w:line="360" w:lineRule="auto"/>
              <w:jc w:val="center"/>
              <w:rPr>
                <w:color w:val="000000"/>
                <w:kern w:val="0"/>
                <w:szCs w:val="21"/>
              </w:rPr>
            </w:pPr>
          </w:p>
        </w:tc>
        <w:tc>
          <w:tcPr>
            <w:tcW w:w="850" w:type="dxa"/>
            <w:noWrap w:val="0"/>
            <w:vAlign w:val="center"/>
          </w:tcPr>
          <w:p>
            <w:pPr>
              <w:spacing w:line="360" w:lineRule="auto"/>
              <w:jc w:val="center"/>
              <w:rPr>
                <w:color w:val="000000"/>
              </w:rPr>
            </w:pPr>
            <w:r>
              <w:rPr>
                <w:rFonts w:hint="eastAsia"/>
                <w:color w:val="000000"/>
              </w:rPr>
              <w:t>1</w:t>
            </w:r>
          </w:p>
        </w:tc>
        <w:tc>
          <w:tcPr>
            <w:tcW w:w="851" w:type="dxa"/>
            <w:noWrap w:val="0"/>
            <w:vAlign w:val="center"/>
          </w:tcPr>
          <w:p>
            <w:pPr>
              <w:spacing w:line="360" w:lineRule="auto"/>
              <w:jc w:val="center"/>
              <w:rPr>
                <w:color w:val="000000"/>
              </w:rPr>
            </w:pPr>
            <w:r>
              <w:rPr>
                <w:rFonts w:hint="eastAsia"/>
                <w:color w:val="000000"/>
              </w:rPr>
              <w:t>2</w:t>
            </w:r>
          </w:p>
        </w:tc>
        <w:tc>
          <w:tcPr>
            <w:tcW w:w="850" w:type="dxa"/>
            <w:noWrap w:val="0"/>
            <w:vAlign w:val="center"/>
          </w:tcPr>
          <w:p>
            <w:pPr>
              <w:spacing w:line="360" w:lineRule="auto"/>
              <w:jc w:val="center"/>
              <w:rPr>
                <w:color w:val="000000"/>
              </w:rPr>
            </w:pPr>
            <w:r>
              <w:rPr>
                <w:rFonts w:hint="eastAsia"/>
                <w:color w:val="000000"/>
              </w:rPr>
              <w:t>3</w:t>
            </w:r>
          </w:p>
        </w:tc>
        <w:tc>
          <w:tcPr>
            <w:tcW w:w="993" w:type="dxa"/>
            <w:noWrap w:val="0"/>
            <w:vAlign w:val="center"/>
          </w:tcPr>
          <w:p>
            <w:pPr>
              <w:spacing w:line="360" w:lineRule="auto"/>
              <w:jc w:val="center"/>
              <w:rPr>
                <w:color w:val="000000"/>
              </w:rPr>
            </w:pPr>
            <w:r>
              <w:rPr>
                <w:rFonts w:hint="eastAsia"/>
                <w:color w:val="000000"/>
              </w:rPr>
              <w:t>4</w:t>
            </w:r>
          </w:p>
        </w:tc>
        <w:tc>
          <w:tcPr>
            <w:tcW w:w="850" w:type="dxa"/>
            <w:noWrap w:val="0"/>
            <w:vAlign w:val="center"/>
          </w:tcPr>
          <w:p>
            <w:pPr>
              <w:spacing w:line="360" w:lineRule="auto"/>
              <w:jc w:val="center"/>
              <w:rPr>
                <w:color w:val="000000"/>
              </w:rPr>
            </w:pPr>
            <w:r>
              <w:rPr>
                <w:rFonts w:hint="eastAsia"/>
                <w:color w:val="000000"/>
              </w:rPr>
              <w:t>5</w:t>
            </w:r>
          </w:p>
        </w:tc>
        <w:tc>
          <w:tcPr>
            <w:tcW w:w="2015" w:type="dxa"/>
            <w:vMerge w:val="continue"/>
            <w:noWrap w:val="0"/>
            <w:vAlign w:val="center"/>
          </w:tcPr>
          <w:p>
            <w:pPr>
              <w:spacing w:line="360" w:lineRule="auto"/>
              <w:jc w:val="center"/>
              <w:rPr>
                <w:rFonts w:hint="eastAsia" w:cs="宋体"/>
                <w:color w:val="000000"/>
                <w:szCs w:val="21"/>
                <w:lang w:bidi="ar"/>
              </w:rPr>
            </w:pPr>
          </w:p>
        </w:tc>
        <w:tc>
          <w:tcPr>
            <w:tcW w:w="993" w:type="dxa"/>
            <w:vMerge w:val="continue"/>
            <w:noWrap w:val="0"/>
            <w:vAlign w:val="center"/>
          </w:tcPr>
          <w:p>
            <w:pPr>
              <w:spacing w:line="360" w:lineRule="auto"/>
              <w:jc w:val="center"/>
              <w:rPr>
                <w:rFonts w:hint="eastAsia"/>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7" w:hRule="atLeast"/>
          <w:jc w:val="center"/>
        </w:trPr>
        <w:tc>
          <w:tcPr>
            <w:tcW w:w="1164" w:type="dxa"/>
            <w:vMerge w:val="restart"/>
            <w:noWrap w:val="0"/>
            <w:vAlign w:val="top"/>
          </w:tcPr>
          <w:p>
            <w:pPr>
              <w:spacing w:line="360" w:lineRule="auto"/>
              <w:jc w:val="left"/>
              <w:rPr>
                <w:rFonts w:hint="eastAsia"/>
                <w:color w:val="000000"/>
                <w:kern w:val="0"/>
                <w:szCs w:val="21"/>
              </w:rPr>
            </w:pPr>
            <w:r>
              <w:rPr>
                <w:rFonts w:hint="eastAsia"/>
                <w:color w:val="000000"/>
                <w:kern w:val="0"/>
                <w:szCs w:val="21"/>
              </w:rPr>
              <w:t>1</w:t>
            </w:r>
          </w:p>
        </w:tc>
        <w:tc>
          <w:tcPr>
            <w:tcW w:w="2806" w:type="dxa"/>
            <w:vMerge w:val="restart"/>
            <w:noWrap w:val="0"/>
            <w:vAlign w:val="center"/>
          </w:tcPr>
          <w:p>
            <w:pPr>
              <w:spacing w:line="360" w:lineRule="auto"/>
              <w:jc w:val="left"/>
              <w:rPr>
                <w:color w:val="000000"/>
              </w:rPr>
            </w:pPr>
            <w:r>
              <w:rPr>
                <w:rFonts w:hint="eastAsia"/>
                <w:color w:val="000000"/>
                <w:kern w:val="0"/>
                <w:szCs w:val="21"/>
              </w:rPr>
              <w:t>主要施工方法</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993"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2015"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6" w:hRule="atLeast"/>
          <w:jc w:val="center"/>
        </w:trPr>
        <w:tc>
          <w:tcPr>
            <w:tcW w:w="1164" w:type="dxa"/>
            <w:vMerge w:val="continue"/>
            <w:noWrap w:val="0"/>
            <w:vAlign w:val="top"/>
          </w:tcPr>
          <w:p>
            <w:pPr>
              <w:spacing w:line="360" w:lineRule="auto"/>
              <w:jc w:val="left"/>
              <w:rPr>
                <w:rFonts w:hint="eastAsia"/>
                <w:color w:val="000000"/>
                <w:kern w:val="0"/>
                <w:szCs w:val="21"/>
              </w:rPr>
            </w:pPr>
          </w:p>
        </w:tc>
        <w:tc>
          <w:tcPr>
            <w:tcW w:w="2806" w:type="dxa"/>
            <w:vMerge w:val="continue"/>
            <w:noWrap w:val="0"/>
            <w:vAlign w:val="center"/>
          </w:tcPr>
          <w:p>
            <w:pPr>
              <w:spacing w:line="360" w:lineRule="auto"/>
              <w:jc w:val="left"/>
              <w:rPr>
                <w:rFonts w:hint="eastAsia"/>
                <w:color w:val="000000"/>
                <w:kern w:val="0"/>
                <w:szCs w:val="21"/>
              </w:rPr>
            </w:pP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993"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2015"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64" w:type="dxa"/>
            <w:vMerge w:val="restart"/>
            <w:noWrap w:val="0"/>
            <w:vAlign w:val="top"/>
          </w:tcPr>
          <w:p>
            <w:pPr>
              <w:spacing w:line="360" w:lineRule="auto"/>
              <w:jc w:val="left"/>
              <w:rPr>
                <w:rFonts w:hint="eastAsia"/>
                <w:color w:val="000000"/>
                <w:kern w:val="0"/>
                <w:szCs w:val="21"/>
              </w:rPr>
            </w:pPr>
            <w:r>
              <w:rPr>
                <w:rFonts w:hint="eastAsia"/>
                <w:color w:val="000000"/>
                <w:kern w:val="0"/>
                <w:szCs w:val="21"/>
              </w:rPr>
              <w:t>2</w:t>
            </w:r>
          </w:p>
        </w:tc>
        <w:tc>
          <w:tcPr>
            <w:tcW w:w="2806" w:type="dxa"/>
            <w:vMerge w:val="restart"/>
            <w:noWrap w:val="0"/>
            <w:vAlign w:val="top"/>
          </w:tcPr>
          <w:p>
            <w:pPr>
              <w:spacing w:line="360" w:lineRule="auto"/>
              <w:jc w:val="left"/>
              <w:rPr>
                <w:color w:val="000000"/>
              </w:rPr>
            </w:pPr>
            <w:r>
              <w:rPr>
                <w:rFonts w:hint="eastAsia"/>
                <w:color w:val="000000"/>
              </w:rPr>
              <w:t>拟投入的主要物资计划</w:t>
            </w:r>
          </w:p>
          <w:p>
            <w:pPr>
              <w:spacing w:line="360" w:lineRule="auto"/>
              <w:jc w:val="left"/>
              <w:rPr>
                <w:color w:val="000000"/>
              </w:rPr>
            </w:pPr>
          </w:p>
        </w:tc>
        <w:tc>
          <w:tcPr>
            <w:tcW w:w="850"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993"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2015"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64" w:type="dxa"/>
            <w:vMerge w:val="continue"/>
            <w:noWrap w:val="0"/>
            <w:vAlign w:val="top"/>
          </w:tcPr>
          <w:p>
            <w:pPr>
              <w:spacing w:line="360" w:lineRule="auto"/>
              <w:jc w:val="left"/>
              <w:rPr>
                <w:rFonts w:hint="eastAsia"/>
                <w:color w:val="000000"/>
                <w:kern w:val="0"/>
                <w:szCs w:val="21"/>
              </w:rPr>
            </w:pPr>
          </w:p>
        </w:tc>
        <w:tc>
          <w:tcPr>
            <w:tcW w:w="2806" w:type="dxa"/>
            <w:vMerge w:val="continue"/>
            <w:noWrap w:val="0"/>
            <w:vAlign w:val="top"/>
          </w:tcPr>
          <w:p>
            <w:pPr>
              <w:spacing w:line="360" w:lineRule="auto"/>
              <w:jc w:val="left"/>
              <w:rPr>
                <w:rFonts w:hint="eastAsia"/>
                <w:color w:val="000000"/>
                <w:kern w:val="0"/>
                <w:szCs w:val="21"/>
              </w:rPr>
            </w:pP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993"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2015"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64" w:type="dxa"/>
            <w:vMerge w:val="restart"/>
            <w:noWrap w:val="0"/>
            <w:vAlign w:val="top"/>
          </w:tcPr>
          <w:p>
            <w:pPr>
              <w:spacing w:line="360" w:lineRule="auto"/>
              <w:jc w:val="left"/>
              <w:rPr>
                <w:rFonts w:hint="eastAsia"/>
                <w:color w:val="000000"/>
                <w:kern w:val="0"/>
                <w:szCs w:val="21"/>
              </w:rPr>
            </w:pPr>
            <w:r>
              <w:rPr>
                <w:rFonts w:hint="eastAsia"/>
                <w:color w:val="000000"/>
                <w:kern w:val="0"/>
                <w:szCs w:val="21"/>
              </w:rPr>
              <w:t>3</w:t>
            </w:r>
          </w:p>
        </w:tc>
        <w:tc>
          <w:tcPr>
            <w:tcW w:w="2806" w:type="dxa"/>
            <w:vMerge w:val="restart"/>
            <w:noWrap w:val="0"/>
            <w:vAlign w:val="top"/>
          </w:tcPr>
          <w:p>
            <w:pPr>
              <w:spacing w:line="360" w:lineRule="auto"/>
              <w:jc w:val="left"/>
              <w:rPr>
                <w:rFonts w:hint="eastAsia"/>
                <w:color w:val="000000"/>
                <w:kern w:val="0"/>
                <w:szCs w:val="21"/>
              </w:rPr>
            </w:pPr>
            <w:r>
              <w:rPr>
                <w:rFonts w:hint="eastAsia"/>
                <w:color w:val="000000"/>
              </w:rPr>
              <w:t>劳动力安排计划</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993"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2015"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64" w:type="dxa"/>
            <w:vMerge w:val="continue"/>
            <w:noWrap w:val="0"/>
            <w:vAlign w:val="top"/>
          </w:tcPr>
          <w:p>
            <w:pPr>
              <w:spacing w:line="360" w:lineRule="auto"/>
              <w:jc w:val="left"/>
              <w:rPr>
                <w:rFonts w:hint="eastAsia"/>
                <w:color w:val="000000"/>
                <w:kern w:val="0"/>
                <w:szCs w:val="21"/>
              </w:rPr>
            </w:pPr>
          </w:p>
        </w:tc>
        <w:tc>
          <w:tcPr>
            <w:tcW w:w="2806" w:type="dxa"/>
            <w:vMerge w:val="continue"/>
            <w:noWrap w:val="0"/>
            <w:vAlign w:val="top"/>
          </w:tcPr>
          <w:p>
            <w:pPr>
              <w:spacing w:line="360" w:lineRule="auto"/>
              <w:jc w:val="left"/>
              <w:rPr>
                <w:rFonts w:hint="eastAsia"/>
                <w:color w:val="000000"/>
                <w:kern w:val="0"/>
                <w:szCs w:val="21"/>
              </w:rPr>
            </w:pP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993"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2015"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64" w:type="dxa"/>
            <w:vMerge w:val="restart"/>
            <w:noWrap w:val="0"/>
            <w:vAlign w:val="top"/>
          </w:tcPr>
          <w:p>
            <w:pPr>
              <w:spacing w:line="360" w:lineRule="auto"/>
              <w:jc w:val="left"/>
              <w:rPr>
                <w:rFonts w:hint="eastAsia"/>
                <w:color w:val="000000"/>
                <w:kern w:val="0"/>
                <w:szCs w:val="21"/>
              </w:rPr>
            </w:pPr>
            <w:r>
              <w:rPr>
                <w:rFonts w:hint="eastAsia"/>
                <w:color w:val="000000"/>
                <w:kern w:val="0"/>
                <w:szCs w:val="21"/>
              </w:rPr>
              <w:t>4</w:t>
            </w:r>
          </w:p>
        </w:tc>
        <w:tc>
          <w:tcPr>
            <w:tcW w:w="2806" w:type="dxa"/>
            <w:vMerge w:val="restart"/>
            <w:noWrap w:val="0"/>
            <w:vAlign w:val="top"/>
          </w:tcPr>
          <w:p>
            <w:pPr>
              <w:spacing w:line="360" w:lineRule="auto"/>
              <w:jc w:val="left"/>
              <w:rPr>
                <w:rFonts w:hint="eastAsia"/>
                <w:color w:val="000000"/>
                <w:kern w:val="0"/>
                <w:szCs w:val="21"/>
              </w:rPr>
            </w:pPr>
            <w:r>
              <w:rPr>
                <w:rFonts w:ascii="宋体" w:hAnsi="宋体"/>
                <w:color w:val="000000"/>
                <w:sz w:val="18"/>
                <w:szCs w:val="18"/>
              </w:rPr>
              <w:t>确保工程质量的技术组织措施</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993"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2015"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64" w:type="dxa"/>
            <w:vMerge w:val="continue"/>
            <w:noWrap w:val="0"/>
            <w:vAlign w:val="top"/>
          </w:tcPr>
          <w:p>
            <w:pPr>
              <w:spacing w:line="360" w:lineRule="auto"/>
              <w:jc w:val="left"/>
              <w:rPr>
                <w:rFonts w:hint="eastAsia"/>
                <w:color w:val="000000"/>
                <w:kern w:val="0"/>
                <w:szCs w:val="21"/>
              </w:rPr>
            </w:pPr>
          </w:p>
        </w:tc>
        <w:tc>
          <w:tcPr>
            <w:tcW w:w="2806" w:type="dxa"/>
            <w:vMerge w:val="continue"/>
            <w:noWrap w:val="0"/>
            <w:vAlign w:val="center"/>
          </w:tcPr>
          <w:p>
            <w:pPr>
              <w:spacing w:line="360" w:lineRule="auto"/>
              <w:jc w:val="left"/>
              <w:rPr>
                <w:rFonts w:hint="eastAsia"/>
                <w:color w:val="000000"/>
                <w:kern w:val="0"/>
                <w:szCs w:val="21"/>
              </w:rPr>
            </w:pP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993"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2015"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64" w:type="dxa"/>
            <w:vMerge w:val="restart"/>
            <w:noWrap w:val="0"/>
            <w:vAlign w:val="top"/>
          </w:tcPr>
          <w:p>
            <w:pPr>
              <w:spacing w:line="360" w:lineRule="auto"/>
              <w:jc w:val="left"/>
              <w:rPr>
                <w:rFonts w:hint="eastAsia"/>
                <w:color w:val="000000"/>
                <w:kern w:val="0"/>
                <w:szCs w:val="21"/>
              </w:rPr>
            </w:pPr>
            <w:r>
              <w:rPr>
                <w:rFonts w:hint="eastAsia"/>
                <w:color w:val="000000"/>
                <w:kern w:val="0"/>
                <w:szCs w:val="21"/>
              </w:rPr>
              <w:t>5</w:t>
            </w:r>
          </w:p>
        </w:tc>
        <w:tc>
          <w:tcPr>
            <w:tcW w:w="2806" w:type="dxa"/>
            <w:vMerge w:val="restart"/>
            <w:noWrap w:val="0"/>
            <w:vAlign w:val="top"/>
          </w:tcPr>
          <w:p>
            <w:pPr>
              <w:spacing w:line="360" w:lineRule="auto"/>
              <w:jc w:val="left"/>
              <w:rPr>
                <w:rFonts w:hint="eastAsia"/>
                <w:color w:val="000000"/>
                <w:kern w:val="0"/>
                <w:szCs w:val="21"/>
              </w:rPr>
            </w:pPr>
            <w:r>
              <w:rPr>
                <w:rFonts w:ascii="宋体" w:hAnsi="宋体"/>
                <w:color w:val="000000"/>
                <w:sz w:val="18"/>
                <w:szCs w:val="18"/>
              </w:rPr>
              <w:t>确保安全生产的技术组织措施</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993"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2015"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64" w:type="dxa"/>
            <w:vMerge w:val="continue"/>
            <w:noWrap w:val="0"/>
            <w:vAlign w:val="top"/>
          </w:tcPr>
          <w:p>
            <w:pPr>
              <w:spacing w:line="360" w:lineRule="auto"/>
              <w:jc w:val="left"/>
              <w:rPr>
                <w:rFonts w:hint="eastAsia"/>
                <w:color w:val="000000"/>
                <w:kern w:val="0"/>
                <w:szCs w:val="21"/>
              </w:rPr>
            </w:pPr>
          </w:p>
        </w:tc>
        <w:tc>
          <w:tcPr>
            <w:tcW w:w="2806" w:type="dxa"/>
            <w:vMerge w:val="continue"/>
            <w:noWrap w:val="0"/>
            <w:vAlign w:val="top"/>
          </w:tcPr>
          <w:p>
            <w:pPr>
              <w:spacing w:line="360" w:lineRule="auto"/>
              <w:jc w:val="left"/>
              <w:rPr>
                <w:rFonts w:hint="eastAsia"/>
                <w:color w:val="000000"/>
                <w:kern w:val="0"/>
                <w:szCs w:val="21"/>
              </w:rPr>
            </w:pP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993"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2015"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1164" w:type="dxa"/>
            <w:vMerge w:val="restart"/>
            <w:noWrap w:val="0"/>
            <w:vAlign w:val="top"/>
          </w:tcPr>
          <w:p>
            <w:pPr>
              <w:spacing w:line="360" w:lineRule="auto"/>
              <w:jc w:val="left"/>
              <w:rPr>
                <w:rFonts w:hint="eastAsia"/>
                <w:color w:val="000000"/>
                <w:kern w:val="0"/>
                <w:szCs w:val="21"/>
              </w:rPr>
            </w:pPr>
            <w:r>
              <w:rPr>
                <w:rFonts w:hint="eastAsia"/>
                <w:color w:val="000000"/>
                <w:kern w:val="0"/>
                <w:szCs w:val="21"/>
              </w:rPr>
              <w:t>6</w:t>
            </w:r>
          </w:p>
        </w:tc>
        <w:tc>
          <w:tcPr>
            <w:tcW w:w="2806" w:type="dxa"/>
            <w:vMerge w:val="restart"/>
            <w:noWrap w:val="0"/>
            <w:vAlign w:val="top"/>
          </w:tcPr>
          <w:p>
            <w:pPr>
              <w:spacing w:line="360" w:lineRule="auto"/>
              <w:jc w:val="left"/>
              <w:rPr>
                <w:rFonts w:hint="eastAsia"/>
                <w:color w:val="000000"/>
                <w:kern w:val="0"/>
                <w:szCs w:val="21"/>
              </w:rPr>
            </w:pPr>
            <w:r>
              <w:rPr>
                <w:rFonts w:hint="eastAsia"/>
                <w:color w:val="000000"/>
              </w:rPr>
              <w:t>确保工期的技术组织措施</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993"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2015"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8" w:hRule="atLeast"/>
          <w:jc w:val="center"/>
        </w:trPr>
        <w:tc>
          <w:tcPr>
            <w:tcW w:w="1164" w:type="dxa"/>
            <w:vMerge w:val="continue"/>
            <w:noWrap w:val="0"/>
            <w:vAlign w:val="top"/>
          </w:tcPr>
          <w:p>
            <w:pPr>
              <w:spacing w:line="360" w:lineRule="auto"/>
              <w:jc w:val="left"/>
              <w:rPr>
                <w:rFonts w:hint="eastAsia"/>
                <w:color w:val="000000"/>
                <w:kern w:val="0"/>
                <w:szCs w:val="21"/>
              </w:rPr>
            </w:pPr>
          </w:p>
        </w:tc>
        <w:tc>
          <w:tcPr>
            <w:tcW w:w="2806" w:type="dxa"/>
            <w:vMerge w:val="continue"/>
            <w:noWrap w:val="0"/>
            <w:vAlign w:val="top"/>
          </w:tcPr>
          <w:p>
            <w:pPr>
              <w:spacing w:line="360" w:lineRule="auto"/>
              <w:jc w:val="left"/>
              <w:rPr>
                <w:rFonts w:hint="eastAsia"/>
                <w:color w:val="000000"/>
                <w:kern w:val="0"/>
                <w:szCs w:val="21"/>
              </w:rPr>
            </w:pP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993"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2015"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64" w:type="dxa"/>
            <w:vMerge w:val="restart"/>
            <w:noWrap w:val="0"/>
            <w:vAlign w:val="top"/>
          </w:tcPr>
          <w:p>
            <w:pPr>
              <w:spacing w:line="360" w:lineRule="auto"/>
              <w:jc w:val="left"/>
              <w:rPr>
                <w:rFonts w:hint="eastAsia"/>
                <w:color w:val="000000"/>
                <w:kern w:val="0"/>
                <w:szCs w:val="21"/>
              </w:rPr>
            </w:pPr>
            <w:r>
              <w:rPr>
                <w:rFonts w:hint="eastAsia"/>
                <w:color w:val="000000"/>
                <w:kern w:val="0"/>
                <w:szCs w:val="21"/>
              </w:rPr>
              <w:t>7</w:t>
            </w:r>
          </w:p>
        </w:tc>
        <w:tc>
          <w:tcPr>
            <w:tcW w:w="2806" w:type="dxa"/>
            <w:vMerge w:val="restart"/>
            <w:noWrap w:val="0"/>
            <w:vAlign w:val="top"/>
          </w:tcPr>
          <w:p>
            <w:pPr>
              <w:spacing w:line="360" w:lineRule="auto"/>
              <w:jc w:val="left"/>
              <w:rPr>
                <w:rFonts w:hint="eastAsia"/>
                <w:color w:val="000000"/>
                <w:kern w:val="0"/>
                <w:szCs w:val="21"/>
              </w:rPr>
            </w:pPr>
            <w:r>
              <w:rPr>
                <w:rFonts w:hint="eastAsia"/>
                <w:color w:val="000000"/>
              </w:rPr>
              <w:t>确保文明施工的技术组织措施</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993"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2015"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64" w:type="dxa"/>
            <w:vMerge w:val="continue"/>
            <w:noWrap w:val="0"/>
            <w:vAlign w:val="top"/>
          </w:tcPr>
          <w:p>
            <w:pPr>
              <w:spacing w:line="360" w:lineRule="auto"/>
              <w:jc w:val="left"/>
              <w:rPr>
                <w:rFonts w:hint="eastAsia"/>
                <w:color w:val="000000"/>
                <w:kern w:val="0"/>
                <w:szCs w:val="21"/>
              </w:rPr>
            </w:pPr>
          </w:p>
        </w:tc>
        <w:tc>
          <w:tcPr>
            <w:tcW w:w="2806" w:type="dxa"/>
            <w:vMerge w:val="continue"/>
            <w:noWrap w:val="0"/>
            <w:vAlign w:val="top"/>
          </w:tcPr>
          <w:p>
            <w:pPr>
              <w:spacing w:line="360" w:lineRule="auto"/>
              <w:jc w:val="left"/>
              <w:rPr>
                <w:rFonts w:hint="eastAsia"/>
                <w:color w:val="000000"/>
                <w:kern w:val="0"/>
                <w:szCs w:val="21"/>
              </w:rPr>
            </w:pP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993"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2015"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64" w:type="dxa"/>
            <w:vMerge w:val="restart"/>
            <w:noWrap w:val="0"/>
            <w:vAlign w:val="top"/>
          </w:tcPr>
          <w:p>
            <w:pPr>
              <w:spacing w:line="360" w:lineRule="auto"/>
              <w:jc w:val="left"/>
              <w:rPr>
                <w:rFonts w:hint="eastAsia"/>
                <w:color w:val="000000"/>
                <w:kern w:val="0"/>
                <w:szCs w:val="21"/>
              </w:rPr>
            </w:pPr>
            <w:r>
              <w:rPr>
                <w:rFonts w:hint="eastAsia"/>
                <w:color w:val="000000"/>
                <w:kern w:val="0"/>
                <w:szCs w:val="21"/>
              </w:rPr>
              <w:t>8</w:t>
            </w:r>
          </w:p>
        </w:tc>
        <w:tc>
          <w:tcPr>
            <w:tcW w:w="2806" w:type="dxa"/>
            <w:vMerge w:val="restart"/>
            <w:noWrap w:val="0"/>
            <w:vAlign w:val="top"/>
          </w:tcPr>
          <w:p>
            <w:pPr>
              <w:spacing w:line="360" w:lineRule="auto"/>
              <w:jc w:val="left"/>
              <w:rPr>
                <w:rFonts w:hint="eastAsia"/>
                <w:color w:val="000000"/>
                <w:kern w:val="0"/>
                <w:szCs w:val="21"/>
              </w:rPr>
            </w:pPr>
            <w:r>
              <w:rPr>
                <w:rFonts w:hint="eastAsia"/>
                <w:color w:val="000000"/>
              </w:rPr>
              <w:t>工程施工的重点和难点及保证措施</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993"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2015"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64" w:type="dxa"/>
            <w:vMerge w:val="continue"/>
            <w:noWrap w:val="0"/>
            <w:vAlign w:val="top"/>
          </w:tcPr>
          <w:p>
            <w:pPr>
              <w:spacing w:line="360" w:lineRule="auto"/>
              <w:jc w:val="left"/>
              <w:rPr>
                <w:rFonts w:hint="eastAsia"/>
                <w:color w:val="000000"/>
                <w:kern w:val="0"/>
                <w:szCs w:val="21"/>
              </w:rPr>
            </w:pPr>
          </w:p>
        </w:tc>
        <w:tc>
          <w:tcPr>
            <w:tcW w:w="2806" w:type="dxa"/>
            <w:vMerge w:val="continue"/>
            <w:noWrap w:val="0"/>
            <w:vAlign w:val="top"/>
          </w:tcPr>
          <w:p>
            <w:pPr>
              <w:spacing w:line="360" w:lineRule="auto"/>
              <w:jc w:val="left"/>
              <w:rPr>
                <w:rFonts w:hint="eastAsia"/>
                <w:color w:val="000000"/>
                <w:kern w:val="0"/>
                <w:szCs w:val="21"/>
              </w:rPr>
            </w:pP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993"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2015"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22" w:hRule="atLeast"/>
          <w:jc w:val="center"/>
        </w:trPr>
        <w:tc>
          <w:tcPr>
            <w:tcW w:w="1164" w:type="dxa"/>
            <w:vMerge w:val="restart"/>
            <w:noWrap w:val="0"/>
            <w:vAlign w:val="top"/>
          </w:tcPr>
          <w:p>
            <w:pPr>
              <w:spacing w:line="360" w:lineRule="auto"/>
              <w:jc w:val="left"/>
              <w:rPr>
                <w:rFonts w:hint="eastAsia" w:hAnsi="宋体"/>
                <w:color w:val="000000"/>
                <w:szCs w:val="21"/>
              </w:rPr>
            </w:pPr>
            <w:r>
              <w:rPr>
                <w:rFonts w:hint="eastAsia" w:hAnsi="宋体"/>
                <w:color w:val="000000"/>
                <w:szCs w:val="21"/>
              </w:rPr>
              <w:t>9</w:t>
            </w:r>
          </w:p>
        </w:tc>
        <w:tc>
          <w:tcPr>
            <w:tcW w:w="2806" w:type="dxa"/>
            <w:vMerge w:val="restart"/>
            <w:noWrap w:val="0"/>
            <w:vAlign w:val="top"/>
          </w:tcPr>
          <w:p>
            <w:pPr>
              <w:spacing w:line="360" w:lineRule="auto"/>
              <w:jc w:val="left"/>
              <w:rPr>
                <w:rFonts w:hint="eastAsia"/>
                <w:color w:val="000000"/>
                <w:kern w:val="0"/>
                <w:szCs w:val="21"/>
              </w:rPr>
            </w:pPr>
            <w:r>
              <w:rPr>
                <w:rFonts w:hint="eastAsia"/>
                <w:color w:val="000000"/>
              </w:rPr>
              <w:t>施工总平面布置图</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993"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2015"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64" w:type="dxa"/>
            <w:vMerge w:val="continue"/>
            <w:noWrap w:val="0"/>
            <w:vAlign w:val="top"/>
          </w:tcPr>
          <w:p>
            <w:pPr>
              <w:spacing w:line="360" w:lineRule="auto"/>
              <w:jc w:val="left"/>
              <w:rPr>
                <w:rFonts w:hint="eastAsia" w:hAnsi="宋体"/>
                <w:color w:val="000000"/>
                <w:szCs w:val="21"/>
              </w:rPr>
            </w:pPr>
          </w:p>
        </w:tc>
        <w:tc>
          <w:tcPr>
            <w:tcW w:w="2806" w:type="dxa"/>
            <w:vMerge w:val="continue"/>
            <w:noWrap w:val="0"/>
            <w:vAlign w:val="center"/>
          </w:tcPr>
          <w:p>
            <w:pPr>
              <w:spacing w:line="360" w:lineRule="auto"/>
              <w:jc w:val="left"/>
              <w:rPr>
                <w:rFonts w:hint="eastAsia" w:hAnsi="宋体"/>
                <w:color w:val="000000"/>
                <w:szCs w:val="21"/>
              </w:rPr>
            </w:pP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993"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2015"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3" w:hRule="atLeast"/>
          <w:jc w:val="center"/>
        </w:trPr>
        <w:tc>
          <w:tcPr>
            <w:tcW w:w="1164" w:type="dxa"/>
            <w:vMerge w:val="restart"/>
            <w:noWrap w:val="0"/>
            <w:vAlign w:val="top"/>
          </w:tcPr>
          <w:p>
            <w:pPr>
              <w:spacing w:line="360" w:lineRule="auto"/>
              <w:jc w:val="left"/>
              <w:rPr>
                <w:color w:val="000000"/>
                <w:kern w:val="0"/>
                <w:szCs w:val="21"/>
              </w:rPr>
            </w:pPr>
            <w:r>
              <w:rPr>
                <w:rFonts w:hint="eastAsia"/>
                <w:color w:val="000000"/>
                <w:kern w:val="0"/>
                <w:szCs w:val="21"/>
              </w:rPr>
              <w:t>10</w:t>
            </w:r>
          </w:p>
        </w:tc>
        <w:tc>
          <w:tcPr>
            <w:tcW w:w="2806" w:type="dxa"/>
            <w:vMerge w:val="restart"/>
            <w:noWrap w:val="0"/>
            <w:vAlign w:val="center"/>
          </w:tcPr>
          <w:p>
            <w:pPr>
              <w:spacing w:line="360" w:lineRule="auto"/>
              <w:jc w:val="left"/>
              <w:rPr>
                <w:rFonts w:hint="eastAsia"/>
                <w:color w:val="000000"/>
                <w:kern w:val="0"/>
                <w:szCs w:val="21"/>
              </w:rPr>
            </w:pPr>
            <w:r>
              <w:rPr>
                <w:rFonts w:hint="eastAsia" w:ascii="宋体" w:hAnsi="宋体"/>
                <w:color w:val="000000"/>
                <w:sz w:val="18"/>
                <w:szCs w:val="18"/>
              </w:rPr>
              <w:t>装配式技术应用分析</w:t>
            </w:r>
          </w:p>
        </w:tc>
        <w:tc>
          <w:tcPr>
            <w:tcW w:w="850" w:type="dxa"/>
            <w:noWrap w:val="0"/>
            <w:vAlign w:val="center"/>
          </w:tcPr>
          <w:p>
            <w:pPr>
              <w:spacing w:line="360" w:lineRule="auto"/>
              <w:jc w:val="center"/>
              <w:rPr>
                <w:color w:val="000000"/>
              </w:rPr>
            </w:pPr>
            <w:r>
              <w:rPr>
                <w:rFonts w:hint="eastAsia"/>
                <w:color w:val="000000"/>
              </w:rPr>
              <w:t>分值</w:t>
            </w:r>
          </w:p>
        </w:tc>
        <w:tc>
          <w:tcPr>
            <w:tcW w:w="851" w:type="dxa"/>
            <w:noWrap w:val="0"/>
            <w:vAlign w:val="center"/>
          </w:tcPr>
          <w:p>
            <w:pPr>
              <w:spacing w:line="360" w:lineRule="auto"/>
              <w:jc w:val="center"/>
              <w:rPr>
                <w:color w:val="000000"/>
              </w:rPr>
            </w:pPr>
            <w:r>
              <w:rPr>
                <w:rFonts w:hint="eastAsia"/>
                <w:color w:val="000000"/>
              </w:rPr>
              <w:t>分值</w:t>
            </w:r>
          </w:p>
        </w:tc>
        <w:tc>
          <w:tcPr>
            <w:tcW w:w="850" w:type="dxa"/>
            <w:noWrap w:val="0"/>
            <w:vAlign w:val="center"/>
          </w:tcPr>
          <w:p>
            <w:pPr>
              <w:spacing w:line="360" w:lineRule="auto"/>
              <w:jc w:val="center"/>
              <w:rPr>
                <w:color w:val="000000"/>
              </w:rPr>
            </w:pPr>
            <w:r>
              <w:rPr>
                <w:rFonts w:hint="eastAsia"/>
                <w:color w:val="000000"/>
              </w:rPr>
              <w:t>分值</w:t>
            </w:r>
          </w:p>
        </w:tc>
        <w:tc>
          <w:tcPr>
            <w:tcW w:w="993" w:type="dxa"/>
            <w:noWrap w:val="0"/>
            <w:vAlign w:val="center"/>
          </w:tcPr>
          <w:p>
            <w:pPr>
              <w:spacing w:line="360" w:lineRule="auto"/>
              <w:jc w:val="center"/>
              <w:rPr>
                <w:color w:val="000000"/>
              </w:rPr>
            </w:pPr>
            <w:r>
              <w:rPr>
                <w:rFonts w:hint="eastAsia"/>
                <w:color w:val="000000"/>
              </w:rPr>
              <w:t>分值</w:t>
            </w:r>
          </w:p>
        </w:tc>
        <w:tc>
          <w:tcPr>
            <w:tcW w:w="850" w:type="dxa"/>
            <w:noWrap w:val="0"/>
            <w:vAlign w:val="center"/>
          </w:tcPr>
          <w:p>
            <w:pPr>
              <w:spacing w:line="360" w:lineRule="auto"/>
              <w:jc w:val="center"/>
              <w:rPr>
                <w:color w:val="000000"/>
              </w:rPr>
            </w:pPr>
            <w:r>
              <w:rPr>
                <w:rFonts w:hint="eastAsia"/>
                <w:color w:val="000000"/>
              </w:rPr>
              <w:t>分值</w:t>
            </w:r>
          </w:p>
        </w:tc>
        <w:tc>
          <w:tcPr>
            <w:tcW w:w="2015"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3" w:hRule="atLeast"/>
          <w:jc w:val="center"/>
        </w:trPr>
        <w:tc>
          <w:tcPr>
            <w:tcW w:w="1164" w:type="dxa"/>
            <w:vMerge w:val="continue"/>
            <w:noWrap w:val="0"/>
            <w:vAlign w:val="top"/>
          </w:tcPr>
          <w:p>
            <w:pPr>
              <w:spacing w:line="360" w:lineRule="auto"/>
              <w:jc w:val="left"/>
              <w:rPr>
                <w:rFonts w:hint="eastAsia"/>
                <w:color w:val="000000"/>
                <w:kern w:val="0"/>
                <w:szCs w:val="21"/>
              </w:rPr>
            </w:pPr>
          </w:p>
        </w:tc>
        <w:tc>
          <w:tcPr>
            <w:tcW w:w="2806" w:type="dxa"/>
            <w:vMerge w:val="continue"/>
            <w:noWrap w:val="0"/>
            <w:vAlign w:val="center"/>
          </w:tcPr>
          <w:p>
            <w:pPr>
              <w:spacing w:line="360" w:lineRule="auto"/>
              <w:jc w:val="left"/>
              <w:rPr>
                <w:rFonts w:hint="eastAsia" w:ascii="宋体" w:hAnsi="宋体"/>
                <w:color w:val="000000"/>
                <w:sz w:val="18"/>
                <w:szCs w:val="18"/>
              </w:rPr>
            </w:pPr>
          </w:p>
        </w:tc>
        <w:tc>
          <w:tcPr>
            <w:tcW w:w="850" w:type="dxa"/>
            <w:noWrap w:val="0"/>
            <w:vAlign w:val="center"/>
          </w:tcPr>
          <w:p>
            <w:pPr>
              <w:spacing w:line="360" w:lineRule="auto"/>
              <w:jc w:val="center"/>
              <w:rPr>
                <w:color w:val="000000"/>
              </w:rPr>
            </w:pPr>
            <w:r>
              <w:rPr>
                <w:rFonts w:hint="eastAsia"/>
                <w:color w:val="000000"/>
              </w:rPr>
              <w:t>偏差率%</w:t>
            </w:r>
          </w:p>
        </w:tc>
        <w:tc>
          <w:tcPr>
            <w:tcW w:w="851" w:type="dxa"/>
            <w:noWrap w:val="0"/>
            <w:vAlign w:val="center"/>
          </w:tcPr>
          <w:p>
            <w:pPr>
              <w:spacing w:line="360" w:lineRule="auto"/>
              <w:jc w:val="center"/>
              <w:rPr>
                <w:color w:val="000000"/>
              </w:rPr>
            </w:pPr>
            <w:r>
              <w:rPr>
                <w:rFonts w:hint="eastAsia"/>
                <w:color w:val="000000"/>
              </w:rPr>
              <w:t>偏差率%</w:t>
            </w:r>
          </w:p>
        </w:tc>
        <w:tc>
          <w:tcPr>
            <w:tcW w:w="850" w:type="dxa"/>
            <w:noWrap w:val="0"/>
            <w:vAlign w:val="center"/>
          </w:tcPr>
          <w:p>
            <w:pPr>
              <w:spacing w:line="360" w:lineRule="auto"/>
              <w:jc w:val="center"/>
              <w:rPr>
                <w:color w:val="000000"/>
              </w:rPr>
            </w:pPr>
            <w:r>
              <w:rPr>
                <w:rFonts w:hint="eastAsia"/>
                <w:color w:val="000000"/>
              </w:rPr>
              <w:t>偏差率%</w:t>
            </w:r>
          </w:p>
        </w:tc>
        <w:tc>
          <w:tcPr>
            <w:tcW w:w="993" w:type="dxa"/>
            <w:noWrap w:val="0"/>
            <w:vAlign w:val="center"/>
          </w:tcPr>
          <w:p>
            <w:pPr>
              <w:spacing w:line="360" w:lineRule="auto"/>
              <w:jc w:val="center"/>
              <w:rPr>
                <w:color w:val="000000"/>
              </w:rPr>
            </w:pPr>
            <w:r>
              <w:rPr>
                <w:rFonts w:hint="eastAsia"/>
                <w:color w:val="000000"/>
              </w:rPr>
              <w:t>偏差率%</w:t>
            </w:r>
          </w:p>
        </w:tc>
        <w:tc>
          <w:tcPr>
            <w:tcW w:w="850" w:type="dxa"/>
            <w:noWrap w:val="0"/>
            <w:vAlign w:val="center"/>
          </w:tcPr>
          <w:p>
            <w:pPr>
              <w:spacing w:line="360" w:lineRule="auto"/>
              <w:jc w:val="center"/>
              <w:rPr>
                <w:color w:val="000000"/>
              </w:rPr>
            </w:pPr>
            <w:r>
              <w:rPr>
                <w:rFonts w:hint="eastAsia"/>
                <w:color w:val="000000"/>
              </w:rPr>
              <w:t>偏差率%</w:t>
            </w:r>
          </w:p>
        </w:tc>
        <w:tc>
          <w:tcPr>
            <w:tcW w:w="2015"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3" w:hRule="atLeast"/>
          <w:jc w:val="center"/>
        </w:trPr>
        <w:tc>
          <w:tcPr>
            <w:tcW w:w="1164" w:type="dxa"/>
            <w:vMerge w:val="restart"/>
            <w:noWrap w:val="0"/>
            <w:vAlign w:val="top"/>
          </w:tcPr>
          <w:p>
            <w:pPr>
              <w:spacing w:line="360" w:lineRule="auto"/>
              <w:jc w:val="left"/>
              <w:rPr>
                <w:rFonts w:hint="eastAsia"/>
                <w:color w:val="000000"/>
                <w:kern w:val="0"/>
                <w:szCs w:val="21"/>
              </w:rPr>
            </w:pPr>
            <w:r>
              <w:rPr>
                <w:rFonts w:hint="eastAsia"/>
                <w:color w:val="000000"/>
                <w:kern w:val="0"/>
                <w:szCs w:val="21"/>
              </w:rPr>
              <w:t>11</w:t>
            </w:r>
          </w:p>
        </w:tc>
        <w:tc>
          <w:tcPr>
            <w:tcW w:w="2806" w:type="dxa"/>
            <w:vMerge w:val="restart"/>
            <w:noWrap w:val="0"/>
            <w:vAlign w:val="center"/>
          </w:tcPr>
          <w:p>
            <w:pPr>
              <w:spacing w:line="360" w:lineRule="auto"/>
              <w:jc w:val="left"/>
              <w:rPr>
                <w:rFonts w:hint="eastAsia" w:ascii="宋体" w:hAnsi="宋体"/>
                <w:color w:val="000000"/>
                <w:sz w:val="18"/>
                <w:szCs w:val="18"/>
              </w:rPr>
            </w:pPr>
            <w:r>
              <w:rPr>
                <w:rFonts w:hint="eastAsia" w:ascii="宋体" w:hAnsi="宋体"/>
                <w:color w:val="000000"/>
                <w:sz w:val="18"/>
                <w:szCs w:val="18"/>
              </w:rPr>
              <w:t>BIM技术应用分析（</w:t>
            </w:r>
            <w:r>
              <w:rPr>
                <w:rFonts w:ascii="宋体" w:hAnsi="宋体"/>
                <w:color w:val="000000"/>
                <w:sz w:val="18"/>
                <w:szCs w:val="18"/>
              </w:rPr>
              <w:t>如有）</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993"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2015"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3" w:hRule="atLeast"/>
          <w:jc w:val="center"/>
        </w:trPr>
        <w:tc>
          <w:tcPr>
            <w:tcW w:w="1164" w:type="dxa"/>
            <w:vMerge w:val="continue"/>
            <w:noWrap w:val="0"/>
            <w:vAlign w:val="top"/>
          </w:tcPr>
          <w:p>
            <w:pPr>
              <w:spacing w:line="360" w:lineRule="auto"/>
              <w:jc w:val="left"/>
              <w:rPr>
                <w:rFonts w:hint="eastAsia"/>
                <w:color w:val="000000"/>
                <w:kern w:val="0"/>
                <w:szCs w:val="21"/>
              </w:rPr>
            </w:pPr>
          </w:p>
        </w:tc>
        <w:tc>
          <w:tcPr>
            <w:tcW w:w="2806" w:type="dxa"/>
            <w:vMerge w:val="continue"/>
            <w:noWrap w:val="0"/>
            <w:vAlign w:val="center"/>
          </w:tcPr>
          <w:p>
            <w:pPr>
              <w:spacing w:line="360" w:lineRule="auto"/>
              <w:jc w:val="left"/>
              <w:rPr>
                <w:rFonts w:hint="eastAsia" w:ascii="宋体" w:hAnsi="宋体"/>
                <w:color w:val="000000"/>
                <w:sz w:val="18"/>
                <w:szCs w:val="18"/>
              </w:rPr>
            </w:pP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993"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2015"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3" w:hRule="atLeast"/>
          <w:jc w:val="center"/>
        </w:trPr>
        <w:tc>
          <w:tcPr>
            <w:tcW w:w="3970" w:type="dxa"/>
            <w:gridSpan w:val="2"/>
            <w:noWrap w:val="0"/>
            <w:vAlign w:val="top"/>
          </w:tcPr>
          <w:p>
            <w:pPr>
              <w:jc w:val="center"/>
              <w:rPr>
                <w:rFonts w:hint="eastAsia" w:ascii="宋体" w:hAnsi="宋体"/>
                <w:color w:val="000000"/>
                <w:sz w:val="18"/>
                <w:szCs w:val="18"/>
              </w:rPr>
            </w:pPr>
            <w:r>
              <w:rPr>
                <w:rFonts w:hint="eastAsia" w:cs="宋体"/>
                <w:color w:val="000000"/>
                <w:szCs w:val="21"/>
                <w:lang w:bidi="ar"/>
              </w:rPr>
              <w:t>投标人施工组织设计</w:t>
            </w:r>
            <w:r>
              <w:rPr>
                <w:rFonts w:hint="eastAsia"/>
                <w:color w:val="000000"/>
              </w:rPr>
              <w:t>总评分</w:t>
            </w:r>
            <w:r>
              <w:rPr>
                <w:color w:val="000000"/>
              </w:rPr>
              <w:t>结果</w:t>
            </w:r>
          </w:p>
        </w:tc>
        <w:tc>
          <w:tcPr>
            <w:tcW w:w="2551" w:type="dxa"/>
            <w:gridSpan w:val="3"/>
            <w:noWrap w:val="0"/>
            <w:vAlign w:val="center"/>
          </w:tcPr>
          <w:p>
            <w:pPr>
              <w:spacing w:line="360" w:lineRule="auto"/>
              <w:jc w:val="center"/>
              <w:rPr>
                <w:rFonts w:hint="eastAsia"/>
                <w:color w:val="000000"/>
              </w:rPr>
            </w:pPr>
          </w:p>
        </w:tc>
        <w:tc>
          <w:tcPr>
            <w:tcW w:w="1843" w:type="dxa"/>
            <w:gridSpan w:val="2"/>
            <w:noWrap w:val="0"/>
            <w:vAlign w:val="center"/>
          </w:tcPr>
          <w:p>
            <w:pPr>
              <w:spacing w:line="360" w:lineRule="auto"/>
              <w:jc w:val="center"/>
              <w:rPr>
                <w:rFonts w:hint="eastAsia"/>
                <w:color w:val="000000"/>
              </w:rPr>
            </w:pPr>
            <w:r>
              <w:rPr>
                <w:rFonts w:hint="eastAsia"/>
                <w:color w:val="000000"/>
              </w:rPr>
              <w:t>是否通过评审</w:t>
            </w:r>
          </w:p>
        </w:tc>
        <w:tc>
          <w:tcPr>
            <w:tcW w:w="5245" w:type="dxa"/>
            <w:gridSpan w:val="4"/>
            <w:noWrap w:val="0"/>
            <w:vAlign w:val="center"/>
          </w:tcPr>
          <w:p>
            <w:pPr>
              <w:spacing w:line="360" w:lineRule="auto"/>
              <w:jc w:val="center"/>
              <w:rPr>
                <w:color w:val="000000"/>
              </w:rPr>
            </w:pPr>
          </w:p>
        </w:tc>
      </w:tr>
    </w:tbl>
    <w:p>
      <w:pPr>
        <w:rPr>
          <w:rFonts w:hint="eastAsia" w:eastAsia="楷体_GB2312"/>
          <w:color w:val="000000"/>
          <w:szCs w:val="21"/>
        </w:rPr>
      </w:pPr>
    </w:p>
    <w:p>
      <w:pPr>
        <w:spacing w:after="240" w:afterLines="100"/>
        <w:rPr>
          <w:color w:val="000000"/>
        </w:rPr>
      </w:pPr>
      <w:r>
        <w:rPr>
          <w:rFonts w:hint="eastAsia" w:eastAsia="楷体_GB2312"/>
          <w:color w:val="000000"/>
          <w:szCs w:val="21"/>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p>
    <w:p>
      <w:pPr>
        <w:rPr>
          <w:rFonts w:eastAsia="楷体_GB2312"/>
          <w:color w:val="000000"/>
          <w:szCs w:val="21"/>
        </w:rPr>
      </w:pPr>
    </w:p>
    <w:p>
      <w:pPr>
        <w:spacing w:line="440" w:lineRule="exact"/>
        <w:rPr>
          <w:color w:val="000000"/>
        </w:rPr>
      </w:pPr>
    </w:p>
    <w:p>
      <w:pPr>
        <w:spacing w:line="440" w:lineRule="exact"/>
        <w:rPr>
          <w:color w:val="000000"/>
        </w:rPr>
      </w:pPr>
      <w:r>
        <w:rPr>
          <w:rFonts w:hint="eastAsia"/>
          <w:color w:val="000000"/>
        </w:rPr>
        <w:t>施工组织设计评审</w:t>
      </w:r>
      <w:r>
        <w:rPr>
          <w:color w:val="000000"/>
        </w:rPr>
        <w:t>全体</w:t>
      </w:r>
      <w:r>
        <w:rPr>
          <w:rFonts w:hint="eastAsia"/>
          <w:color w:val="000000"/>
        </w:rPr>
        <w:t>评委</w:t>
      </w:r>
      <w:r>
        <w:rPr>
          <w:color w:val="000000"/>
        </w:rPr>
        <w:t>签名：                                                         日期：        年     月     日</w:t>
      </w:r>
    </w:p>
    <w:p>
      <w:pPr>
        <w:jc w:val="center"/>
        <w:rPr>
          <w:rFonts w:eastAsia="黑体"/>
          <w:color w:val="000000"/>
          <w:sz w:val="28"/>
          <w:szCs w:val="28"/>
        </w:rPr>
      </w:pPr>
    </w:p>
    <w:p>
      <w:pPr>
        <w:spacing w:after="240" w:afterLines="100"/>
        <w:rPr>
          <w:rFonts w:hint="eastAsia"/>
          <w:color w:val="000000"/>
        </w:rPr>
      </w:pPr>
    </w:p>
    <w:p>
      <w:pPr>
        <w:rPr>
          <w:rFonts w:hint="eastAsia"/>
          <w:color w:val="000000"/>
        </w:rPr>
      </w:pPr>
    </w:p>
    <w:p>
      <w:pPr>
        <w:pStyle w:val="4"/>
        <w:spacing w:line="240" w:lineRule="auto"/>
        <w:rPr>
          <w:sz w:val="28"/>
          <w:szCs w:val="28"/>
        </w:rPr>
      </w:pPr>
      <w:bookmarkStart w:id="735" w:name="_Toc59203045"/>
      <w:r>
        <w:rPr>
          <w:sz w:val="28"/>
          <w:szCs w:val="28"/>
        </w:rPr>
        <w:t>附表A-13：</w:t>
      </w:r>
      <w:r>
        <w:rPr>
          <w:rFonts w:hint="eastAsia"/>
          <w:sz w:val="28"/>
          <w:szCs w:val="28"/>
        </w:rPr>
        <w:t>资信业绩</w:t>
      </w:r>
      <w:r>
        <w:rPr>
          <w:sz w:val="28"/>
          <w:szCs w:val="28"/>
        </w:rPr>
        <w:t>评</w:t>
      </w:r>
      <w:r>
        <w:rPr>
          <w:rFonts w:hint="eastAsia"/>
          <w:sz w:val="28"/>
          <w:szCs w:val="28"/>
        </w:rPr>
        <w:t>分</w:t>
      </w:r>
      <w:r>
        <w:rPr>
          <w:sz w:val="28"/>
          <w:szCs w:val="28"/>
        </w:rPr>
        <w:t>记录表</w:t>
      </w:r>
      <w:bookmarkEnd w:id="735"/>
    </w:p>
    <w:p>
      <w:pPr>
        <w:spacing w:after="240" w:afterLines="100"/>
        <w:rPr>
          <w:color w:val="000000"/>
        </w:rPr>
        <w:sectPr>
          <w:type w:val="continuous"/>
          <w:pgSz w:w="16840" w:h="11907" w:orient="landscape"/>
          <w:pgMar w:top="1440" w:right="1440" w:bottom="1440" w:left="1797" w:header="851" w:footer="851" w:gutter="0"/>
          <w:cols w:space="720" w:num="1"/>
          <w:docGrid w:linePitch="312" w:charSpace="0"/>
        </w:sectPr>
      </w:pPr>
    </w:p>
    <w:p>
      <w:pPr>
        <w:jc w:val="center"/>
        <w:rPr>
          <w:b/>
          <w:color w:val="000000"/>
          <w:sz w:val="28"/>
          <w:szCs w:val="28"/>
        </w:rPr>
      </w:pPr>
      <w:bookmarkStart w:id="736" w:name="_Toc419363653"/>
      <w:r>
        <w:rPr>
          <w:rFonts w:hint="eastAsia"/>
          <w:b/>
          <w:color w:val="000000"/>
          <w:sz w:val="28"/>
          <w:szCs w:val="28"/>
        </w:rPr>
        <w:t>资信业绩</w:t>
      </w:r>
      <w:r>
        <w:rPr>
          <w:b/>
          <w:color w:val="000000"/>
          <w:sz w:val="28"/>
          <w:szCs w:val="28"/>
        </w:rPr>
        <w:t>评</w:t>
      </w:r>
      <w:r>
        <w:rPr>
          <w:rFonts w:hint="eastAsia"/>
          <w:b/>
          <w:color w:val="000000"/>
          <w:sz w:val="28"/>
          <w:szCs w:val="28"/>
        </w:rPr>
        <w:t>分</w:t>
      </w:r>
      <w:r>
        <w:rPr>
          <w:b/>
          <w:color w:val="000000"/>
          <w:sz w:val="28"/>
          <w:szCs w:val="28"/>
        </w:rPr>
        <w:t>记录表</w:t>
      </w:r>
      <w:bookmarkEnd w:id="736"/>
    </w:p>
    <w:p>
      <w:pPr>
        <w:spacing w:after="72" w:afterLines="30" w:line="440" w:lineRule="exact"/>
        <w:rPr>
          <w:color w:val="000000"/>
        </w:rPr>
      </w:pPr>
      <w:r>
        <w:rPr>
          <w:color w:val="000000"/>
        </w:rPr>
        <w:t>工程名称</w:t>
      </w:r>
      <w:r>
        <w:rPr>
          <w:rFonts w:hint="eastAsia"/>
          <w:color w:val="000000"/>
        </w:rPr>
        <w:t>及项目招标编号</w:t>
      </w:r>
      <w:r>
        <w:rPr>
          <w:color w:val="000000"/>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color w:val="000000"/>
        </w:rPr>
        <w:t xml:space="preserve">          时间：      年      月      日</w:t>
      </w:r>
    </w:p>
    <w:tbl>
      <w:tblPr>
        <w:tblStyle w:val="83"/>
        <w:tblW w:w="13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2791"/>
        <w:gridCol w:w="1132"/>
        <w:gridCol w:w="1132"/>
        <w:gridCol w:w="1132"/>
        <w:gridCol w:w="1132"/>
        <w:gridCol w:w="1132"/>
        <w:gridCol w:w="1132"/>
        <w:gridCol w:w="1132"/>
        <w:gridCol w:w="1132"/>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32" w:hRule="atLeast"/>
          <w:jc w:val="center"/>
        </w:trPr>
        <w:tc>
          <w:tcPr>
            <w:tcW w:w="914" w:type="dxa"/>
            <w:vMerge w:val="restart"/>
            <w:noWrap w:val="0"/>
            <w:vAlign w:val="center"/>
          </w:tcPr>
          <w:p>
            <w:pPr>
              <w:spacing w:line="360" w:lineRule="auto"/>
              <w:jc w:val="center"/>
              <w:rPr>
                <w:color w:val="000000"/>
              </w:rPr>
            </w:pPr>
            <w:r>
              <w:rPr>
                <w:color w:val="000000"/>
              </w:rPr>
              <w:t>序号</w:t>
            </w:r>
          </w:p>
        </w:tc>
        <w:tc>
          <w:tcPr>
            <w:tcW w:w="2791" w:type="dxa"/>
            <w:vMerge w:val="restart"/>
            <w:noWrap w:val="0"/>
            <w:vAlign w:val="center"/>
          </w:tcPr>
          <w:p>
            <w:pPr>
              <w:spacing w:line="360" w:lineRule="auto"/>
              <w:jc w:val="center"/>
              <w:rPr>
                <w:color w:val="000000"/>
              </w:rPr>
            </w:pPr>
            <w:r>
              <w:rPr>
                <w:color w:val="000000"/>
              </w:rPr>
              <w:t>评审因素</w:t>
            </w:r>
          </w:p>
        </w:tc>
        <w:tc>
          <w:tcPr>
            <w:tcW w:w="10189" w:type="dxa"/>
            <w:gridSpan w:val="9"/>
            <w:noWrap w:val="0"/>
            <w:vAlign w:val="center"/>
          </w:tcPr>
          <w:p>
            <w:pPr>
              <w:spacing w:line="360" w:lineRule="auto"/>
              <w:jc w:val="center"/>
              <w:rPr>
                <w:color w:val="000000"/>
              </w:rPr>
            </w:pPr>
            <w:r>
              <w:rPr>
                <w:color w:val="000000"/>
              </w:rPr>
              <w:t>投标人名称及评审意见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75" w:hRule="atLeast"/>
          <w:jc w:val="center"/>
        </w:trPr>
        <w:tc>
          <w:tcPr>
            <w:tcW w:w="914" w:type="dxa"/>
            <w:vMerge w:val="continue"/>
            <w:noWrap w:val="0"/>
            <w:vAlign w:val="center"/>
          </w:tcPr>
          <w:p>
            <w:pPr>
              <w:spacing w:after="72" w:afterLines="30" w:line="320" w:lineRule="exact"/>
              <w:jc w:val="center"/>
              <w:rPr>
                <w:rFonts w:hint="eastAsia"/>
                <w:color w:val="000000"/>
              </w:rPr>
            </w:pPr>
          </w:p>
        </w:tc>
        <w:tc>
          <w:tcPr>
            <w:tcW w:w="2791" w:type="dxa"/>
            <w:vMerge w:val="continue"/>
            <w:noWrap w:val="0"/>
            <w:vAlign w:val="center"/>
          </w:tcPr>
          <w:p>
            <w:pPr>
              <w:spacing w:line="240" w:lineRule="exact"/>
              <w:rPr>
                <w:rFonts w:hint="eastAsia" w:ascii="宋体" w:hAnsi="宋体"/>
                <w:color w:val="000000"/>
                <w:sz w:val="18"/>
                <w:szCs w:val="18"/>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75" w:hRule="atLeast"/>
          <w:jc w:val="center"/>
        </w:trPr>
        <w:tc>
          <w:tcPr>
            <w:tcW w:w="914" w:type="dxa"/>
            <w:noWrap w:val="0"/>
            <w:vAlign w:val="center"/>
          </w:tcPr>
          <w:p>
            <w:pPr>
              <w:spacing w:line="240" w:lineRule="exact"/>
              <w:rPr>
                <w:rFonts w:hint="eastAsia" w:ascii="宋体" w:hAnsi="宋体"/>
                <w:color w:val="000000"/>
                <w:sz w:val="18"/>
                <w:szCs w:val="18"/>
              </w:rPr>
            </w:pPr>
            <w:r>
              <w:rPr>
                <w:rFonts w:hint="eastAsia" w:ascii="宋体" w:hAnsi="宋体"/>
                <w:color w:val="000000"/>
                <w:sz w:val="18"/>
                <w:szCs w:val="18"/>
              </w:rPr>
              <w:t>1</w:t>
            </w:r>
          </w:p>
        </w:tc>
        <w:tc>
          <w:tcPr>
            <w:tcW w:w="2791" w:type="dxa"/>
            <w:noWrap w:val="0"/>
            <w:vAlign w:val="center"/>
          </w:tcPr>
          <w:p>
            <w:pPr>
              <w:spacing w:line="240" w:lineRule="exact"/>
              <w:rPr>
                <w:rFonts w:hint="eastAsia"/>
                <w:color w:val="000000"/>
                <w:sz w:val="18"/>
                <w:szCs w:val="18"/>
              </w:rPr>
            </w:pPr>
            <w:r>
              <w:rPr>
                <w:rFonts w:hint="eastAsia"/>
                <w:color w:val="000000"/>
                <w:sz w:val="18"/>
                <w:szCs w:val="18"/>
              </w:rPr>
              <w:t>类似项目业绩</w:t>
            </w: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5" w:hRule="atLeast"/>
          <w:jc w:val="center"/>
        </w:trPr>
        <w:tc>
          <w:tcPr>
            <w:tcW w:w="914" w:type="dxa"/>
            <w:noWrap w:val="0"/>
            <w:vAlign w:val="center"/>
          </w:tcPr>
          <w:p>
            <w:pPr>
              <w:spacing w:line="240" w:lineRule="exact"/>
              <w:rPr>
                <w:rFonts w:hint="eastAsia" w:ascii="宋体" w:hAnsi="宋体"/>
                <w:color w:val="000000"/>
                <w:sz w:val="18"/>
                <w:szCs w:val="18"/>
              </w:rPr>
            </w:pPr>
            <w:r>
              <w:rPr>
                <w:rFonts w:hint="eastAsia" w:ascii="宋体" w:hAnsi="宋体"/>
                <w:color w:val="000000"/>
                <w:sz w:val="18"/>
                <w:szCs w:val="18"/>
              </w:rPr>
              <w:t>2</w:t>
            </w:r>
          </w:p>
        </w:tc>
        <w:tc>
          <w:tcPr>
            <w:tcW w:w="2791" w:type="dxa"/>
            <w:noWrap w:val="0"/>
            <w:vAlign w:val="center"/>
          </w:tcPr>
          <w:p>
            <w:pPr>
              <w:spacing w:line="240" w:lineRule="exact"/>
              <w:rPr>
                <w:rFonts w:hint="eastAsia"/>
                <w:color w:val="000000"/>
                <w:sz w:val="18"/>
                <w:szCs w:val="18"/>
              </w:rPr>
            </w:pPr>
            <w:r>
              <w:rPr>
                <w:rFonts w:hint="eastAsia"/>
                <w:color w:val="000000"/>
                <w:sz w:val="18"/>
                <w:szCs w:val="18"/>
              </w:rPr>
              <w:t>工程总承包项目经理资格及业绩</w:t>
            </w:r>
          </w:p>
          <w:p>
            <w:pPr>
              <w:spacing w:line="240" w:lineRule="exact"/>
              <w:rPr>
                <w:rFonts w:hint="eastAsia"/>
                <w:color w:val="000000"/>
                <w:sz w:val="18"/>
                <w:szCs w:val="18"/>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35" w:hRule="atLeast"/>
          <w:jc w:val="center"/>
        </w:trPr>
        <w:tc>
          <w:tcPr>
            <w:tcW w:w="914" w:type="dxa"/>
            <w:noWrap w:val="0"/>
            <w:vAlign w:val="center"/>
          </w:tcPr>
          <w:p>
            <w:pPr>
              <w:spacing w:line="240" w:lineRule="exact"/>
              <w:rPr>
                <w:rFonts w:hint="eastAsia" w:ascii="宋体" w:hAnsi="宋体"/>
                <w:color w:val="000000"/>
                <w:sz w:val="18"/>
                <w:szCs w:val="18"/>
              </w:rPr>
            </w:pPr>
            <w:r>
              <w:rPr>
                <w:rFonts w:hint="eastAsia" w:ascii="宋体" w:hAnsi="宋体"/>
                <w:color w:val="000000"/>
                <w:sz w:val="18"/>
                <w:szCs w:val="18"/>
              </w:rPr>
              <w:t>3</w:t>
            </w:r>
          </w:p>
        </w:tc>
        <w:tc>
          <w:tcPr>
            <w:tcW w:w="2791" w:type="dxa"/>
            <w:noWrap w:val="0"/>
            <w:vAlign w:val="center"/>
          </w:tcPr>
          <w:p>
            <w:pPr>
              <w:spacing w:line="240" w:lineRule="exact"/>
              <w:rPr>
                <w:rFonts w:hint="eastAsia"/>
                <w:color w:val="000000"/>
                <w:sz w:val="18"/>
                <w:szCs w:val="18"/>
              </w:rPr>
            </w:pPr>
            <w:r>
              <w:rPr>
                <w:rFonts w:hint="eastAsia"/>
                <w:color w:val="000000"/>
                <w:sz w:val="18"/>
                <w:szCs w:val="18"/>
              </w:rPr>
              <w:t>项目设计负责人资格及业绩</w:t>
            </w: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0" w:hRule="atLeast"/>
          <w:jc w:val="center"/>
        </w:trPr>
        <w:tc>
          <w:tcPr>
            <w:tcW w:w="914" w:type="dxa"/>
            <w:noWrap w:val="0"/>
            <w:vAlign w:val="center"/>
          </w:tcPr>
          <w:p>
            <w:pPr>
              <w:spacing w:line="240" w:lineRule="exact"/>
              <w:rPr>
                <w:rFonts w:hint="eastAsia" w:ascii="宋体" w:hAnsi="宋体"/>
                <w:color w:val="000000"/>
                <w:sz w:val="18"/>
                <w:szCs w:val="18"/>
              </w:rPr>
            </w:pPr>
            <w:r>
              <w:rPr>
                <w:rFonts w:hint="eastAsia" w:ascii="宋体" w:hAnsi="宋体"/>
                <w:color w:val="000000"/>
                <w:sz w:val="18"/>
                <w:szCs w:val="18"/>
              </w:rPr>
              <w:t>4</w:t>
            </w:r>
          </w:p>
        </w:tc>
        <w:tc>
          <w:tcPr>
            <w:tcW w:w="2791" w:type="dxa"/>
            <w:noWrap w:val="0"/>
            <w:vAlign w:val="center"/>
          </w:tcPr>
          <w:p>
            <w:pPr>
              <w:spacing w:line="240" w:lineRule="exact"/>
              <w:rPr>
                <w:rFonts w:hint="eastAsia"/>
                <w:color w:val="000000"/>
                <w:sz w:val="18"/>
                <w:szCs w:val="18"/>
              </w:rPr>
            </w:pPr>
            <w:r>
              <w:rPr>
                <w:rFonts w:hint="eastAsia"/>
                <w:color w:val="000000"/>
                <w:sz w:val="18"/>
                <w:szCs w:val="18"/>
              </w:rPr>
              <w:t>施工项目经理资格及业绩</w:t>
            </w: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914" w:type="dxa"/>
            <w:noWrap w:val="0"/>
            <w:vAlign w:val="center"/>
          </w:tcPr>
          <w:p>
            <w:pPr>
              <w:spacing w:line="240" w:lineRule="exact"/>
              <w:rPr>
                <w:rFonts w:hint="eastAsia" w:ascii="宋体" w:hAnsi="宋体"/>
                <w:color w:val="000000"/>
                <w:sz w:val="18"/>
                <w:szCs w:val="18"/>
              </w:rPr>
            </w:pPr>
            <w:r>
              <w:rPr>
                <w:rFonts w:hint="eastAsia" w:ascii="宋体" w:hAnsi="宋体"/>
                <w:color w:val="000000"/>
                <w:sz w:val="18"/>
                <w:szCs w:val="18"/>
              </w:rPr>
              <w:t>5</w:t>
            </w:r>
          </w:p>
        </w:tc>
        <w:tc>
          <w:tcPr>
            <w:tcW w:w="2791" w:type="dxa"/>
            <w:noWrap w:val="0"/>
            <w:vAlign w:val="center"/>
          </w:tcPr>
          <w:p>
            <w:pPr>
              <w:spacing w:line="240" w:lineRule="exact"/>
              <w:rPr>
                <w:rFonts w:hint="eastAsia"/>
                <w:color w:val="000000"/>
                <w:sz w:val="18"/>
                <w:szCs w:val="18"/>
              </w:rPr>
            </w:pPr>
            <w:r>
              <w:rPr>
                <w:rFonts w:hint="eastAsia"/>
                <w:color w:val="000000"/>
                <w:sz w:val="18"/>
                <w:szCs w:val="18"/>
              </w:rPr>
              <w:t>其他主要人员资格及业绩</w:t>
            </w: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atLeast"/>
          <w:jc w:val="center"/>
        </w:trPr>
        <w:tc>
          <w:tcPr>
            <w:tcW w:w="914" w:type="dxa"/>
            <w:noWrap w:val="0"/>
            <w:vAlign w:val="center"/>
          </w:tcPr>
          <w:p>
            <w:pPr>
              <w:spacing w:line="240" w:lineRule="exact"/>
              <w:rPr>
                <w:rFonts w:hint="eastAsia" w:ascii="宋体" w:hAnsi="宋体"/>
                <w:color w:val="000000"/>
                <w:sz w:val="18"/>
                <w:szCs w:val="18"/>
              </w:rPr>
            </w:pPr>
            <w:r>
              <w:rPr>
                <w:rFonts w:hint="eastAsia" w:ascii="宋体" w:hAnsi="宋体"/>
                <w:color w:val="000000"/>
                <w:sz w:val="18"/>
                <w:szCs w:val="18"/>
              </w:rPr>
              <w:t>6</w:t>
            </w:r>
          </w:p>
        </w:tc>
        <w:tc>
          <w:tcPr>
            <w:tcW w:w="2791" w:type="dxa"/>
            <w:noWrap w:val="0"/>
            <w:vAlign w:val="center"/>
          </w:tcPr>
          <w:p>
            <w:pPr>
              <w:spacing w:line="240" w:lineRule="exact"/>
              <w:rPr>
                <w:rFonts w:hint="eastAsia"/>
                <w:color w:val="000000"/>
                <w:sz w:val="18"/>
                <w:szCs w:val="18"/>
              </w:rPr>
            </w:pPr>
            <w:r>
              <w:rPr>
                <w:rFonts w:hint="eastAsia"/>
                <w:color w:val="000000"/>
                <w:sz w:val="18"/>
                <w:szCs w:val="18"/>
              </w:rPr>
              <w:t>采用建筑信息模型（BIM）技术的项目业绩</w:t>
            </w: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17" w:hRule="atLeast"/>
          <w:jc w:val="center"/>
        </w:trPr>
        <w:tc>
          <w:tcPr>
            <w:tcW w:w="914" w:type="dxa"/>
            <w:noWrap w:val="0"/>
            <w:vAlign w:val="center"/>
          </w:tcPr>
          <w:p>
            <w:pPr>
              <w:spacing w:line="240" w:lineRule="exact"/>
              <w:rPr>
                <w:rFonts w:hint="eastAsia" w:ascii="宋体" w:hAnsi="宋体"/>
                <w:color w:val="000000"/>
                <w:sz w:val="18"/>
                <w:szCs w:val="18"/>
              </w:rPr>
            </w:pPr>
            <w:r>
              <w:rPr>
                <w:rFonts w:hint="eastAsia" w:ascii="宋体" w:hAnsi="宋体"/>
                <w:color w:val="000000"/>
                <w:sz w:val="18"/>
                <w:szCs w:val="18"/>
              </w:rPr>
              <w:t>7</w:t>
            </w:r>
          </w:p>
        </w:tc>
        <w:tc>
          <w:tcPr>
            <w:tcW w:w="2791" w:type="dxa"/>
            <w:noWrap w:val="0"/>
            <w:vAlign w:val="center"/>
          </w:tcPr>
          <w:p>
            <w:pPr>
              <w:spacing w:line="240" w:lineRule="exact"/>
              <w:rPr>
                <w:rFonts w:hint="eastAsia"/>
                <w:color w:val="000000"/>
                <w:sz w:val="18"/>
                <w:szCs w:val="18"/>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38" w:hRule="atLeast"/>
          <w:jc w:val="center"/>
        </w:trPr>
        <w:tc>
          <w:tcPr>
            <w:tcW w:w="3705" w:type="dxa"/>
            <w:gridSpan w:val="2"/>
            <w:noWrap w:val="0"/>
            <w:vAlign w:val="center"/>
          </w:tcPr>
          <w:p>
            <w:pPr>
              <w:spacing w:line="360" w:lineRule="auto"/>
              <w:jc w:val="center"/>
              <w:rPr>
                <w:color w:val="000000"/>
              </w:rPr>
            </w:pPr>
            <w:r>
              <w:rPr>
                <w:color w:val="000000"/>
                <w:szCs w:val="44"/>
              </w:rPr>
              <w:t>得分合计</w:t>
            </w:r>
            <w:r>
              <w:rPr>
                <w:rFonts w:hint="eastAsia"/>
                <w:color w:val="000000"/>
                <w:szCs w:val="44"/>
              </w:rPr>
              <w:t>（</w:t>
            </w:r>
            <w:r>
              <w:rPr>
                <w:color w:val="000000"/>
                <w:szCs w:val="44"/>
              </w:rPr>
              <w:t>满分</w:t>
            </w:r>
            <w:r>
              <w:rPr>
                <w:color w:val="000000"/>
                <w:szCs w:val="44"/>
                <w:u w:val="single"/>
              </w:rPr>
              <w:t xml:space="preserve">       </w:t>
            </w:r>
            <w:r>
              <w:rPr>
                <w:rFonts w:hint="eastAsia"/>
                <w:color w:val="000000"/>
                <w:szCs w:val="44"/>
              </w:rPr>
              <w:t>）</w:t>
            </w: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38" w:hRule="atLeast"/>
          <w:jc w:val="center"/>
        </w:trPr>
        <w:tc>
          <w:tcPr>
            <w:tcW w:w="3705" w:type="dxa"/>
            <w:gridSpan w:val="2"/>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2" w:type="dxa"/>
            <w:noWrap w:val="0"/>
            <w:vAlign w:val="center"/>
          </w:tcPr>
          <w:p>
            <w:pPr>
              <w:spacing w:line="360" w:lineRule="auto"/>
              <w:jc w:val="center"/>
              <w:rPr>
                <w:color w:val="000000"/>
              </w:rPr>
            </w:pPr>
          </w:p>
        </w:tc>
        <w:tc>
          <w:tcPr>
            <w:tcW w:w="1133" w:type="dxa"/>
            <w:noWrap w:val="0"/>
            <w:vAlign w:val="center"/>
          </w:tcPr>
          <w:p>
            <w:pPr>
              <w:spacing w:line="360" w:lineRule="auto"/>
              <w:jc w:val="center"/>
              <w:rPr>
                <w:color w:val="000000"/>
              </w:rPr>
            </w:pPr>
          </w:p>
        </w:tc>
      </w:tr>
    </w:tbl>
    <w:p>
      <w:pPr>
        <w:rPr>
          <w:rFonts w:eastAsia="楷体_GB2312"/>
          <w:color w:val="000000"/>
          <w:szCs w:val="21"/>
        </w:rPr>
      </w:pPr>
      <w:r>
        <w:rPr>
          <w:rFonts w:eastAsia="楷体_GB2312"/>
          <w:color w:val="000000"/>
          <w:szCs w:val="21"/>
        </w:rPr>
        <w:t>【</w:t>
      </w:r>
      <w:r>
        <w:rPr>
          <w:rFonts w:eastAsia="楷体_GB2312"/>
          <w:color w:val="000000"/>
        </w:rPr>
        <w:t>备注：本表可根据评分办法的需要进行调整</w:t>
      </w:r>
      <w:r>
        <w:rPr>
          <w:rFonts w:eastAsia="楷体_GB2312"/>
          <w:color w:val="000000"/>
          <w:szCs w:val="21"/>
        </w:rPr>
        <w:t>】</w:t>
      </w:r>
    </w:p>
    <w:p>
      <w:pPr>
        <w:spacing w:line="440" w:lineRule="exact"/>
        <w:rPr>
          <w:color w:val="000000"/>
        </w:rPr>
      </w:pPr>
      <w:r>
        <w:rPr>
          <w:rFonts w:hint="eastAsia"/>
          <w:color w:val="000000"/>
        </w:rPr>
        <w:t>商务标全体评委</w:t>
      </w:r>
      <w:r>
        <w:rPr>
          <w:color w:val="000000"/>
        </w:rPr>
        <w:t>签名：                                                                        日期：        年     月     日</w:t>
      </w:r>
    </w:p>
    <w:p>
      <w:pPr>
        <w:rPr>
          <w:rFonts w:hint="eastAsia"/>
          <w:color w:val="000000"/>
        </w:rPr>
      </w:pPr>
    </w:p>
    <w:p>
      <w:pPr>
        <w:pStyle w:val="4"/>
        <w:spacing w:line="240" w:lineRule="auto"/>
        <w:rPr>
          <w:b w:val="0"/>
          <w:color w:val="000000"/>
          <w:szCs w:val="21"/>
        </w:rPr>
      </w:pPr>
      <w:bookmarkStart w:id="737" w:name="_Toc419363654"/>
      <w:r>
        <w:rPr>
          <w:rFonts w:eastAsia="黑体"/>
          <w:color w:val="000000"/>
          <w:sz w:val="28"/>
          <w:szCs w:val="28"/>
        </w:rPr>
        <w:br w:type="page"/>
      </w:r>
      <w:bookmarkEnd w:id="737"/>
      <w:bookmarkStart w:id="738" w:name="_Toc59203046"/>
      <w:r>
        <w:rPr>
          <w:sz w:val="28"/>
          <w:szCs w:val="28"/>
        </w:rPr>
        <w:t>附表A-14：</w:t>
      </w:r>
      <w:r>
        <w:rPr>
          <w:rFonts w:hint="eastAsia"/>
          <w:sz w:val="28"/>
          <w:szCs w:val="28"/>
        </w:rPr>
        <w:t>报价评分</w:t>
      </w:r>
      <w:r>
        <w:rPr>
          <w:sz w:val="28"/>
          <w:szCs w:val="28"/>
        </w:rPr>
        <w:t>记录表</w:t>
      </w:r>
      <w:bookmarkEnd w:id="738"/>
    </w:p>
    <w:p>
      <w:pPr>
        <w:jc w:val="center"/>
        <w:rPr>
          <w:color w:val="000000"/>
          <w:szCs w:val="44"/>
        </w:rPr>
      </w:pPr>
      <w:r>
        <w:rPr>
          <w:rFonts w:hint="eastAsia" w:eastAsia="黑体"/>
          <w:color w:val="000000"/>
          <w:sz w:val="28"/>
          <w:szCs w:val="28"/>
        </w:rPr>
        <w:t>报价</w:t>
      </w:r>
      <w:r>
        <w:rPr>
          <w:rFonts w:eastAsia="黑体"/>
          <w:color w:val="000000"/>
          <w:sz w:val="28"/>
          <w:szCs w:val="28"/>
        </w:rPr>
        <w:t>评分记录表</w:t>
      </w:r>
    </w:p>
    <w:p>
      <w:pPr>
        <w:spacing w:after="72" w:afterLines="30" w:line="440" w:lineRule="exact"/>
        <w:rPr>
          <w:color w:val="000000"/>
        </w:rPr>
      </w:pPr>
      <w:r>
        <w:rPr>
          <w:rFonts w:hint="eastAsia"/>
          <w:color w:val="000000"/>
        </w:rPr>
        <w:t>项目</w:t>
      </w:r>
      <w:r>
        <w:rPr>
          <w:color w:val="000000"/>
        </w:rPr>
        <w:t>名称</w:t>
      </w:r>
      <w:r>
        <w:rPr>
          <w:rFonts w:hint="eastAsia"/>
          <w:color w:val="000000"/>
        </w:rPr>
        <w:t>及项目招标编号</w:t>
      </w:r>
      <w:r>
        <w:rPr>
          <w:color w:val="000000"/>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color w:val="000000"/>
        </w:rPr>
        <w:t xml:space="preserve">        时间：      年      月      </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7"/>
        <w:gridCol w:w="1347"/>
        <w:gridCol w:w="21"/>
        <w:gridCol w:w="1069"/>
        <w:gridCol w:w="47"/>
        <w:gridCol w:w="1229"/>
        <w:gridCol w:w="43"/>
        <w:gridCol w:w="1233"/>
        <w:gridCol w:w="45"/>
        <w:gridCol w:w="1230"/>
        <w:gridCol w:w="60"/>
        <w:gridCol w:w="1584"/>
        <w:gridCol w:w="57"/>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45" w:hRule="atLeast"/>
        </w:trPr>
        <w:tc>
          <w:tcPr>
            <w:tcW w:w="4617" w:type="dxa"/>
            <w:vMerge w:val="restart"/>
            <w:noWrap w:val="0"/>
            <w:vAlign w:val="center"/>
          </w:tcPr>
          <w:p>
            <w:pPr>
              <w:jc w:val="center"/>
              <w:rPr>
                <w:color w:val="000000"/>
              </w:rPr>
            </w:pPr>
            <w:r>
              <w:rPr>
                <w:color w:val="000000"/>
              </w:rPr>
              <w:t>项目</w:t>
            </w:r>
          </w:p>
        </w:tc>
        <w:tc>
          <w:tcPr>
            <w:tcW w:w="9432" w:type="dxa"/>
            <w:gridSpan w:val="13"/>
            <w:noWrap w:val="0"/>
            <w:vAlign w:val="center"/>
          </w:tcPr>
          <w:p>
            <w:pPr>
              <w:jc w:val="center"/>
              <w:rPr>
                <w:color w:val="000000"/>
              </w:rPr>
            </w:pPr>
            <w:r>
              <w:rPr>
                <w:color w:val="000000"/>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35" w:hRule="atLeast"/>
        </w:trPr>
        <w:tc>
          <w:tcPr>
            <w:tcW w:w="4617" w:type="dxa"/>
            <w:vMerge w:val="continue"/>
            <w:noWrap w:val="0"/>
            <w:vAlign w:val="center"/>
          </w:tcPr>
          <w:p>
            <w:pPr>
              <w:jc w:val="center"/>
              <w:rPr>
                <w:color w:val="000000"/>
              </w:rPr>
            </w:pPr>
          </w:p>
        </w:tc>
        <w:tc>
          <w:tcPr>
            <w:tcW w:w="1368" w:type="dxa"/>
            <w:gridSpan w:val="2"/>
            <w:noWrap w:val="0"/>
            <w:vAlign w:val="center"/>
          </w:tcPr>
          <w:p>
            <w:pPr>
              <w:jc w:val="center"/>
              <w:rPr>
                <w:color w:val="000000"/>
              </w:rPr>
            </w:pPr>
          </w:p>
        </w:tc>
        <w:tc>
          <w:tcPr>
            <w:tcW w:w="1116" w:type="dxa"/>
            <w:gridSpan w:val="2"/>
            <w:noWrap w:val="0"/>
            <w:vAlign w:val="center"/>
          </w:tcPr>
          <w:p>
            <w:pPr>
              <w:jc w:val="center"/>
              <w:rPr>
                <w:color w:val="000000"/>
              </w:rPr>
            </w:pPr>
          </w:p>
        </w:tc>
        <w:tc>
          <w:tcPr>
            <w:tcW w:w="1272" w:type="dxa"/>
            <w:gridSpan w:val="2"/>
            <w:noWrap w:val="0"/>
            <w:vAlign w:val="center"/>
          </w:tcPr>
          <w:p>
            <w:pPr>
              <w:jc w:val="center"/>
              <w:rPr>
                <w:color w:val="000000"/>
              </w:rPr>
            </w:pPr>
          </w:p>
        </w:tc>
        <w:tc>
          <w:tcPr>
            <w:tcW w:w="1278" w:type="dxa"/>
            <w:gridSpan w:val="2"/>
            <w:noWrap w:val="0"/>
            <w:vAlign w:val="center"/>
          </w:tcPr>
          <w:p>
            <w:pPr>
              <w:jc w:val="center"/>
              <w:rPr>
                <w:color w:val="000000"/>
              </w:rPr>
            </w:pPr>
          </w:p>
        </w:tc>
        <w:tc>
          <w:tcPr>
            <w:tcW w:w="1290" w:type="dxa"/>
            <w:gridSpan w:val="2"/>
            <w:noWrap w:val="0"/>
            <w:vAlign w:val="center"/>
          </w:tcPr>
          <w:p>
            <w:pPr>
              <w:jc w:val="center"/>
              <w:rPr>
                <w:color w:val="000000"/>
              </w:rPr>
            </w:pPr>
          </w:p>
        </w:tc>
        <w:tc>
          <w:tcPr>
            <w:tcW w:w="1584" w:type="dxa"/>
            <w:noWrap w:val="0"/>
            <w:vAlign w:val="center"/>
          </w:tcPr>
          <w:p>
            <w:pPr>
              <w:jc w:val="center"/>
              <w:rPr>
                <w:color w:val="000000"/>
              </w:rPr>
            </w:pPr>
          </w:p>
        </w:tc>
        <w:tc>
          <w:tcPr>
            <w:tcW w:w="1524" w:type="dxa"/>
            <w:gridSpan w:val="2"/>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0" w:hRule="atLeast"/>
        </w:trPr>
        <w:tc>
          <w:tcPr>
            <w:tcW w:w="4617" w:type="dxa"/>
            <w:noWrap w:val="0"/>
            <w:vAlign w:val="center"/>
          </w:tcPr>
          <w:p>
            <w:pPr>
              <w:jc w:val="center"/>
              <w:rPr>
                <w:color w:val="000000"/>
              </w:rPr>
            </w:pPr>
            <w:r>
              <w:rPr>
                <w:color w:val="000000"/>
              </w:rPr>
              <w:t>投标报价</w:t>
            </w:r>
          </w:p>
        </w:tc>
        <w:tc>
          <w:tcPr>
            <w:tcW w:w="1368" w:type="dxa"/>
            <w:gridSpan w:val="2"/>
            <w:noWrap w:val="0"/>
            <w:vAlign w:val="center"/>
          </w:tcPr>
          <w:p>
            <w:pPr>
              <w:jc w:val="center"/>
              <w:rPr>
                <w:color w:val="000000"/>
              </w:rPr>
            </w:pPr>
          </w:p>
        </w:tc>
        <w:tc>
          <w:tcPr>
            <w:tcW w:w="1116" w:type="dxa"/>
            <w:gridSpan w:val="2"/>
            <w:noWrap w:val="0"/>
            <w:vAlign w:val="center"/>
          </w:tcPr>
          <w:p>
            <w:pPr>
              <w:jc w:val="center"/>
              <w:rPr>
                <w:color w:val="000000"/>
              </w:rPr>
            </w:pPr>
          </w:p>
        </w:tc>
        <w:tc>
          <w:tcPr>
            <w:tcW w:w="1272" w:type="dxa"/>
            <w:gridSpan w:val="2"/>
            <w:noWrap w:val="0"/>
            <w:vAlign w:val="center"/>
          </w:tcPr>
          <w:p>
            <w:pPr>
              <w:jc w:val="center"/>
              <w:rPr>
                <w:color w:val="000000"/>
              </w:rPr>
            </w:pPr>
          </w:p>
        </w:tc>
        <w:tc>
          <w:tcPr>
            <w:tcW w:w="1278" w:type="dxa"/>
            <w:gridSpan w:val="2"/>
            <w:noWrap w:val="0"/>
            <w:vAlign w:val="center"/>
          </w:tcPr>
          <w:p>
            <w:pPr>
              <w:jc w:val="center"/>
              <w:rPr>
                <w:color w:val="000000"/>
              </w:rPr>
            </w:pPr>
          </w:p>
        </w:tc>
        <w:tc>
          <w:tcPr>
            <w:tcW w:w="1290" w:type="dxa"/>
            <w:gridSpan w:val="2"/>
            <w:noWrap w:val="0"/>
            <w:vAlign w:val="center"/>
          </w:tcPr>
          <w:p>
            <w:pPr>
              <w:jc w:val="center"/>
              <w:rPr>
                <w:color w:val="000000"/>
              </w:rPr>
            </w:pPr>
          </w:p>
        </w:tc>
        <w:tc>
          <w:tcPr>
            <w:tcW w:w="1584" w:type="dxa"/>
            <w:noWrap w:val="0"/>
            <w:vAlign w:val="center"/>
          </w:tcPr>
          <w:p>
            <w:pPr>
              <w:jc w:val="center"/>
              <w:rPr>
                <w:color w:val="000000"/>
              </w:rPr>
            </w:pPr>
          </w:p>
        </w:tc>
        <w:tc>
          <w:tcPr>
            <w:tcW w:w="1524" w:type="dxa"/>
            <w:gridSpan w:val="2"/>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0" w:hRule="atLeast"/>
        </w:trPr>
        <w:tc>
          <w:tcPr>
            <w:tcW w:w="4617" w:type="dxa"/>
            <w:noWrap w:val="0"/>
            <w:vAlign w:val="center"/>
          </w:tcPr>
          <w:p>
            <w:pPr>
              <w:jc w:val="center"/>
              <w:rPr>
                <w:color w:val="000000"/>
              </w:rPr>
            </w:pPr>
            <w:r>
              <w:rPr>
                <w:rFonts w:hint="eastAsia"/>
                <w:color w:val="000000"/>
                <w:szCs w:val="21"/>
              </w:rPr>
              <w:t>投标报价是否有效</w:t>
            </w:r>
          </w:p>
        </w:tc>
        <w:tc>
          <w:tcPr>
            <w:tcW w:w="1368" w:type="dxa"/>
            <w:gridSpan w:val="2"/>
            <w:noWrap w:val="0"/>
            <w:vAlign w:val="center"/>
          </w:tcPr>
          <w:p>
            <w:pPr>
              <w:jc w:val="center"/>
              <w:rPr>
                <w:color w:val="000000"/>
              </w:rPr>
            </w:pPr>
          </w:p>
        </w:tc>
        <w:tc>
          <w:tcPr>
            <w:tcW w:w="1116" w:type="dxa"/>
            <w:gridSpan w:val="2"/>
            <w:noWrap w:val="0"/>
            <w:vAlign w:val="center"/>
          </w:tcPr>
          <w:p>
            <w:pPr>
              <w:jc w:val="center"/>
              <w:rPr>
                <w:color w:val="000000"/>
              </w:rPr>
            </w:pPr>
          </w:p>
        </w:tc>
        <w:tc>
          <w:tcPr>
            <w:tcW w:w="1272" w:type="dxa"/>
            <w:gridSpan w:val="2"/>
            <w:noWrap w:val="0"/>
            <w:vAlign w:val="center"/>
          </w:tcPr>
          <w:p>
            <w:pPr>
              <w:jc w:val="center"/>
              <w:rPr>
                <w:color w:val="000000"/>
              </w:rPr>
            </w:pPr>
          </w:p>
        </w:tc>
        <w:tc>
          <w:tcPr>
            <w:tcW w:w="1278" w:type="dxa"/>
            <w:gridSpan w:val="2"/>
            <w:noWrap w:val="0"/>
            <w:vAlign w:val="center"/>
          </w:tcPr>
          <w:p>
            <w:pPr>
              <w:jc w:val="center"/>
              <w:rPr>
                <w:color w:val="000000"/>
              </w:rPr>
            </w:pPr>
          </w:p>
        </w:tc>
        <w:tc>
          <w:tcPr>
            <w:tcW w:w="1290" w:type="dxa"/>
            <w:gridSpan w:val="2"/>
            <w:noWrap w:val="0"/>
            <w:vAlign w:val="center"/>
          </w:tcPr>
          <w:p>
            <w:pPr>
              <w:jc w:val="center"/>
              <w:rPr>
                <w:color w:val="000000"/>
              </w:rPr>
            </w:pPr>
          </w:p>
        </w:tc>
        <w:tc>
          <w:tcPr>
            <w:tcW w:w="1584" w:type="dxa"/>
            <w:noWrap w:val="0"/>
            <w:vAlign w:val="center"/>
          </w:tcPr>
          <w:p>
            <w:pPr>
              <w:jc w:val="center"/>
              <w:rPr>
                <w:color w:val="000000"/>
              </w:rPr>
            </w:pPr>
          </w:p>
        </w:tc>
        <w:tc>
          <w:tcPr>
            <w:tcW w:w="1524" w:type="dxa"/>
            <w:gridSpan w:val="2"/>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0" w:hRule="atLeast"/>
        </w:trPr>
        <w:tc>
          <w:tcPr>
            <w:tcW w:w="4617" w:type="dxa"/>
            <w:noWrap w:val="0"/>
            <w:vAlign w:val="center"/>
          </w:tcPr>
          <w:p>
            <w:pPr>
              <w:jc w:val="center"/>
              <w:rPr>
                <w:rFonts w:hint="eastAsia"/>
                <w:color w:val="000000"/>
                <w:szCs w:val="21"/>
              </w:rPr>
            </w:pPr>
            <w:r>
              <w:rPr>
                <w:rFonts w:hint="eastAsia"/>
                <w:color w:val="000000"/>
                <w:szCs w:val="21"/>
              </w:rPr>
              <w:t>有效报价范围内的平均值</w:t>
            </w:r>
          </w:p>
        </w:tc>
        <w:tc>
          <w:tcPr>
            <w:tcW w:w="1368" w:type="dxa"/>
            <w:gridSpan w:val="2"/>
            <w:noWrap w:val="0"/>
            <w:vAlign w:val="center"/>
          </w:tcPr>
          <w:p>
            <w:pPr>
              <w:jc w:val="center"/>
              <w:rPr>
                <w:color w:val="000000"/>
              </w:rPr>
            </w:pPr>
          </w:p>
        </w:tc>
        <w:tc>
          <w:tcPr>
            <w:tcW w:w="1116" w:type="dxa"/>
            <w:gridSpan w:val="2"/>
            <w:noWrap w:val="0"/>
            <w:vAlign w:val="center"/>
          </w:tcPr>
          <w:p>
            <w:pPr>
              <w:jc w:val="center"/>
              <w:rPr>
                <w:color w:val="000000"/>
              </w:rPr>
            </w:pPr>
          </w:p>
        </w:tc>
        <w:tc>
          <w:tcPr>
            <w:tcW w:w="1272" w:type="dxa"/>
            <w:gridSpan w:val="2"/>
            <w:noWrap w:val="0"/>
            <w:vAlign w:val="center"/>
          </w:tcPr>
          <w:p>
            <w:pPr>
              <w:jc w:val="center"/>
              <w:rPr>
                <w:color w:val="000000"/>
              </w:rPr>
            </w:pPr>
          </w:p>
        </w:tc>
        <w:tc>
          <w:tcPr>
            <w:tcW w:w="1278" w:type="dxa"/>
            <w:gridSpan w:val="2"/>
            <w:noWrap w:val="0"/>
            <w:vAlign w:val="center"/>
          </w:tcPr>
          <w:p>
            <w:pPr>
              <w:jc w:val="center"/>
              <w:rPr>
                <w:color w:val="000000"/>
              </w:rPr>
            </w:pPr>
          </w:p>
        </w:tc>
        <w:tc>
          <w:tcPr>
            <w:tcW w:w="1290" w:type="dxa"/>
            <w:gridSpan w:val="2"/>
            <w:noWrap w:val="0"/>
            <w:vAlign w:val="center"/>
          </w:tcPr>
          <w:p>
            <w:pPr>
              <w:jc w:val="center"/>
              <w:rPr>
                <w:color w:val="000000"/>
              </w:rPr>
            </w:pPr>
          </w:p>
        </w:tc>
        <w:tc>
          <w:tcPr>
            <w:tcW w:w="1584" w:type="dxa"/>
            <w:noWrap w:val="0"/>
            <w:vAlign w:val="center"/>
          </w:tcPr>
          <w:p>
            <w:pPr>
              <w:jc w:val="center"/>
              <w:rPr>
                <w:color w:val="000000"/>
              </w:rPr>
            </w:pPr>
          </w:p>
        </w:tc>
        <w:tc>
          <w:tcPr>
            <w:tcW w:w="1524" w:type="dxa"/>
            <w:gridSpan w:val="2"/>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0" w:hRule="atLeast"/>
        </w:trPr>
        <w:tc>
          <w:tcPr>
            <w:tcW w:w="4617" w:type="dxa"/>
            <w:noWrap w:val="0"/>
            <w:vAlign w:val="center"/>
          </w:tcPr>
          <w:p>
            <w:pPr>
              <w:jc w:val="center"/>
              <w:rPr>
                <w:rFonts w:hint="eastAsia"/>
                <w:color w:val="000000"/>
                <w:szCs w:val="21"/>
              </w:rPr>
            </w:pPr>
            <w:r>
              <w:rPr>
                <w:rFonts w:hint="eastAsia"/>
                <w:color w:val="000000"/>
                <w:szCs w:val="21"/>
              </w:rPr>
              <w:t>是</w:t>
            </w:r>
            <w:r>
              <w:rPr>
                <w:color w:val="000000"/>
                <w:szCs w:val="21"/>
              </w:rPr>
              <w:t>否</w:t>
            </w:r>
            <w:r>
              <w:rPr>
                <w:rFonts w:hint="eastAsia"/>
                <w:color w:val="000000"/>
                <w:szCs w:val="21"/>
              </w:rPr>
              <w:t>平均值偏差率在±</w:t>
            </w:r>
            <w:r>
              <w:rPr>
                <w:color w:val="000000"/>
                <w:szCs w:val="21"/>
              </w:rPr>
              <w:t>15</w:t>
            </w:r>
            <w:r>
              <w:rPr>
                <w:rFonts w:hint="eastAsia"/>
                <w:color w:val="000000"/>
                <w:szCs w:val="21"/>
              </w:rPr>
              <w:t>%（含）以内的报价</w:t>
            </w:r>
          </w:p>
        </w:tc>
        <w:tc>
          <w:tcPr>
            <w:tcW w:w="1368" w:type="dxa"/>
            <w:gridSpan w:val="2"/>
            <w:noWrap w:val="0"/>
            <w:vAlign w:val="center"/>
          </w:tcPr>
          <w:p>
            <w:pPr>
              <w:jc w:val="center"/>
              <w:rPr>
                <w:color w:val="000000"/>
              </w:rPr>
            </w:pPr>
          </w:p>
        </w:tc>
        <w:tc>
          <w:tcPr>
            <w:tcW w:w="1116" w:type="dxa"/>
            <w:gridSpan w:val="2"/>
            <w:noWrap w:val="0"/>
            <w:vAlign w:val="center"/>
          </w:tcPr>
          <w:p>
            <w:pPr>
              <w:jc w:val="center"/>
              <w:rPr>
                <w:color w:val="000000"/>
              </w:rPr>
            </w:pPr>
          </w:p>
        </w:tc>
        <w:tc>
          <w:tcPr>
            <w:tcW w:w="1272" w:type="dxa"/>
            <w:gridSpan w:val="2"/>
            <w:noWrap w:val="0"/>
            <w:vAlign w:val="center"/>
          </w:tcPr>
          <w:p>
            <w:pPr>
              <w:jc w:val="center"/>
              <w:rPr>
                <w:color w:val="000000"/>
              </w:rPr>
            </w:pPr>
          </w:p>
        </w:tc>
        <w:tc>
          <w:tcPr>
            <w:tcW w:w="1278" w:type="dxa"/>
            <w:gridSpan w:val="2"/>
            <w:noWrap w:val="0"/>
            <w:vAlign w:val="center"/>
          </w:tcPr>
          <w:p>
            <w:pPr>
              <w:jc w:val="center"/>
              <w:rPr>
                <w:color w:val="000000"/>
              </w:rPr>
            </w:pPr>
          </w:p>
        </w:tc>
        <w:tc>
          <w:tcPr>
            <w:tcW w:w="1290" w:type="dxa"/>
            <w:gridSpan w:val="2"/>
            <w:noWrap w:val="0"/>
            <w:vAlign w:val="center"/>
          </w:tcPr>
          <w:p>
            <w:pPr>
              <w:jc w:val="center"/>
              <w:rPr>
                <w:color w:val="000000"/>
              </w:rPr>
            </w:pPr>
          </w:p>
        </w:tc>
        <w:tc>
          <w:tcPr>
            <w:tcW w:w="1584" w:type="dxa"/>
            <w:noWrap w:val="0"/>
            <w:vAlign w:val="center"/>
          </w:tcPr>
          <w:p>
            <w:pPr>
              <w:jc w:val="center"/>
              <w:rPr>
                <w:color w:val="000000"/>
              </w:rPr>
            </w:pPr>
          </w:p>
        </w:tc>
        <w:tc>
          <w:tcPr>
            <w:tcW w:w="1524" w:type="dxa"/>
            <w:gridSpan w:val="2"/>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0" w:hRule="atLeast"/>
        </w:trPr>
        <w:tc>
          <w:tcPr>
            <w:tcW w:w="4617" w:type="dxa"/>
            <w:noWrap w:val="0"/>
            <w:vAlign w:val="center"/>
          </w:tcPr>
          <w:p>
            <w:pPr>
              <w:jc w:val="center"/>
              <w:rPr>
                <w:rFonts w:hint="eastAsia"/>
                <w:color w:val="000000"/>
                <w:szCs w:val="21"/>
              </w:rPr>
            </w:pPr>
            <w:r>
              <w:rPr>
                <w:rFonts w:hint="eastAsia"/>
                <w:color w:val="000000"/>
                <w:szCs w:val="21"/>
              </w:rPr>
              <w:t>是</w:t>
            </w:r>
            <w:r>
              <w:rPr>
                <w:color w:val="000000"/>
                <w:szCs w:val="21"/>
              </w:rPr>
              <w:t>否参与评标基准</w:t>
            </w:r>
            <w:r>
              <w:rPr>
                <w:rFonts w:hint="eastAsia"/>
                <w:color w:val="000000"/>
                <w:szCs w:val="21"/>
              </w:rPr>
              <w:t>价</w:t>
            </w:r>
            <w:r>
              <w:rPr>
                <w:color w:val="000000"/>
                <w:szCs w:val="21"/>
              </w:rPr>
              <w:t>计算</w:t>
            </w:r>
          </w:p>
        </w:tc>
        <w:tc>
          <w:tcPr>
            <w:tcW w:w="1368" w:type="dxa"/>
            <w:gridSpan w:val="2"/>
            <w:noWrap w:val="0"/>
            <w:vAlign w:val="center"/>
          </w:tcPr>
          <w:p>
            <w:pPr>
              <w:jc w:val="center"/>
              <w:rPr>
                <w:color w:val="000000"/>
              </w:rPr>
            </w:pPr>
          </w:p>
        </w:tc>
        <w:tc>
          <w:tcPr>
            <w:tcW w:w="1116" w:type="dxa"/>
            <w:gridSpan w:val="2"/>
            <w:noWrap w:val="0"/>
            <w:vAlign w:val="center"/>
          </w:tcPr>
          <w:p>
            <w:pPr>
              <w:jc w:val="center"/>
              <w:rPr>
                <w:color w:val="000000"/>
              </w:rPr>
            </w:pPr>
          </w:p>
        </w:tc>
        <w:tc>
          <w:tcPr>
            <w:tcW w:w="1272" w:type="dxa"/>
            <w:gridSpan w:val="2"/>
            <w:noWrap w:val="0"/>
            <w:vAlign w:val="center"/>
          </w:tcPr>
          <w:p>
            <w:pPr>
              <w:jc w:val="center"/>
              <w:rPr>
                <w:color w:val="000000"/>
              </w:rPr>
            </w:pPr>
          </w:p>
        </w:tc>
        <w:tc>
          <w:tcPr>
            <w:tcW w:w="1278" w:type="dxa"/>
            <w:gridSpan w:val="2"/>
            <w:noWrap w:val="0"/>
            <w:vAlign w:val="center"/>
          </w:tcPr>
          <w:p>
            <w:pPr>
              <w:jc w:val="center"/>
              <w:rPr>
                <w:color w:val="000000"/>
              </w:rPr>
            </w:pPr>
          </w:p>
        </w:tc>
        <w:tc>
          <w:tcPr>
            <w:tcW w:w="1290" w:type="dxa"/>
            <w:gridSpan w:val="2"/>
            <w:noWrap w:val="0"/>
            <w:vAlign w:val="center"/>
          </w:tcPr>
          <w:p>
            <w:pPr>
              <w:jc w:val="center"/>
              <w:rPr>
                <w:color w:val="000000"/>
              </w:rPr>
            </w:pPr>
          </w:p>
        </w:tc>
        <w:tc>
          <w:tcPr>
            <w:tcW w:w="1584" w:type="dxa"/>
            <w:noWrap w:val="0"/>
            <w:vAlign w:val="center"/>
          </w:tcPr>
          <w:p>
            <w:pPr>
              <w:jc w:val="center"/>
              <w:rPr>
                <w:color w:val="000000"/>
              </w:rPr>
            </w:pPr>
          </w:p>
        </w:tc>
        <w:tc>
          <w:tcPr>
            <w:tcW w:w="1524" w:type="dxa"/>
            <w:gridSpan w:val="2"/>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0" w:hRule="atLeast"/>
        </w:trPr>
        <w:tc>
          <w:tcPr>
            <w:tcW w:w="4617" w:type="dxa"/>
            <w:noWrap w:val="0"/>
            <w:vAlign w:val="center"/>
          </w:tcPr>
          <w:p>
            <w:pPr>
              <w:jc w:val="center"/>
              <w:rPr>
                <w:rFonts w:hint="eastAsia"/>
                <w:color w:val="000000"/>
                <w:szCs w:val="21"/>
              </w:rPr>
            </w:pPr>
            <w:r>
              <w:rPr>
                <w:rFonts w:hint="eastAsia"/>
                <w:color w:val="000000"/>
              </w:rPr>
              <w:t>评标基准价（</w:t>
            </w:r>
            <w:r>
              <w:rPr>
                <w:rFonts w:hint="eastAsia"/>
                <w:color w:val="000000"/>
                <w:szCs w:val="21"/>
              </w:rPr>
              <w:t>抽取</w:t>
            </w:r>
            <w:r>
              <w:rPr>
                <w:color w:val="000000"/>
                <w:szCs w:val="21"/>
              </w:rPr>
              <w:t>的</w:t>
            </w:r>
            <w:r>
              <w:rPr>
                <w:rFonts w:hint="eastAsia"/>
                <w:color w:val="000000"/>
                <w:szCs w:val="21"/>
              </w:rPr>
              <w:t>K值=</w:t>
            </w:r>
            <w:r>
              <w:rPr>
                <w:color w:val="000000"/>
                <w:szCs w:val="21"/>
              </w:rPr>
              <w:t xml:space="preserve">    </w:t>
            </w:r>
            <w:r>
              <w:rPr>
                <w:rFonts w:hint="eastAsia"/>
                <w:color w:val="000000"/>
                <w:szCs w:val="21"/>
              </w:rPr>
              <w:t>）</w:t>
            </w:r>
          </w:p>
        </w:tc>
        <w:tc>
          <w:tcPr>
            <w:tcW w:w="9432" w:type="dxa"/>
            <w:gridSpan w:val="13"/>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0" w:hRule="atLeast"/>
        </w:trPr>
        <w:tc>
          <w:tcPr>
            <w:tcW w:w="4617" w:type="dxa"/>
            <w:noWrap w:val="0"/>
            <w:vAlign w:val="center"/>
          </w:tcPr>
          <w:p>
            <w:pPr>
              <w:jc w:val="center"/>
              <w:rPr>
                <w:rFonts w:hint="eastAsia"/>
                <w:color w:val="000000"/>
                <w:szCs w:val="21"/>
              </w:rPr>
            </w:pPr>
            <w:r>
              <w:rPr>
                <w:rFonts w:hint="eastAsia"/>
                <w:color w:val="000000"/>
                <w:szCs w:val="21"/>
              </w:rPr>
              <w:t>投标人的投标总价得分</w:t>
            </w:r>
          </w:p>
        </w:tc>
        <w:tc>
          <w:tcPr>
            <w:tcW w:w="1368" w:type="dxa"/>
            <w:gridSpan w:val="2"/>
            <w:noWrap w:val="0"/>
            <w:vAlign w:val="center"/>
          </w:tcPr>
          <w:p>
            <w:pPr>
              <w:jc w:val="center"/>
              <w:rPr>
                <w:color w:val="000000"/>
              </w:rPr>
            </w:pPr>
          </w:p>
        </w:tc>
        <w:tc>
          <w:tcPr>
            <w:tcW w:w="1116" w:type="dxa"/>
            <w:gridSpan w:val="2"/>
            <w:noWrap w:val="0"/>
            <w:vAlign w:val="center"/>
          </w:tcPr>
          <w:p>
            <w:pPr>
              <w:jc w:val="center"/>
              <w:rPr>
                <w:color w:val="000000"/>
              </w:rPr>
            </w:pPr>
          </w:p>
        </w:tc>
        <w:tc>
          <w:tcPr>
            <w:tcW w:w="1272" w:type="dxa"/>
            <w:gridSpan w:val="2"/>
            <w:noWrap w:val="0"/>
            <w:vAlign w:val="center"/>
          </w:tcPr>
          <w:p>
            <w:pPr>
              <w:jc w:val="center"/>
              <w:rPr>
                <w:color w:val="000000"/>
              </w:rPr>
            </w:pPr>
          </w:p>
        </w:tc>
        <w:tc>
          <w:tcPr>
            <w:tcW w:w="1278" w:type="dxa"/>
            <w:gridSpan w:val="2"/>
            <w:noWrap w:val="0"/>
            <w:vAlign w:val="center"/>
          </w:tcPr>
          <w:p>
            <w:pPr>
              <w:jc w:val="center"/>
              <w:rPr>
                <w:color w:val="000000"/>
              </w:rPr>
            </w:pPr>
          </w:p>
        </w:tc>
        <w:tc>
          <w:tcPr>
            <w:tcW w:w="1290" w:type="dxa"/>
            <w:gridSpan w:val="2"/>
            <w:noWrap w:val="0"/>
            <w:vAlign w:val="center"/>
          </w:tcPr>
          <w:p>
            <w:pPr>
              <w:jc w:val="center"/>
              <w:rPr>
                <w:color w:val="000000"/>
              </w:rPr>
            </w:pPr>
          </w:p>
        </w:tc>
        <w:tc>
          <w:tcPr>
            <w:tcW w:w="1584" w:type="dxa"/>
            <w:noWrap w:val="0"/>
            <w:vAlign w:val="center"/>
          </w:tcPr>
          <w:p>
            <w:pPr>
              <w:jc w:val="center"/>
              <w:rPr>
                <w:color w:val="000000"/>
              </w:rPr>
            </w:pPr>
          </w:p>
        </w:tc>
        <w:tc>
          <w:tcPr>
            <w:tcW w:w="1524" w:type="dxa"/>
            <w:gridSpan w:val="2"/>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0" w:hRule="atLeast"/>
        </w:trPr>
        <w:tc>
          <w:tcPr>
            <w:tcW w:w="4617" w:type="dxa"/>
            <w:noWrap w:val="0"/>
            <w:vAlign w:val="center"/>
          </w:tcPr>
          <w:p>
            <w:pPr>
              <w:jc w:val="center"/>
              <w:rPr>
                <w:rFonts w:hint="eastAsia"/>
                <w:color w:val="000000"/>
              </w:rPr>
            </w:pPr>
            <w:r>
              <w:rPr>
                <w:rFonts w:hint="eastAsia"/>
                <w:color w:val="000000"/>
              </w:rPr>
              <w:t>报价分加权得分=</w:t>
            </w:r>
            <w:r>
              <w:rPr>
                <w:rFonts w:hint="eastAsia" w:ascii="宋体" w:hAnsi="宋体" w:cs="宋体"/>
                <w:bCs/>
                <w:color w:val="000000"/>
                <w:kern w:val="0"/>
                <w:szCs w:val="21"/>
              </w:rPr>
              <w:t>该投标人的投标总价得分（满分100分）</w:t>
            </w:r>
            <w:r>
              <w:rPr>
                <w:color w:val="000000"/>
              </w:rPr>
              <w:t>×</w:t>
            </w:r>
            <w:r>
              <w:rPr>
                <w:rFonts w:hint="eastAsia"/>
                <w:color w:val="000000"/>
              </w:rPr>
              <w:t>报价分分值权重</w:t>
            </w:r>
          </w:p>
        </w:tc>
        <w:tc>
          <w:tcPr>
            <w:tcW w:w="1347" w:type="dxa"/>
            <w:noWrap w:val="0"/>
            <w:vAlign w:val="center"/>
          </w:tcPr>
          <w:p>
            <w:pPr>
              <w:jc w:val="left"/>
              <w:rPr>
                <w:color w:val="000000"/>
              </w:rPr>
            </w:pPr>
          </w:p>
        </w:tc>
        <w:tc>
          <w:tcPr>
            <w:tcW w:w="1090" w:type="dxa"/>
            <w:gridSpan w:val="2"/>
            <w:noWrap w:val="0"/>
            <w:vAlign w:val="center"/>
          </w:tcPr>
          <w:p>
            <w:pPr>
              <w:jc w:val="left"/>
              <w:rPr>
                <w:color w:val="000000"/>
              </w:rPr>
            </w:pPr>
          </w:p>
        </w:tc>
        <w:tc>
          <w:tcPr>
            <w:tcW w:w="1276" w:type="dxa"/>
            <w:gridSpan w:val="2"/>
            <w:noWrap w:val="0"/>
            <w:vAlign w:val="center"/>
          </w:tcPr>
          <w:p>
            <w:pPr>
              <w:jc w:val="left"/>
              <w:rPr>
                <w:color w:val="000000"/>
              </w:rPr>
            </w:pPr>
          </w:p>
        </w:tc>
        <w:tc>
          <w:tcPr>
            <w:tcW w:w="1276" w:type="dxa"/>
            <w:gridSpan w:val="2"/>
            <w:noWrap w:val="0"/>
            <w:vAlign w:val="center"/>
          </w:tcPr>
          <w:p>
            <w:pPr>
              <w:jc w:val="left"/>
              <w:rPr>
                <w:color w:val="000000"/>
              </w:rPr>
            </w:pPr>
          </w:p>
        </w:tc>
        <w:tc>
          <w:tcPr>
            <w:tcW w:w="1275" w:type="dxa"/>
            <w:gridSpan w:val="2"/>
            <w:noWrap w:val="0"/>
            <w:vAlign w:val="center"/>
          </w:tcPr>
          <w:p>
            <w:pPr>
              <w:jc w:val="left"/>
              <w:rPr>
                <w:color w:val="000000"/>
              </w:rPr>
            </w:pPr>
          </w:p>
        </w:tc>
        <w:tc>
          <w:tcPr>
            <w:tcW w:w="1701" w:type="dxa"/>
            <w:gridSpan w:val="3"/>
            <w:noWrap w:val="0"/>
            <w:vAlign w:val="center"/>
          </w:tcPr>
          <w:p>
            <w:pPr>
              <w:jc w:val="left"/>
              <w:rPr>
                <w:color w:val="000000"/>
              </w:rPr>
            </w:pPr>
          </w:p>
        </w:tc>
        <w:tc>
          <w:tcPr>
            <w:tcW w:w="1467" w:type="dxa"/>
            <w:noWrap w:val="0"/>
            <w:vAlign w:val="center"/>
          </w:tcPr>
          <w:p>
            <w:pPr>
              <w:jc w:val="lef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0" w:hRule="atLeast"/>
        </w:trPr>
        <w:tc>
          <w:tcPr>
            <w:tcW w:w="14049" w:type="dxa"/>
            <w:gridSpan w:val="14"/>
            <w:noWrap w:val="0"/>
            <w:vAlign w:val="center"/>
          </w:tcPr>
          <w:p>
            <w:pPr>
              <w:jc w:val="left"/>
              <w:rPr>
                <w:color w:val="000000"/>
                <w:szCs w:val="21"/>
              </w:rPr>
            </w:pPr>
            <w:r>
              <w:rPr>
                <w:rFonts w:hint="eastAsia"/>
                <w:color w:val="000000"/>
                <w:szCs w:val="21"/>
              </w:rPr>
              <w:t>（1）投标人的投标总价得分：评分时有效投标报价与评标基准价一致的得基础分</w:t>
            </w:r>
            <w:r>
              <w:rPr>
                <w:color w:val="000000"/>
                <w:szCs w:val="21"/>
              </w:rPr>
              <w:t>8</w:t>
            </w:r>
            <w:r>
              <w:rPr>
                <w:rFonts w:hint="eastAsia"/>
                <w:color w:val="000000"/>
                <w:szCs w:val="21"/>
              </w:rPr>
              <w:t>0分，有效投标报价每高于评标基准价1％的扣</w:t>
            </w:r>
            <w:r>
              <w:rPr>
                <w:color w:val="000000"/>
                <w:szCs w:val="21"/>
              </w:rPr>
              <w:t>2</w:t>
            </w:r>
            <w:r>
              <w:rPr>
                <w:rFonts w:hint="eastAsia"/>
                <w:color w:val="000000"/>
                <w:szCs w:val="21"/>
              </w:rPr>
              <w:t>分，最多扣</w:t>
            </w:r>
            <w:r>
              <w:rPr>
                <w:color w:val="000000"/>
                <w:szCs w:val="21"/>
              </w:rPr>
              <w:t>2</w:t>
            </w:r>
            <w:r>
              <w:rPr>
                <w:rFonts w:hint="eastAsia"/>
                <w:color w:val="000000"/>
                <w:szCs w:val="21"/>
              </w:rPr>
              <w:t>0分；每低于评标基准价1％的在基础分基础上加</w:t>
            </w:r>
            <w:r>
              <w:rPr>
                <w:color w:val="000000"/>
                <w:szCs w:val="21"/>
              </w:rPr>
              <w:t>2</w:t>
            </w:r>
            <w:r>
              <w:rPr>
                <w:rFonts w:hint="eastAsia"/>
                <w:color w:val="000000"/>
                <w:szCs w:val="21"/>
              </w:rPr>
              <w:t>分，直至加到投标总价得分满分1</w:t>
            </w:r>
            <w:r>
              <w:rPr>
                <w:color w:val="000000"/>
                <w:szCs w:val="21"/>
              </w:rPr>
              <w:t>00</w:t>
            </w:r>
            <w:r>
              <w:rPr>
                <w:rFonts w:hint="eastAsia"/>
                <w:color w:val="000000"/>
                <w:szCs w:val="21"/>
              </w:rPr>
              <w:t>分为止。</w:t>
            </w:r>
          </w:p>
          <w:p>
            <w:pPr>
              <w:spacing w:line="440" w:lineRule="exact"/>
              <w:rPr>
                <w:color w:val="000000"/>
                <w:szCs w:val="21"/>
              </w:rPr>
            </w:pPr>
            <w:r>
              <w:rPr>
                <w:rFonts w:hint="eastAsia"/>
                <w:color w:val="000000"/>
                <w:szCs w:val="21"/>
              </w:rPr>
              <w:t>（2）报价分加权得分=该投标人的投标总价得分（满分100分）×报价分分值权重</w:t>
            </w:r>
            <w:r>
              <w:rPr>
                <w:color w:val="000000"/>
                <w:szCs w:val="21"/>
              </w:rPr>
              <w:t>。</w:t>
            </w:r>
          </w:p>
          <w:p>
            <w:pPr>
              <w:jc w:val="left"/>
              <w:rPr>
                <w:rFonts w:hint="eastAsia"/>
                <w:color w:val="000000"/>
              </w:rPr>
            </w:pPr>
            <w:r>
              <w:rPr>
                <w:rFonts w:hint="eastAsia" w:cs="宋体"/>
                <w:color w:val="000000"/>
              </w:rPr>
              <w:t>（3）商务标得分= 报价分加权得分 + 企业信誉实力加权得分</w:t>
            </w:r>
          </w:p>
        </w:tc>
      </w:tr>
    </w:tbl>
    <w:p>
      <w:pPr>
        <w:rPr>
          <w:rFonts w:eastAsia="楷体_GB2312"/>
          <w:color w:val="000000"/>
          <w:szCs w:val="21"/>
        </w:rPr>
      </w:pPr>
      <w:r>
        <w:rPr>
          <w:rFonts w:eastAsia="楷体_GB2312"/>
          <w:color w:val="000000"/>
          <w:szCs w:val="21"/>
        </w:rPr>
        <w:t>【</w:t>
      </w:r>
      <w:r>
        <w:rPr>
          <w:rFonts w:eastAsia="楷体_GB2312"/>
          <w:color w:val="000000"/>
        </w:rPr>
        <w:t>备注：</w:t>
      </w:r>
      <w:r>
        <w:rPr>
          <w:rFonts w:hint="eastAsia" w:eastAsia="楷体_GB2312"/>
          <w:color w:val="000000"/>
        </w:rPr>
        <w:t>1、</w:t>
      </w:r>
      <w:r>
        <w:rPr>
          <w:rFonts w:cs="宋体"/>
          <w:color w:val="000000"/>
          <w:szCs w:val="21"/>
        </w:rPr>
        <w:t>评标基准</w:t>
      </w:r>
      <w:r>
        <w:rPr>
          <w:rFonts w:hint="eastAsia" w:cs="宋体"/>
          <w:color w:val="000000"/>
          <w:szCs w:val="21"/>
        </w:rPr>
        <w:t>价</w:t>
      </w:r>
      <w:r>
        <w:rPr>
          <w:rFonts w:cs="宋体"/>
          <w:color w:val="000000"/>
          <w:szCs w:val="21"/>
        </w:rPr>
        <w:t>=K*（A1+A2+A3…+An）/n，An为在有效报价范围内且与所有有效报价平均值偏差率在±15%（含）以内的报价</w:t>
      </w:r>
      <w:r>
        <w:rPr>
          <w:rFonts w:hint="eastAsia" w:cs="宋体"/>
          <w:color w:val="000000"/>
          <w:szCs w:val="21"/>
        </w:rPr>
        <w:t>（</w:t>
      </w:r>
      <w:r>
        <w:rPr>
          <w:rFonts w:cs="宋体"/>
          <w:color w:val="000000"/>
          <w:szCs w:val="21"/>
        </w:rPr>
        <w:t>当所有报价均超过平均值偏差率±15%时，An为所有</w:t>
      </w:r>
      <w:r>
        <w:rPr>
          <w:rFonts w:hint="eastAsia" w:cs="宋体"/>
          <w:color w:val="000000"/>
          <w:szCs w:val="21"/>
        </w:rPr>
        <w:t>投标</w:t>
      </w:r>
      <w:r>
        <w:rPr>
          <w:rFonts w:cs="宋体"/>
          <w:color w:val="000000"/>
          <w:szCs w:val="21"/>
        </w:rPr>
        <w:t>报价</w:t>
      </w:r>
      <w:r>
        <w:rPr>
          <w:rFonts w:hint="eastAsia" w:cs="宋体"/>
          <w:color w:val="000000"/>
          <w:szCs w:val="21"/>
        </w:rPr>
        <w:t>）2、</w:t>
      </w:r>
      <w:r>
        <w:rPr>
          <w:rFonts w:eastAsia="楷体_GB2312"/>
          <w:color w:val="000000"/>
        </w:rPr>
        <w:t>本表可根据评分办法的需要进行调整】</w:t>
      </w:r>
    </w:p>
    <w:p>
      <w:pPr>
        <w:spacing w:line="360" w:lineRule="auto"/>
        <w:rPr>
          <w:color w:val="000000"/>
        </w:rPr>
      </w:pPr>
      <w:r>
        <w:rPr>
          <w:rFonts w:hint="eastAsia"/>
          <w:color w:val="000000"/>
        </w:rPr>
        <w:t>商务标全体评委</w:t>
      </w:r>
      <w:r>
        <w:rPr>
          <w:color w:val="000000"/>
        </w:rPr>
        <w:t xml:space="preserve">签名：   </w:t>
      </w:r>
    </w:p>
    <w:p>
      <w:pPr>
        <w:pStyle w:val="4"/>
        <w:spacing w:line="240" w:lineRule="auto"/>
        <w:rPr>
          <w:rFonts w:hint="eastAsia"/>
          <w:sz w:val="28"/>
          <w:szCs w:val="28"/>
        </w:rPr>
      </w:pPr>
      <w:bookmarkStart w:id="739" w:name="_Toc59203047"/>
      <w:r>
        <w:rPr>
          <w:rFonts w:hint="eastAsia"/>
          <w:sz w:val="28"/>
          <w:szCs w:val="28"/>
        </w:rPr>
        <w:t>附表</w:t>
      </w:r>
      <w:r>
        <w:rPr>
          <w:sz w:val="28"/>
          <w:szCs w:val="28"/>
        </w:rPr>
        <w:t>A-15</w:t>
      </w:r>
      <w:r>
        <w:rPr>
          <w:rFonts w:hint="eastAsia"/>
          <w:sz w:val="28"/>
          <w:szCs w:val="28"/>
        </w:rPr>
        <w:t>：施工企业信誉实力评分记录表</w:t>
      </w:r>
      <w:bookmarkEnd w:id="739"/>
    </w:p>
    <w:p>
      <w:pPr>
        <w:spacing w:line="440" w:lineRule="exact"/>
        <w:rPr>
          <w:rFonts w:hint="eastAsia" w:cs="宋体"/>
          <w:b/>
          <w:bCs/>
          <w:color w:val="000000"/>
        </w:rPr>
      </w:pPr>
    </w:p>
    <w:p>
      <w:pPr>
        <w:jc w:val="center"/>
        <w:rPr>
          <w:rFonts w:eastAsia="黑体"/>
          <w:color w:val="000000"/>
          <w:sz w:val="28"/>
          <w:szCs w:val="28"/>
        </w:rPr>
      </w:pPr>
      <w:r>
        <w:rPr>
          <w:rFonts w:hint="eastAsia" w:eastAsia="黑体" w:cs="黑体"/>
          <w:color w:val="000000"/>
          <w:sz w:val="28"/>
          <w:szCs w:val="28"/>
        </w:rPr>
        <w:t>施工企业信誉实力评分记录表（自治区本级房屋</w:t>
      </w:r>
      <w:r>
        <w:rPr>
          <w:rFonts w:eastAsia="黑体" w:cs="黑体"/>
          <w:color w:val="000000"/>
          <w:sz w:val="28"/>
          <w:szCs w:val="28"/>
        </w:rPr>
        <w:t>建筑及市政基础</w:t>
      </w:r>
      <w:r>
        <w:rPr>
          <w:rFonts w:hint="eastAsia" w:eastAsia="黑体" w:cs="黑体"/>
          <w:color w:val="000000"/>
          <w:sz w:val="28"/>
          <w:szCs w:val="28"/>
        </w:rPr>
        <w:t>设施设施工程</w:t>
      </w:r>
      <w:r>
        <w:rPr>
          <w:rFonts w:eastAsia="黑体" w:cs="黑体"/>
          <w:color w:val="000000"/>
          <w:sz w:val="28"/>
          <w:szCs w:val="28"/>
        </w:rPr>
        <w:t>招标时</w:t>
      </w:r>
      <w:r>
        <w:rPr>
          <w:rFonts w:hint="eastAsia" w:eastAsia="黑体" w:cs="黑体"/>
          <w:color w:val="000000"/>
          <w:sz w:val="28"/>
          <w:szCs w:val="28"/>
        </w:rPr>
        <w:t>）</w:t>
      </w:r>
    </w:p>
    <w:p>
      <w:pPr>
        <w:spacing w:after="72" w:afterLines="30" w:line="440" w:lineRule="exact"/>
        <w:rPr>
          <w:rFonts w:hint="eastAsia" w:cs="宋体"/>
          <w:color w:val="000000"/>
        </w:rPr>
      </w:pPr>
    </w:p>
    <w:p>
      <w:pPr>
        <w:spacing w:after="72" w:afterLines="30" w:line="440" w:lineRule="exact"/>
        <w:rPr>
          <w:rFonts w:hint="eastAsia" w:cs="宋体"/>
          <w:color w:val="000000"/>
        </w:rPr>
      </w:pPr>
    </w:p>
    <w:p>
      <w:pPr>
        <w:spacing w:after="72" w:afterLines="30" w:line="440" w:lineRule="exact"/>
        <w:rPr>
          <w:color w:val="000000"/>
        </w:rPr>
      </w:pPr>
      <w:r>
        <w:rPr>
          <w:rFonts w:hint="eastAsia" w:cs="宋体"/>
          <w:color w:val="000000"/>
        </w:rPr>
        <w:t>项目名称及项目招标编号：</w:t>
      </w:r>
      <w:r>
        <w:rPr>
          <w:color w:val="000000"/>
          <w:u w:val="single"/>
        </w:rPr>
        <w:t xml:space="preserve">                                           </w:t>
      </w:r>
      <w:r>
        <w:rPr>
          <w:rFonts w:hint="eastAsia" w:cs="宋体"/>
          <w:color w:val="000000"/>
        </w:rPr>
        <w:t>（项目名称）</w:t>
      </w:r>
      <w:r>
        <w:rPr>
          <w:color w:val="000000"/>
        </w:rPr>
        <w:t xml:space="preserve">                    </w:t>
      </w:r>
      <w:r>
        <w:rPr>
          <w:rFonts w:hint="eastAsia" w:cs="宋体"/>
          <w:color w:val="000000"/>
        </w:rPr>
        <w:t>时间：</w:t>
      </w:r>
      <w:r>
        <w:rPr>
          <w:color w:val="000000"/>
        </w:rPr>
        <w:t xml:space="preserve">      </w:t>
      </w: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r>
        <w:rPr>
          <w:rFonts w:hint="eastAsia"/>
          <w:color w:val="000000"/>
        </w:rPr>
        <w:t xml:space="preserve"> </w:t>
      </w:r>
    </w:p>
    <w:tbl>
      <w:tblPr>
        <w:tblStyle w:val="8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828" w:type="dxa"/>
            <w:vMerge w:val="restart"/>
            <w:noWrap w:val="0"/>
            <w:vAlign w:val="center"/>
          </w:tcPr>
          <w:p>
            <w:pPr>
              <w:jc w:val="center"/>
              <w:rPr>
                <w:color w:val="000000"/>
              </w:rPr>
            </w:pPr>
            <w:r>
              <w:rPr>
                <w:rFonts w:hint="eastAsia" w:cs="宋体"/>
                <w:color w:val="000000"/>
              </w:rPr>
              <w:t>序号</w:t>
            </w:r>
          </w:p>
        </w:tc>
        <w:tc>
          <w:tcPr>
            <w:tcW w:w="3032" w:type="dxa"/>
            <w:vMerge w:val="restart"/>
            <w:noWrap w:val="0"/>
            <w:vAlign w:val="center"/>
          </w:tcPr>
          <w:p>
            <w:pPr>
              <w:jc w:val="center"/>
              <w:rPr>
                <w:color w:val="000000"/>
              </w:rPr>
            </w:pPr>
            <w:r>
              <w:rPr>
                <w:rFonts w:hint="eastAsia" w:cs="宋体"/>
                <w:color w:val="000000"/>
              </w:rPr>
              <w:t>评分项目</w:t>
            </w:r>
          </w:p>
        </w:tc>
        <w:tc>
          <w:tcPr>
            <w:tcW w:w="1290" w:type="dxa"/>
            <w:vMerge w:val="restart"/>
            <w:noWrap w:val="0"/>
            <w:vAlign w:val="center"/>
          </w:tcPr>
          <w:p>
            <w:pPr>
              <w:jc w:val="center"/>
              <w:rPr>
                <w:color w:val="000000"/>
              </w:rPr>
            </w:pPr>
            <w:r>
              <w:rPr>
                <w:rFonts w:hint="eastAsia" w:cs="宋体"/>
                <w:color w:val="000000"/>
              </w:rPr>
              <w:t>企业诚信</w:t>
            </w:r>
            <w:r>
              <w:rPr>
                <w:rFonts w:cs="宋体"/>
                <w:color w:val="000000"/>
              </w:rPr>
              <w:t>综合</w:t>
            </w:r>
            <w:r>
              <w:rPr>
                <w:rFonts w:hint="eastAsia" w:cs="宋体"/>
                <w:color w:val="000000"/>
              </w:rPr>
              <w:t>评</w:t>
            </w:r>
            <w:r>
              <w:rPr>
                <w:rFonts w:cs="宋体"/>
                <w:color w:val="000000"/>
              </w:rPr>
              <w:t>价</w:t>
            </w:r>
            <w:r>
              <w:rPr>
                <w:rFonts w:hint="eastAsia" w:cs="宋体"/>
                <w:color w:val="000000"/>
              </w:rPr>
              <w:t>分</w:t>
            </w:r>
          </w:p>
        </w:tc>
        <w:tc>
          <w:tcPr>
            <w:tcW w:w="8898" w:type="dxa"/>
            <w:gridSpan w:val="7"/>
            <w:noWrap w:val="0"/>
            <w:vAlign w:val="center"/>
          </w:tcPr>
          <w:p>
            <w:pPr>
              <w:jc w:val="center"/>
              <w:rPr>
                <w:color w:val="000000"/>
              </w:rPr>
            </w:pPr>
            <w:r>
              <w:rPr>
                <w:rFonts w:hint="eastAsia" w:cs="宋体"/>
                <w:color w:val="000000"/>
              </w:rPr>
              <w:t>投标人名称（或代码）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828" w:type="dxa"/>
            <w:vMerge w:val="continue"/>
            <w:noWrap w:val="0"/>
            <w:vAlign w:val="center"/>
          </w:tcPr>
          <w:p>
            <w:pPr>
              <w:jc w:val="center"/>
              <w:rPr>
                <w:color w:val="000000"/>
              </w:rPr>
            </w:pPr>
          </w:p>
        </w:tc>
        <w:tc>
          <w:tcPr>
            <w:tcW w:w="3032" w:type="dxa"/>
            <w:vMerge w:val="continue"/>
            <w:noWrap w:val="0"/>
            <w:vAlign w:val="center"/>
          </w:tcPr>
          <w:p>
            <w:pPr>
              <w:jc w:val="center"/>
              <w:rPr>
                <w:color w:val="000000"/>
              </w:rPr>
            </w:pPr>
          </w:p>
        </w:tc>
        <w:tc>
          <w:tcPr>
            <w:tcW w:w="1290" w:type="dxa"/>
            <w:vMerge w:val="continue"/>
            <w:noWrap w:val="0"/>
            <w:vAlign w:val="center"/>
          </w:tcPr>
          <w:p>
            <w:pPr>
              <w:jc w:val="center"/>
              <w:rPr>
                <w:color w:val="000000"/>
              </w:rPr>
            </w:pPr>
          </w:p>
        </w:tc>
        <w:tc>
          <w:tcPr>
            <w:tcW w:w="1257"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3860" w:type="dxa"/>
            <w:gridSpan w:val="2"/>
            <w:noWrap w:val="0"/>
            <w:vAlign w:val="center"/>
          </w:tcPr>
          <w:p>
            <w:pPr>
              <w:jc w:val="center"/>
              <w:rPr>
                <w:rFonts w:ascii="宋体" w:hAnsi="宋体"/>
                <w:color w:val="000000"/>
              </w:rPr>
            </w:pPr>
            <w:r>
              <w:rPr>
                <w:rFonts w:hint="eastAsia" w:ascii="宋体" w:hAnsi="宋体"/>
                <w:color w:val="000000"/>
              </w:rPr>
              <w:t>区</w:t>
            </w:r>
            <w:r>
              <w:rPr>
                <w:rFonts w:ascii="宋体" w:hAnsi="宋体"/>
                <w:color w:val="000000"/>
              </w:rPr>
              <w:t>级</w:t>
            </w:r>
            <w:r>
              <w:rPr>
                <w:rFonts w:hint="eastAsia" w:ascii="宋体" w:hAnsi="宋体"/>
                <w:color w:val="000000"/>
              </w:rPr>
              <w:t>施工企业诚信综合评价得分（百分制）</w:t>
            </w:r>
          </w:p>
        </w:tc>
        <w:tc>
          <w:tcPr>
            <w:tcW w:w="1290" w:type="dxa"/>
            <w:noWrap w:val="0"/>
            <w:vAlign w:val="center"/>
          </w:tcPr>
          <w:p>
            <w:pPr>
              <w:jc w:val="center"/>
              <w:rPr>
                <w:color w:val="000000"/>
              </w:rPr>
            </w:pPr>
            <w:r>
              <w:rPr>
                <w:rFonts w:hint="eastAsia"/>
                <w:color w:val="000000"/>
              </w:rPr>
              <w:t>100</w:t>
            </w:r>
          </w:p>
        </w:tc>
        <w:tc>
          <w:tcPr>
            <w:tcW w:w="1257"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3860" w:type="dxa"/>
            <w:gridSpan w:val="2"/>
            <w:noWrap w:val="0"/>
            <w:vAlign w:val="center"/>
          </w:tcPr>
          <w:p>
            <w:pPr>
              <w:jc w:val="center"/>
              <w:rPr>
                <w:color w:val="000000"/>
              </w:rPr>
            </w:pPr>
            <w:r>
              <w:rPr>
                <w:rFonts w:hint="eastAsia" w:cs="宋体"/>
                <w:color w:val="000000"/>
              </w:rPr>
              <w:t>施工企业信誉实力加权得分（满分</w:t>
            </w:r>
            <w:r>
              <w:rPr>
                <w:color w:val="000000"/>
                <w:u w:val="single"/>
              </w:rPr>
              <w:t xml:space="preserve">    </w:t>
            </w:r>
            <w:r>
              <w:rPr>
                <w:rFonts w:hint="eastAsia" w:cs="宋体"/>
                <w:color w:val="000000"/>
              </w:rPr>
              <w:t>）</w:t>
            </w:r>
          </w:p>
        </w:tc>
        <w:tc>
          <w:tcPr>
            <w:tcW w:w="1290" w:type="dxa"/>
            <w:noWrap w:val="0"/>
            <w:vAlign w:val="center"/>
          </w:tcPr>
          <w:p>
            <w:pPr>
              <w:jc w:val="center"/>
              <w:rPr>
                <w:color w:val="000000"/>
              </w:rPr>
            </w:pPr>
          </w:p>
        </w:tc>
        <w:tc>
          <w:tcPr>
            <w:tcW w:w="1257"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3860" w:type="dxa"/>
            <w:gridSpan w:val="2"/>
            <w:noWrap w:val="0"/>
            <w:vAlign w:val="center"/>
          </w:tcPr>
          <w:p>
            <w:pPr>
              <w:jc w:val="center"/>
              <w:rPr>
                <w:rFonts w:hint="eastAsia" w:cs="宋体"/>
                <w:color w:val="000000"/>
              </w:rPr>
            </w:pPr>
            <w:r>
              <w:rPr>
                <w:rFonts w:hint="eastAsia" w:ascii="宋体" w:hAnsi="宋体" w:cs="宋体"/>
                <w:color w:val="000000"/>
              </w:rPr>
              <w:t>企业信誉实力分分值权重（</w:t>
            </w:r>
            <w:r>
              <w:rPr>
                <w:rFonts w:ascii="宋体" w:hAnsi="宋体" w:cs="宋体"/>
                <w:color w:val="000000"/>
                <w:u w:val="single"/>
              </w:rPr>
              <w:t xml:space="preserve">     </w:t>
            </w:r>
            <w:r>
              <w:rPr>
                <w:rFonts w:ascii="宋体" w:hAnsi="宋体" w:cs="宋体"/>
                <w:color w:val="000000"/>
              </w:rPr>
              <w:t>%</w:t>
            </w:r>
            <w:r>
              <w:rPr>
                <w:rFonts w:hint="eastAsia" w:ascii="宋体" w:hAnsi="宋体" w:cs="宋体"/>
                <w:color w:val="000000"/>
              </w:rPr>
              <w:t>）</w:t>
            </w:r>
          </w:p>
        </w:tc>
        <w:tc>
          <w:tcPr>
            <w:tcW w:w="10188" w:type="dxa"/>
            <w:gridSpan w:val="8"/>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048" w:type="dxa"/>
            <w:gridSpan w:val="10"/>
            <w:noWrap w:val="0"/>
            <w:vAlign w:val="center"/>
          </w:tcPr>
          <w:p>
            <w:pPr>
              <w:jc w:val="left"/>
              <w:rPr>
                <w:rFonts w:hint="eastAsia"/>
                <w:color w:val="000000"/>
              </w:rPr>
            </w:pPr>
            <w:r>
              <w:rPr>
                <w:rFonts w:hint="eastAsia" w:ascii="宋体" w:hAnsi="宋体" w:cs="宋体"/>
                <w:color w:val="000000"/>
              </w:rPr>
              <w:t>施工企业信誉实力加权得分=根据实时公布的</w:t>
            </w:r>
            <w:r>
              <w:rPr>
                <w:rFonts w:hint="eastAsia" w:ascii="宋体" w:hAnsi="宋体" w:cs="宋体"/>
                <w:b/>
                <w:color w:val="000000"/>
              </w:rPr>
              <w:t>区级</w:t>
            </w:r>
            <w:r>
              <w:rPr>
                <w:rFonts w:hint="eastAsia" w:ascii="宋体" w:hAnsi="宋体" w:cs="宋体"/>
                <w:color w:val="000000"/>
              </w:rPr>
              <w:t>诚信综合评价分（百分制）×企业信誉实力分分值权重（</w:t>
            </w:r>
            <w:r>
              <w:rPr>
                <w:rFonts w:ascii="宋体" w:hAnsi="宋体" w:cs="宋体"/>
                <w:color w:val="000000"/>
                <w:u w:val="single"/>
              </w:rPr>
              <w:t xml:space="preserve">    </w:t>
            </w:r>
            <w:r>
              <w:rPr>
                <w:rFonts w:ascii="宋体" w:hAnsi="宋体" w:cs="宋体"/>
                <w:color w:val="000000"/>
              </w:rPr>
              <w:t>%</w:t>
            </w:r>
            <w:r>
              <w:rPr>
                <w:rFonts w:hint="eastAsia" w:ascii="宋体" w:hAnsi="宋体" w:cs="宋体"/>
                <w:color w:val="000000"/>
              </w:rPr>
              <w:t>）</w:t>
            </w:r>
          </w:p>
        </w:tc>
      </w:tr>
    </w:tbl>
    <w:p>
      <w:pPr>
        <w:spacing w:line="440" w:lineRule="exact"/>
        <w:rPr>
          <w:rFonts w:cs="宋体"/>
          <w:color w:val="000000"/>
        </w:rPr>
      </w:pPr>
      <w:r>
        <w:rPr>
          <w:rFonts w:hint="eastAsia" w:cs="宋体"/>
          <w:color w:val="000000"/>
        </w:rPr>
        <w:t>商务标全体评委签名：</w:t>
      </w:r>
      <w:r>
        <w:rPr>
          <w:color w:val="000000"/>
        </w:rPr>
        <w:t xml:space="preserve">                                                     </w:t>
      </w:r>
      <w:r>
        <w:rPr>
          <w:rFonts w:hint="eastAsia" w:cs="宋体"/>
          <w:color w:val="000000"/>
        </w:rPr>
        <w:t>日期：</w:t>
      </w:r>
      <w:r>
        <w:rPr>
          <w:color w:val="000000"/>
        </w:rPr>
        <w:t xml:space="preserve">        </w:t>
      </w: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p>
    <w:p>
      <w:pPr>
        <w:spacing w:line="440" w:lineRule="exact"/>
        <w:rPr>
          <w:rFonts w:cs="宋体"/>
          <w:color w:val="000000"/>
        </w:rPr>
      </w:pPr>
    </w:p>
    <w:p>
      <w:pPr>
        <w:spacing w:line="440" w:lineRule="exact"/>
        <w:rPr>
          <w:rFonts w:cs="宋体"/>
          <w:color w:val="000000"/>
        </w:rPr>
      </w:pPr>
    </w:p>
    <w:p>
      <w:pPr>
        <w:spacing w:line="440" w:lineRule="exact"/>
        <w:rPr>
          <w:color w:val="000000"/>
        </w:rPr>
      </w:pPr>
    </w:p>
    <w:p>
      <w:pPr>
        <w:spacing w:line="440" w:lineRule="exact"/>
        <w:rPr>
          <w:color w:val="000000"/>
        </w:rPr>
      </w:pPr>
    </w:p>
    <w:p>
      <w:pPr>
        <w:spacing w:line="440" w:lineRule="exact"/>
        <w:rPr>
          <w:rFonts w:hint="eastAsia"/>
          <w:color w:val="000000"/>
        </w:rPr>
      </w:pPr>
    </w:p>
    <w:p>
      <w:pPr>
        <w:pStyle w:val="4"/>
        <w:spacing w:line="240" w:lineRule="auto"/>
        <w:rPr>
          <w:rFonts w:hint="eastAsia"/>
          <w:sz w:val="28"/>
          <w:szCs w:val="28"/>
        </w:rPr>
      </w:pPr>
      <w:bookmarkStart w:id="740" w:name="_Toc59203048"/>
      <w:r>
        <w:rPr>
          <w:rFonts w:hint="eastAsia"/>
          <w:sz w:val="28"/>
          <w:szCs w:val="28"/>
        </w:rPr>
        <w:t>附表</w:t>
      </w:r>
      <w:r>
        <w:rPr>
          <w:sz w:val="28"/>
          <w:szCs w:val="28"/>
        </w:rPr>
        <w:t>A-15</w:t>
      </w:r>
      <w:r>
        <w:rPr>
          <w:rFonts w:hint="eastAsia"/>
          <w:sz w:val="28"/>
          <w:szCs w:val="28"/>
        </w:rPr>
        <w:t>：施工企业信誉实力评分记录表</w:t>
      </w:r>
      <w:bookmarkEnd w:id="740"/>
    </w:p>
    <w:p>
      <w:pPr>
        <w:jc w:val="center"/>
        <w:rPr>
          <w:color w:val="000000"/>
        </w:rPr>
      </w:pPr>
    </w:p>
    <w:p>
      <w:pPr>
        <w:jc w:val="center"/>
        <w:rPr>
          <w:rFonts w:hint="eastAsia" w:eastAsia="黑体" w:cs="黑体"/>
          <w:color w:val="000000"/>
          <w:sz w:val="28"/>
          <w:szCs w:val="28"/>
        </w:rPr>
      </w:pPr>
      <w:r>
        <w:rPr>
          <w:rFonts w:hint="eastAsia" w:eastAsia="黑体" w:cs="黑体"/>
          <w:color w:val="000000"/>
          <w:sz w:val="28"/>
          <w:szCs w:val="28"/>
        </w:rPr>
        <w:t>施工企业信誉实力评分记录表（各</w:t>
      </w:r>
      <w:r>
        <w:rPr>
          <w:rFonts w:eastAsia="黑体" w:cs="黑体"/>
          <w:color w:val="000000"/>
          <w:sz w:val="28"/>
          <w:szCs w:val="28"/>
        </w:rPr>
        <w:t>设</w:t>
      </w:r>
      <w:r>
        <w:rPr>
          <w:rFonts w:hint="eastAsia" w:eastAsia="黑体" w:cs="黑体"/>
          <w:color w:val="000000"/>
          <w:sz w:val="28"/>
          <w:szCs w:val="28"/>
        </w:rPr>
        <w:t>区市房屋</w:t>
      </w:r>
      <w:r>
        <w:rPr>
          <w:rFonts w:eastAsia="黑体" w:cs="黑体"/>
          <w:color w:val="000000"/>
          <w:sz w:val="28"/>
          <w:szCs w:val="28"/>
        </w:rPr>
        <w:t>建筑及市政基础设施</w:t>
      </w:r>
      <w:r>
        <w:rPr>
          <w:rFonts w:hint="eastAsia" w:eastAsia="黑体" w:cs="黑体"/>
          <w:color w:val="000000"/>
          <w:sz w:val="28"/>
          <w:szCs w:val="28"/>
        </w:rPr>
        <w:t>工程</w:t>
      </w:r>
      <w:r>
        <w:rPr>
          <w:rFonts w:eastAsia="黑体" w:cs="黑体"/>
          <w:color w:val="000000"/>
          <w:sz w:val="28"/>
          <w:szCs w:val="28"/>
        </w:rPr>
        <w:t>招标时</w:t>
      </w:r>
      <w:r>
        <w:rPr>
          <w:rFonts w:hint="eastAsia" w:eastAsia="黑体" w:cs="黑体"/>
          <w:color w:val="000000"/>
          <w:sz w:val="28"/>
          <w:szCs w:val="28"/>
        </w:rPr>
        <w:t>）</w:t>
      </w:r>
    </w:p>
    <w:p>
      <w:pPr>
        <w:jc w:val="center"/>
        <w:rPr>
          <w:rFonts w:hint="eastAsia" w:eastAsia="黑体" w:cs="黑体"/>
          <w:color w:val="000000"/>
          <w:sz w:val="28"/>
          <w:szCs w:val="28"/>
        </w:rPr>
      </w:pPr>
    </w:p>
    <w:p>
      <w:pPr>
        <w:jc w:val="center"/>
        <w:rPr>
          <w:rFonts w:hint="eastAsia" w:eastAsia="黑体" w:cs="黑体"/>
          <w:color w:val="000000"/>
          <w:sz w:val="28"/>
          <w:szCs w:val="28"/>
        </w:rPr>
      </w:pPr>
    </w:p>
    <w:p>
      <w:pPr>
        <w:spacing w:after="72" w:afterLines="30" w:line="440" w:lineRule="exact"/>
        <w:rPr>
          <w:color w:val="000000"/>
        </w:rPr>
      </w:pPr>
      <w:r>
        <w:rPr>
          <w:rFonts w:hint="eastAsia" w:cs="宋体"/>
          <w:color w:val="000000"/>
        </w:rPr>
        <w:t>项目名称及项目招标编号：</w:t>
      </w:r>
      <w:r>
        <w:rPr>
          <w:color w:val="000000"/>
          <w:u w:val="single"/>
        </w:rPr>
        <w:t xml:space="preserve">                                           </w:t>
      </w:r>
      <w:r>
        <w:rPr>
          <w:rFonts w:hint="eastAsia" w:cs="宋体"/>
          <w:color w:val="000000"/>
        </w:rPr>
        <w:t>（项目名称）</w:t>
      </w:r>
      <w:r>
        <w:rPr>
          <w:color w:val="000000"/>
        </w:rPr>
        <w:t xml:space="preserve">                    </w:t>
      </w:r>
      <w:r>
        <w:rPr>
          <w:rFonts w:hint="eastAsia" w:cs="宋体"/>
          <w:color w:val="000000"/>
        </w:rPr>
        <w:t>时间：</w:t>
      </w:r>
      <w:r>
        <w:rPr>
          <w:color w:val="000000"/>
        </w:rPr>
        <w:t xml:space="preserve">      </w:t>
      </w: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p>
    <w:tbl>
      <w:tblPr>
        <w:tblStyle w:val="8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828" w:type="dxa"/>
            <w:vMerge w:val="restart"/>
            <w:noWrap w:val="0"/>
            <w:vAlign w:val="center"/>
          </w:tcPr>
          <w:p>
            <w:pPr>
              <w:jc w:val="center"/>
              <w:rPr>
                <w:color w:val="000000"/>
              </w:rPr>
            </w:pPr>
            <w:r>
              <w:rPr>
                <w:rFonts w:hint="eastAsia" w:cs="宋体"/>
                <w:color w:val="000000"/>
              </w:rPr>
              <w:t>序号</w:t>
            </w:r>
          </w:p>
        </w:tc>
        <w:tc>
          <w:tcPr>
            <w:tcW w:w="3032" w:type="dxa"/>
            <w:vMerge w:val="restart"/>
            <w:noWrap w:val="0"/>
            <w:vAlign w:val="center"/>
          </w:tcPr>
          <w:p>
            <w:pPr>
              <w:jc w:val="center"/>
              <w:rPr>
                <w:color w:val="000000"/>
              </w:rPr>
            </w:pPr>
            <w:r>
              <w:rPr>
                <w:rFonts w:hint="eastAsia" w:cs="宋体"/>
                <w:color w:val="000000"/>
              </w:rPr>
              <w:t>评分项目</w:t>
            </w:r>
          </w:p>
        </w:tc>
        <w:tc>
          <w:tcPr>
            <w:tcW w:w="1290" w:type="dxa"/>
            <w:vMerge w:val="restart"/>
            <w:noWrap w:val="0"/>
            <w:vAlign w:val="center"/>
          </w:tcPr>
          <w:p>
            <w:pPr>
              <w:jc w:val="center"/>
              <w:rPr>
                <w:color w:val="000000"/>
              </w:rPr>
            </w:pPr>
            <w:r>
              <w:rPr>
                <w:rFonts w:hint="eastAsia" w:cs="宋体"/>
                <w:color w:val="000000"/>
              </w:rPr>
              <w:t>企业诚信</w:t>
            </w:r>
            <w:r>
              <w:rPr>
                <w:rFonts w:cs="宋体"/>
                <w:color w:val="000000"/>
              </w:rPr>
              <w:t>综合</w:t>
            </w:r>
            <w:r>
              <w:rPr>
                <w:rFonts w:hint="eastAsia" w:cs="宋体"/>
                <w:color w:val="000000"/>
              </w:rPr>
              <w:t>评</w:t>
            </w:r>
            <w:r>
              <w:rPr>
                <w:rFonts w:cs="宋体"/>
                <w:color w:val="000000"/>
              </w:rPr>
              <w:t>价</w:t>
            </w:r>
            <w:r>
              <w:rPr>
                <w:rFonts w:hint="eastAsia" w:cs="宋体"/>
                <w:color w:val="000000"/>
              </w:rPr>
              <w:t>分</w:t>
            </w:r>
          </w:p>
        </w:tc>
        <w:tc>
          <w:tcPr>
            <w:tcW w:w="8898" w:type="dxa"/>
            <w:gridSpan w:val="7"/>
            <w:noWrap w:val="0"/>
            <w:vAlign w:val="center"/>
          </w:tcPr>
          <w:p>
            <w:pPr>
              <w:jc w:val="center"/>
              <w:rPr>
                <w:color w:val="000000"/>
              </w:rPr>
            </w:pPr>
            <w:r>
              <w:rPr>
                <w:rFonts w:hint="eastAsia" w:cs="宋体"/>
                <w:color w:val="000000"/>
              </w:rPr>
              <w:t>投标人名称（或代码）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828" w:type="dxa"/>
            <w:vMerge w:val="continue"/>
            <w:noWrap w:val="0"/>
            <w:vAlign w:val="center"/>
          </w:tcPr>
          <w:p>
            <w:pPr>
              <w:jc w:val="center"/>
              <w:rPr>
                <w:color w:val="000000"/>
              </w:rPr>
            </w:pPr>
          </w:p>
        </w:tc>
        <w:tc>
          <w:tcPr>
            <w:tcW w:w="3032" w:type="dxa"/>
            <w:vMerge w:val="continue"/>
            <w:noWrap w:val="0"/>
            <w:vAlign w:val="center"/>
          </w:tcPr>
          <w:p>
            <w:pPr>
              <w:jc w:val="center"/>
              <w:rPr>
                <w:color w:val="000000"/>
              </w:rPr>
            </w:pPr>
          </w:p>
        </w:tc>
        <w:tc>
          <w:tcPr>
            <w:tcW w:w="1290" w:type="dxa"/>
            <w:vMerge w:val="continue"/>
            <w:noWrap w:val="0"/>
            <w:vAlign w:val="center"/>
          </w:tcPr>
          <w:p>
            <w:pPr>
              <w:jc w:val="center"/>
              <w:rPr>
                <w:color w:val="000000"/>
              </w:rPr>
            </w:pPr>
          </w:p>
        </w:tc>
        <w:tc>
          <w:tcPr>
            <w:tcW w:w="1257"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567" w:hRule="atLeast"/>
        </w:trPr>
        <w:tc>
          <w:tcPr>
            <w:tcW w:w="3860" w:type="dxa"/>
            <w:gridSpan w:val="2"/>
            <w:noWrap w:val="0"/>
            <w:vAlign w:val="center"/>
          </w:tcPr>
          <w:p>
            <w:pPr>
              <w:jc w:val="center"/>
              <w:rPr>
                <w:rFonts w:hint="eastAsia" w:ascii="宋体" w:hAnsi="宋体"/>
                <w:color w:val="000000"/>
              </w:rPr>
            </w:pPr>
            <w:r>
              <w:rPr>
                <w:rFonts w:hint="eastAsia" w:ascii="宋体" w:hAnsi="宋体"/>
                <w:color w:val="000000"/>
              </w:rPr>
              <w:t>区级施工企业诚信综合评价得分（百分制）</w:t>
            </w:r>
          </w:p>
        </w:tc>
        <w:tc>
          <w:tcPr>
            <w:tcW w:w="1290" w:type="dxa"/>
            <w:noWrap w:val="0"/>
            <w:vAlign w:val="center"/>
          </w:tcPr>
          <w:p>
            <w:pPr>
              <w:jc w:val="center"/>
              <w:rPr>
                <w:rFonts w:hint="eastAsia"/>
                <w:color w:val="000000"/>
              </w:rPr>
            </w:pPr>
            <w:r>
              <w:rPr>
                <w:rFonts w:hint="eastAsia"/>
                <w:color w:val="000000"/>
              </w:rPr>
              <w:t>100</w:t>
            </w:r>
          </w:p>
        </w:tc>
        <w:tc>
          <w:tcPr>
            <w:tcW w:w="1257"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3860" w:type="dxa"/>
            <w:gridSpan w:val="2"/>
            <w:noWrap w:val="0"/>
            <w:vAlign w:val="center"/>
          </w:tcPr>
          <w:p>
            <w:pPr>
              <w:jc w:val="center"/>
              <w:rPr>
                <w:rFonts w:ascii="宋体" w:hAnsi="宋体"/>
                <w:color w:val="000000"/>
              </w:rPr>
            </w:pPr>
            <w:r>
              <w:rPr>
                <w:rFonts w:hint="eastAsia" w:ascii="宋体" w:hAnsi="宋体"/>
                <w:color w:val="000000"/>
              </w:rPr>
              <w:t>项目所在地设区市级施工企业诚信综合评价得分（百分制）</w:t>
            </w:r>
          </w:p>
        </w:tc>
        <w:tc>
          <w:tcPr>
            <w:tcW w:w="1290" w:type="dxa"/>
            <w:noWrap w:val="0"/>
            <w:vAlign w:val="center"/>
          </w:tcPr>
          <w:p>
            <w:pPr>
              <w:jc w:val="center"/>
              <w:rPr>
                <w:color w:val="000000"/>
              </w:rPr>
            </w:pPr>
            <w:r>
              <w:rPr>
                <w:rFonts w:hint="eastAsia"/>
                <w:color w:val="000000"/>
              </w:rPr>
              <w:t>100</w:t>
            </w:r>
          </w:p>
        </w:tc>
        <w:tc>
          <w:tcPr>
            <w:tcW w:w="1257"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3860" w:type="dxa"/>
            <w:gridSpan w:val="2"/>
            <w:noWrap w:val="0"/>
            <w:vAlign w:val="center"/>
          </w:tcPr>
          <w:p>
            <w:pPr>
              <w:jc w:val="center"/>
              <w:rPr>
                <w:color w:val="000000"/>
              </w:rPr>
            </w:pPr>
            <w:r>
              <w:rPr>
                <w:rFonts w:hint="eastAsia" w:cs="宋体"/>
                <w:color w:val="000000"/>
              </w:rPr>
              <w:t>施工企业信誉实力加权得分合计（满分</w:t>
            </w:r>
            <w:r>
              <w:rPr>
                <w:color w:val="000000"/>
                <w:u w:val="single"/>
              </w:rPr>
              <w:t xml:space="preserve">    </w:t>
            </w:r>
            <w:r>
              <w:rPr>
                <w:rFonts w:hint="eastAsia" w:cs="宋体"/>
                <w:color w:val="000000"/>
              </w:rPr>
              <w:t>）</w:t>
            </w:r>
          </w:p>
        </w:tc>
        <w:tc>
          <w:tcPr>
            <w:tcW w:w="1290" w:type="dxa"/>
            <w:noWrap w:val="0"/>
            <w:vAlign w:val="center"/>
          </w:tcPr>
          <w:p>
            <w:pPr>
              <w:jc w:val="center"/>
              <w:rPr>
                <w:color w:val="000000"/>
              </w:rPr>
            </w:pPr>
          </w:p>
        </w:tc>
        <w:tc>
          <w:tcPr>
            <w:tcW w:w="1257"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3860" w:type="dxa"/>
            <w:gridSpan w:val="2"/>
            <w:noWrap w:val="0"/>
            <w:vAlign w:val="center"/>
          </w:tcPr>
          <w:p>
            <w:pPr>
              <w:jc w:val="center"/>
              <w:rPr>
                <w:rFonts w:hint="eastAsia" w:cs="宋体"/>
                <w:color w:val="000000"/>
              </w:rPr>
            </w:pPr>
            <w:r>
              <w:rPr>
                <w:rFonts w:hint="eastAsia" w:cs="宋体"/>
                <w:color w:val="000000"/>
              </w:rPr>
              <w:t>企业信誉实力分分值权重</w:t>
            </w:r>
            <w:r>
              <w:rPr>
                <w:rFonts w:hint="eastAsia" w:ascii="宋体" w:hAnsi="宋体" w:cs="宋体"/>
                <w:color w:val="000000"/>
              </w:rPr>
              <w:t>（</w:t>
            </w:r>
            <w:r>
              <w:rPr>
                <w:rFonts w:ascii="宋体" w:hAnsi="宋体" w:cs="宋体"/>
                <w:color w:val="000000"/>
                <w:u w:val="single"/>
              </w:rPr>
              <w:t xml:space="preserve">    </w:t>
            </w:r>
            <w:r>
              <w:rPr>
                <w:rFonts w:ascii="宋体" w:hAnsi="宋体" w:cs="宋体"/>
                <w:color w:val="000000"/>
              </w:rPr>
              <w:t>%</w:t>
            </w:r>
            <w:r>
              <w:rPr>
                <w:rFonts w:hint="eastAsia" w:ascii="宋体" w:hAnsi="宋体" w:cs="宋体"/>
                <w:color w:val="000000"/>
              </w:rPr>
              <w:t>）</w:t>
            </w:r>
          </w:p>
        </w:tc>
        <w:tc>
          <w:tcPr>
            <w:tcW w:w="10188" w:type="dxa"/>
            <w:gridSpan w:val="8"/>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048" w:type="dxa"/>
            <w:gridSpan w:val="10"/>
            <w:noWrap w:val="0"/>
            <w:vAlign w:val="center"/>
          </w:tcPr>
          <w:p>
            <w:pPr>
              <w:jc w:val="left"/>
              <w:rPr>
                <w:color w:val="000000"/>
              </w:rPr>
            </w:pPr>
            <w:r>
              <w:rPr>
                <w:rFonts w:hint="eastAsia" w:ascii="宋体" w:hAnsi="宋体" w:cs="宋体"/>
                <w:color w:val="000000"/>
              </w:rPr>
              <w:t>施工企业信誉实力加权得分=根据实时公布的</w:t>
            </w:r>
            <w:r>
              <w:rPr>
                <w:rFonts w:hint="eastAsia" w:ascii="宋体" w:hAnsi="宋体" w:cs="宋体"/>
                <w:b/>
                <w:color w:val="000000"/>
              </w:rPr>
              <w:t>区级</w:t>
            </w:r>
            <w:r>
              <w:rPr>
                <w:rFonts w:hint="eastAsia" w:ascii="宋体" w:hAnsi="宋体" w:cs="宋体"/>
                <w:color w:val="000000"/>
              </w:rPr>
              <w:t>诚信综合评价分（百分制）×</w:t>
            </w:r>
            <w:r>
              <w:rPr>
                <w:rFonts w:hint="eastAsia" w:ascii="宋体" w:hAnsi="宋体" w:cs="宋体"/>
                <w:color w:val="000000"/>
                <w:u w:val="single"/>
              </w:rPr>
              <w:t xml:space="preserve"> </w:t>
            </w:r>
            <w:r>
              <w:rPr>
                <w:rFonts w:hint="eastAsia" w:ascii="宋体" w:hAnsi="宋体" w:cs="宋体"/>
                <w:color w:val="000000"/>
                <w:u w:val="thick"/>
              </w:rPr>
              <w:t xml:space="preserve">   %</w:t>
            </w:r>
            <w:r>
              <w:rPr>
                <w:rFonts w:hint="eastAsia" w:ascii="宋体" w:hAnsi="宋体" w:cs="宋体"/>
                <w:color w:val="000000"/>
              </w:rPr>
              <w:t>（取</w:t>
            </w:r>
            <w:r>
              <w:rPr>
                <w:rFonts w:ascii="宋体" w:hAnsi="宋体" w:cs="宋体"/>
                <w:color w:val="000000"/>
              </w:rPr>
              <w:t>5</w:t>
            </w:r>
            <w:r>
              <w:rPr>
                <w:rFonts w:hint="eastAsia" w:ascii="宋体" w:hAnsi="宋体" w:cs="宋体"/>
                <w:color w:val="000000"/>
              </w:rPr>
              <w:t>0%～100%）×企业信誉实力分分值权重+根据实时公布的项目所在地设区市级诚信综合评价分（百分制）×</w:t>
            </w:r>
            <w:r>
              <w:rPr>
                <w:rFonts w:hint="eastAsia" w:ascii="宋体" w:hAnsi="宋体" w:cs="宋体"/>
                <w:color w:val="000000"/>
                <w:u w:val="single"/>
              </w:rPr>
              <w:t xml:space="preserve"> </w:t>
            </w:r>
            <w:r>
              <w:rPr>
                <w:rFonts w:hint="eastAsia" w:ascii="宋体" w:hAnsi="宋体" w:cs="宋体"/>
                <w:color w:val="000000"/>
                <w:u w:val="thick"/>
              </w:rPr>
              <w:t xml:space="preserve">   %</w:t>
            </w:r>
            <w:r>
              <w:rPr>
                <w:rFonts w:hint="eastAsia" w:ascii="宋体" w:hAnsi="宋体" w:cs="宋体"/>
                <w:color w:val="000000"/>
              </w:rPr>
              <w:t>（取</w:t>
            </w:r>
            <w:r>
              <w:rPr>
                <w:rFonts w:ascii="宋体" w:hAnsi="宋体" w:cs="宋体"/>
                <w:color w:val="000000"/>
              </w:rPr>
              <w:t>5</w:t>
            </w:r>
            <w:r>
              <w:rPr>
                <w:rFonts w:hint="eastAsia" w:ascii="宋体" w:hAnsi="宋体" w:cs="宋体"/>
                <w:color w:val="000000"/>
              </w:rPr>
              <w:t>0%～0%）×企业信誉实力分分值权重（</w:t>
            </w:r>
            <w:r>
              <w:rPr>
                <w:rFonts w:ascii="宋体" w:hAnsi="宋体" w:cs="宋体"/>
                <w:color w:val="000000"/>
                <w:u w:val="single"/>
              </w:rPr>
              <w:t xml:space="preserve">    </w:t>
            </w:r>
            <w:r>
              <w:rPr>
                <w:rFonts w:ascii="宋体" w:hAnsi="宋体" w:cs="宋体"/>
                <w:color w:val="000000"/>
              </w:rPr>
              <w:t>%</w:t>
            </w:r>
            <w:r>
              <w:rPr>
                <w:rFonts w:hint="eastAsia" w:ascii="宋体" w:hAnsi="宋体" w:cs="宋体"/>
                <w:color w:val="000000"/>
              </w:rPr>
              <w:t>）</w:t>
            </w:r>
          </w:p>
        </w:tc>
      </w:tr>
    </w:tbl>
    <w:p>
      <w:pPr>
        <w:spacing w:line="440" w:lineRule="exact"/>
        <w:rPr>
          <w:rFonts w:cs="宋体"/>
          <w:color w:val="000000"/>
        </w:rPr>
      </w:pPr>
      <w:r>
        <w:rPr>
          <w:rFonts w:hint="eastAsia" w:cs="宋体"/>
          <w:color w:val="000000"/>
        </w:rPr>
        <w:t>商务标全体评委签名：</w:t>
      </w:r>
      <w:r>
        <w:rPr>
          <w:color w:val="000000"/>
        </w:rPr>
        <w:t xml:space="preserve">                                                     </w:t>
      </w:r>
      <w:r>
        <w:rPr>
          <w:rFonts w:hint="eastAsia" w:cs="宋体"/>
          <w:color w:val="000000"/>
        </w:rPr>
        <w:t>日期：</w:t>
      </w:r>
      <w:r>
        <w:rPr>
          <w:color w:val="000000"/>
        </w:rPr>
        <w:t xml:space="preserve">        </w:t>
      </w: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p>
    <w:p>
      <w:pPr>
        <w:spacing w:line="440" w:lineRule="exact"/>
        <w:rPr>
          <w:rFonts w:cs="宋体"/>
          <w:color w:val="000000"/>
        </w:rPr>
      </w:pPr>
    </w:p>
    <w:p>
      <w:pPr>
        <w:spacing w:line="440" w:lineRule="exact"/>
        <w:rPr>
          <w:color w:val="000000"/>
        </w:rPr>
      </w:pPr>
    </w:p>
    <w:p>
      <w:pPr>
        <w:spacing w:line="360" w:lineRule="auto"/>
        <w:rPr>
          <w:rFonts w:hint="eastAsia"/>
          <w:color w:val="000000"/>
        </w:rPr>
      </w:pPr>
    </w:p>
    <w:p>
      <w:pPr>
        <w:spacing w:line="360" w:lineRule="auto"/>
        <w:rPr>
          <w:color w:val="000000"/>
        </w:rPr>
      </w:pPr>
    </w:p>
    <w:p>
      <w:pPr>
        <w:spacing w:line="360" w:lineRule="auto"/>
        <w:rPr>
          <w:color w:val="000000"/>
        </w:rPr>
      </w:pPr>
    </w:p>
    <w:p>
      <w:pPr>
        <w:pStyle w:val="4"/>
        <w:spacing w:line="240" w:lineRule="auto"/>
        <w:rPr>
          <w:rFonts w:hint="eastAsia"/>
          <w:sz w:val="28"/>
          <w:szCs w:val="28"/>
        </w:rPr>
      </w:pPr>
      <w:bookmarkStart w:id="741" w:name="_Toc59203049"/>
      <w:r>
        <w:rPr>
          <w:rFonts w:hint="eastAsia"/>
          <w:sz w:val="28"/>
          <w:szCs w:val="28"/>
        </w:rPr>
        <w:t>附表</w:t>
      </w:r>
      <w:r>
        <w:rPr>
          <w:sz w:val="28"/>
          <w:szCs w:val="28"/>
        </w:rPr>
        <w:t>A-16</w:t>
      </w:r>
      <w:r>
        <w:rPr>
          <w:rFonts w:hint="eastAsia"/>
          <w:sz w:val="28"/>
          <w:szCs w:val="28"/>
        </w:rPr>
        <w:t>：企业信誉实力加权得分统计表</w:t>
      </w:r>
      <w:bookmarkEnd w:id="741"/>
    </w:p>
    <w:p>
      <w:pPr>
        <w:spacing w:line="440" w:lineRule="exact"/>
        <w:rPr>
          <w:rFonts w:hint="eastAsia" w:cs="宋体"/>
          <w:b/>
          <w:bCs/>
          <w:color w:val="000000"/>
        </w:rPr>
      </w:pPr>
    </w:p>
    <w:p>
      <w:pPr>
        <w:jc w:val="center"/>
        <w:rPr>
          <w:rFonts w:eastAsia="黑体"/>
          <w:color w:val="000000"/>
          <w:sz w:val="28"/>
          <w:szCs w:val="28"/>
        </w:rPr>
      </w:pPr>
      <w:r>
        <w:rPr>
          <w:rFonts w:hint="eastAsia" w:eastAsia="黑体" w:cs="黑体"/>
          <w:color w:val="000000"/>
          <w:sz w:val="28"/>
          <w:szCs w:val="28"/>
        </w:rPr>
        <w:t>企业信誉实力加权得分统计表</w:t>
      </w:r>
    </w:p>
    <w:p>
      <w:pPr>
        <w:spacing w:after="72" w:afterLines="30" w:line="440" w:lineRule="exact"/>
        <w:rPr>
          <w:rFonts w:hint="eastAsia" w:cs="宋体"/>
          <w:color w:val="000000"/>
        </w:rPr>
      </w:pPr>
    </w:p>
    <w:p>
      <w:pPr>
        <w:spacing w:after="72" w:afterLines="30" w:line="440" w:lineRule="exact"/>
        <w:rPr>
          <w:color w:val="000000"/>
        </w:rPr>
      </w:pPr>
      <w:r>
        <w:rPr>
          <w:rFonts w:hint="eastAsia" w:cs="宋体"/>
          <w:color w:val="000000"/>
        </w:rPr>
        <w:t>项目名称及项目招标编号：</w:t>
      </w:r>
      <w:r>
        <w:rPr>
          <w:color w:val="000000"/>
          <w:u w:val="single"/>
        </w:rPr>
        <w:t xml:space="preserve">                                           </w:t>
      </w:r>
      <w:r>
        <w:rPr>
          <w:rFonts w:hint="eastAsia" w:cs="宋体"/>
          <w:color w:val="000000"/>
        </w:rPr>
        <w:t>（项目名称）</w:t>
      </w:r>
      <w:r>
        <w:rPr>
          <w:color w:val="000000"/>
        </w:rPr>
        <w:t xml:space="preserve">                    </w:t>
      </w:r>
      <w:r>
        <w:rPr>
          <w:rFonts w:hint="eastAsia" w:cs="宋体"/>
          <w:color w:val="000000"/>
        </w:rPr>
        <w:t>时间：</w:t>
      </w:r>
      <w:r>
        <w:rPr>
          <w:color w:val="000000"/>
        </w:rPr>
        <w:t xml:space="preserve">      </w:t>
      </w: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r>
        <w:rPr>
          <w:rFonts w:hint="eastAsia"/>
          <w:color w:val="000000"/>
        </w:rPr>
        <w:t xml:space="preserve"> </w:t>
      </w:r>
    </w:p>
    <w:tbl>
      <w:tblPr>
        <w:tblStyle w:val="83"/>
        <w:tblW w:w="140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536"/>
        <w:gridCol w:w="1162"/>
        <w:gridCol w:w="1273"/>
        <w:gridCol w:w="1274"/>
        <w:gridCol w:w="1273"/>
        <w:gridCol w:w="1274"/>
        <w:gridCol w:w="1273"/>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709" w:type="dxa"/>
            <w:vMerge w:val="restart"/>
            <w:noWrap w:val="0"/>
            <w:vAlign w:val="center"/>
          </w:tcPr>
          <w:p>
            <w:pPr>
              <w:jc w:val="center"/>
              <w:rPr>
                <w:color w:val="000000"/>
              </w:rPr>
            </w:pPr>
            <w:r>
              <w:rPr>
                <w:rFonts w:hint="eastAsia" w:cs="宋体"/>
                <w:color w:val="000000"/>
              </w:rPr>
              <w:t>序号</w:t>
            </w:r>
          </w:p>
        </w:tc>
        <w:tc>
          <w:tcPr>
            <w:tcW w:w="4536" w:type="dxa"/>
            <w:vMerge w:val="restart"/>
            <w:noWrap w:val="0"/>
            <w:vAlign w:val="center"/>
          </w:tcPr>
          <w:p>
            <w:pPr>
              <w:jc w:val="center"/>
              <w:rPr>
                <w:rFonts w:hint="eastAsia"/>
                <w:color w:val="000000"/>
              </w:rPr>
            </w:pPr>
            <w:r>
              <w:rPr>
                <w:rFonts w:hint="eastAsia" w:cs="宋体"/>
                <w:color w:val="000000"/>
              </w:rPr>
              <w:t>评分项目</w:t>
            </w:r>
          </w:p>
        </w:tc>
        <w:tc>
          <w:tcPr>
            <w:tcW w:w="8803" w:type="dxa"/>
            <w:gridSpan w:val="7"/>
            <w:noWrap w:val="0"/>
            <w:vAlign w:val="center"/>
          </w:tcPr>
          <w:p>
            <w:pPr>
              <w:jc w:val="center"/>
              <w:rPr>
                <w:color w:val="000000"/>
              </w:rPr>
            </w:pPr>
            <w:r>
              <w:rPr>
                <w:rFonts w:hint="eastAsia" w:cs="宋体"/>
                <w:color w:val="000000"/>
              </w:rPr>
              <w:t>投标人名称（或代码）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709" w:type="dxa"/>
            <w:vMerge w:val="continue"/>
            <w:noWrap w:val="0"/>
            <w:vAlign w:val="center"/>
          </w:tcPr>
          <w:p>
            <w:pPr>
              <w:jc w:val="center"/>
              <w:rPr>
                <w:color w:val="000000"/>
              </w:rPr>
            </w:pPr>
          </w:p>
        </w:tc>
        <w:tc>
          <w:tcPr>
            <w:tcW w:w="4536" w:type="dxa"/>
            <w:vMerge w:val="continue"/>
            <w:noWrap w:val="0"/>
            <w:vAlign w:val="center"/>
          </w:tcPr>
          <w:p>
            <w:pPr>
              <w:jc w:val="center"/>
              <w:rPr>
                <w:color w:val="000000"/>
              </w:rPr>
            </w:pPr>
          </w:p>
        </w:tc>
        <w:tc>
          <w:tcPr>
            <w:tcW w:w="1162"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709" w:type="dxa"/>
            <w:noWrap w:val="0"/>
            <w:vAlign w:val="center"/>
          </w:tcPr>
          <w:p>
            <w:pPr>
              <w:jc w:val="center"/>
              <w:rPr>
                <w:color w:val="000000"/>
              </w:rPr>
            </w:pPr>
            <w:r>
              <w:rPr>
                <w:rFonts w:hint="eastAsia"/>
                <w:color w:val="000000"/>
              </w:rPr>
              <w:t>1</w:t>
            </w:r>
          </w:p>
        </w:tc>
        <w:tc>
          <w:tcPr>
            <w:tcW w:w="4536" w:type="dxa"/>
            <w:noWrap w:val="0"/>
            <w:vAlign w:val="center"/>
          </w:tcPr>
          <w:p>
            <w:pPr>
              <w:jc w:val="center"/>
              <w:rPr>
                <w:color w:val="000000"/>
              </w:rPr>
            </w:pPr>
            <w:r>
              <w:rPr>
                <w:rFonts w:hint="eastAsia"/>
                <w:color w:val="000000"/>
              </w:rPr>
              <w:t>施工企业信誉实力加权得分（满分    ）</w:t>
            </w:r>
          </w:p>
        </w:tc>
        <w:tc>
          <w:tcPr>
            <w:tcW w:w="1162"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709" w:type="dxa"/>
            <w:noWrap w:val="0"/>
            <w:vAlign w:val="center"/>
          </w:tcPr>
          <w:p>
            <w:pPr>
              <w:jc w:val="center"/>
              <w:rPr>
                <w:rFonts w:ascii="宋体" w:hAnsi="宋体"/>
                <w:color w:val="000000"/>
              </w:rPr>
            </w:pPr>
            <w:r>
              <w:rPr>
                <w:rFonts w:hint="eastAsia" w:ascii="宋体" w:hAnsi="宋体"/>
                <w:color w:val="000000"/>
              </w:rPr>
              <w:t>2</w:t>
            </w:r>
          </w:p>
        </w:tc>
        <w:tc>
          <w:tcPr>
            <w:tcW w:w="4536" w:type="dxa"/>
            <w:noWrap w:val="0"/>
            <w:vAlign w:val="center"/>
          </w:tcPr>
          <w:p>
            <w:pPr>
              <w:jc w:val="center"/>
              <w:rPr>
                <w:color w:val="000000"/>
              </w:rPr>
            </w:pPr>
            <w:r>
              <w:rPr>
                <w:rFonts w:hint="eastAsia" w:ascii="宋体" w:hAnsi="宋体"/>
                <w:color w:val="000000"/>
              </w:rPr>
              <w:t>设计获奖总得分（满分为100分）</w:t>
            </w:r>
          </w:p>
        </w:tc>
        <w:tc>
          <w:tcPr>
            <w:tcW w:w="1162"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709" w:type="dxa"/>
            <w:noWrap w:val="0"/>
            <w:vAlign w:val="center"/>
          </w:tcPr>
          <w:p>
            <w:pPr>
              <w:jc w:val="center"/>
              <w:rPr>
                <w:color w:val="000000"/>
              </w:rPr>
            </w:pPr>
            <w:r>
              <w:rPr>
                <w:rFonts w:hint="eastAsia"/>
                <w:color w:val="000000"/>
              </w:rPr>
              <w:t>3</w:t>
            </w:r>
          </w:p>
        </w:tc>
        <w:tc>
          <w:tcPr>
            <w:tcW w:w="4536" w:type="dxa"/>
            <w:noWrap w:val="0"/>
            <w:vAlign w:val="center"/>
          </w:tcPr>
          <w:p>
            <w:pPr>
              <w:jc w:val="center"/>
              <w:rPr>
                <w:color w:val="000000"/>
              </w:rPr>
            </w:pPr>
            <w:r>
              <w:rPr>
                <w:rFonts w:hint="eastAsia" w:cs="宋体"/>
                <w:color w:val="000000"/>
              </w:rPr>
              <w:t>设计企业信誉实力加权得分（满分）</w:t>
            </w:r>
          </w:p>
        </w:tc>
        <w:tc>
          <w:tcPr>
            <w:tcW w:w="1162"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709" w:type="dxa"/>
            <w:noWrap w:val="0"/>
            <w:vAlign w:val="center"/>
          </w:tcPr>
          <w:p>
            <w:pPr>
              <w:jc w:val="center"/>
              <w:rPr>
                <w:rFonts w:hint="eastAsia" w:cs="宋体"/>
                <w:color w:val="000000"/>
              </w:rPr>
            </w:pPr>
            <w:r>
              <w:rPr>
                <w:rFonts w:hint="eastAsia" w:cs="宋体"/>
                <w:color w:val="000000"/>
              </w:rPr>
              <w:t>4</w:t>
            </w:r>
          </w:p>
        </w:tc>
        <w:tc>
          <w:tcPr>
            <w:tcW w:w="4536" w:type="dxa"/>
            <w:noWrap w:val="0"/>
            <w:vAlign w:val="center"/>
          </w:tcPr>
          <w:p>
            <w:pPr>
              <w:jc w:val="center"/>
              <w:rPr>
                <w:color w:val="000000"/>
              </w:rPr>
            </w:pPr>
            <w:r>
              <w:rPr>
                <w:rFonts w:hint="eastAsia" w:ascii="宋体" w:hAnsi="宋体" w:cs="宋体"/>
                <w:color w:val="000000"/>
              </w:rPr>
              <w:t>企业信誉实力分分值权重（</w:t>
            </w:r>
            <w:r>
              <w:rPr>
                <w:rFonts w:ascii="宋体" w:hAnsi="宋体" w:cs="宋体"/>
                <w:color w:val="000000"/>
                <w:u w:val="single"/>
              </w:rPr>
              <w:t xml:space="preserve">     </w:t>
            </w:r>
            <w:r>
              <w:rPr>
                <w:rFonts w:ascii="宋体" w:hAnsi="宋体" w:cs="宋体"/>
                <w:color w:val="000000"/>
              </w:rPr>
              <w:t>%</w:t>
            </w:r>
            <w:r>
              <w:rPr>
                <w:rFonts w:hint="eastAsia" w:ascii="宋体" w:hAnsi="宋体" w:cs="宋体"/>
                <w:color w:val="000000"/>
              </w:rPr>
              <w:t>）</w:t>
            </w:r>
          </w:p>
        </w:tc>
        <w:tc>
          <w:tcPr>
            <w:tcW w:w="8803" w:type="dxa"/>
            <w:gridSpan w:val="7"/>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709" w:type="dxa"/>
            <w:noWrap w:val="0"/>
            <w:vAlign w:val="center"/>
          </w:tcPr>
          <w:p>
            <w:pPr>
              <w:jc w:val="center"/>
              <w:rPr>
                <w:rFonts w:hint="eastAsia" w:ascii="宋体" w:hAnsi="宋体" w:cs="宋体"/>
                <w:color w:val="000000"/>
              </w:rPr>
            </w:pPr>
            <w:r>
              <w:rPr>
                <w:rFonts w:hint="eastAsia" w:ascii="宋体" w:hAnsi="宋体" w:cs="宋体"/>
                <w:color w:val="000000"/>
              </w:rPr>
              <w:t>5</w:t>
            </w:r>
          </w:p>
        </w:tc>
        <w:tc>
          <w:tcPr>
            <w:tcW w:w="4536" w:type="dxa"/>
            <w:noWrap w:val="0"/>
            <w:vAlign w:val="center"/>
          </w:tcPr>
          <w:p>
            <w:pPr>
              <w:jc w:val="center"/>
              <w:rPr>
                <w:color w:val="000000"/>
              </w:rPr>
            </w:pPr>
            <w:r>
              <w:rPr>
                <w:rFonts w:hint="eastAsia" w:ascii="宋体" w:hAnsi="宋体" w:cs="宋体"/>
                <w:color w:val="000000"/>
              </w:rPr>
              <w:t>企业信誉实力加权得分</w:t>
            </w:r>
          </w:p>
        </w:tc>
        <w:tc>
          <w:tcPr>
            <w:tcW w:w="1162"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c>
          <w:tcPr>
            <w:tcW w:w="1273" w:type="dxa"/>
            <w:noWrap w:val="0"/>
            <w:vAlign w:val="center"/>
          </w:tcPr>
          <w:p>
            <w:pPr>
              <w:jc w:val="center"/>
              <w:rPr>
                <w:color w:val="000000"/>
              </w:rPr>
            </w:pPr>
          </w:p>
        </w:tc>
        <w:tc>
          <w:tcPr>
            <w:tcW w:w="127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048" w:type="dxa"/>
            <w:gridSpan w:val="9"/>
            <w:noWrap w:val="0"/>
            <w:vAlign w:val="center"/>
          </w:tcPr>
          <w:p>
            <w:pPr>
              <w:jc w:val="left"/>
              <w:rPr>
                <w:rFonts w:ascii="宋体" w:hAnsi="宋体" w:cs="宋体"/>
                <w:color w:val="000000"/>
              </w:rPr>
            </w:pPr>
            <w:r>
              <w:rPr>
                <w:rFonts w:hint="eastAsia" w:ascii="宋体" w:hAnsi="宋体" w:cs="宋体"/>
                <w:color w:val="000000"/>
              </w:rPr>
              <w:t>设计企业信誉实力加权得分=设计获奖总得分（满分为100分）×企业信誉实力分分值权重</w:t>
            </w:r>
          </w:p>
          <w:p>
            <w:pPr>
              <w:jc w:val="left"/>
              <w:rPr>
                <w:rFonts w:hint="eastAsia" w:ascii="宋体" w:hAnsi="宋体" w:cs="宋体"/>
                <w:color w:val="000000"/>
              </w:rPr>
            </w:pPr>
            <w:r>
              <w:rPr>
                <w:rFonts w:hint="eastAsia" w:ascii="宋体" w:hAnsi="宋体" w:cs="宋体"/>
                <w:color w:val="000000"/>
              </w:rPr>
              <w:t>□企业信誉实力加权得分=80%×施工企业信誉实力加权得分+20%×设计企业信誉实力加权得分(由招标人勾选)</w:t>
            </w:r>
          </w:p>
          <w:p>
            <w:pPr>
              <w:jc w:val="left"/>
              <w:rPr>
                <w:rFonts w:hint="eastAsia"/>
                <w:color w:val="000000"/>
              </w:rPr>
            </w:pPr>
            <w:r>
              <w:rPr>
                <w:rFonts w:hint="eastAsia" w:ascii="宋体" w:hAnsi="宋体" w:cs="宋体"/>
                <w:color w:val="000000"/>
              </w:rPr>
              <w:t>□企业信誉实力加权得分=70%×施工企业信誉实力加权得分+30%×设计企业信誉实力加权得分(由招标人勾选)</w:t>
            </w:r>
          </w:p>
        </w:tc>
      </w:tr>
    </w:tbl>
    <w:p>
      <w:pPr>
        <w:spacing w:line="440" w:lineRule="exact"/>
        <w:rPr>
          <w:rFonts w:cs="宋体"/>
          <w:color w:val="000000"/>
        </w:rPr>
      </w:pPr>
      <w:r>
        <w:rPr>
          <w:rFonts w:hint="eastAsia" w:cs="宋体"/>
          <w:color w:val="000000"/>
        </w:rPr>
        <w:t>商务标全体评委签名：</w:t>
      </w:r>
      <w:r>
        <w:rPr>
          <w:color w:val="000000"/>
        </w:rPr>
        <w:t xml:space="preserve">                                                     </w:t>
      </w:r>
      <w:r>
        <w:rPr>
          <w:rFonts w:hint="eastAsia" w:cs="宋体"/>
          <w:color w:val="000000"/>
        </w:rPr>
        <w:t>日期：</w:t>
      </w:r>
      <w:r>
        <w:rPr>
          <w:color w:val="000000"/>
        </w:rPr>
        <w:t xml:space="preserve">        </w:t>
      </w: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p>
    <w:p>
      <w:pPr>
        <w:spacing w:line="360" w:lineRule="auto"/>
        <w:rPr>
          <w:color w:val="000000"/>
        </w:rPr>
      </w:pPr>
    </w:p>
    <w:p>
      <w:pPr>
        <w:spacing w:line="360" w:lineRule="auto"/>
        <w:rPr>
          <w:rFonts w:hint="eastAsia"/>
          <w:color w:val="000000"/>
        </w:rPr>
        <w:sectPr>
          <w:type w:val="continuous"/>
          <w:pgSz w:w="16840" w:h="11907" w:orient="landscape"/>
          <w:pgMar w:top="1440" w:right="1440" w:bottom="1440" w:left="1797" w:header="851" w:footer="851" w:gutter="0"/>
          <w:cols w:space="720" w:num="1"/>
          <w:docGrid w:linePitch="312" w:charSpace="0"/>
        </w:sectPr>
      </w:pPr>
    </w:p>
    <w:p>
      <w:pPr>
        <w:pStyle w:val="4"/>
        <w:spacing w:line="240" w:lineRule="auto"/>
        <w:rPr>
          <w:sz w:val="28"/>
          <w:szCs w:val="28"/>
        </w:rPr>
      </w:pPr>
      <w:bookmarkStart w:id="742" w:name="_Toc59203050"/>
      <w:r>
        <w:rPr>
          <w:sz w:val="28"/>
          <w:szCs w:val="28"/>
        </w:rPr>
        <w:t>附表A-</w:t>
      </w:r>
      <w:r>
        <w:rPr>
          <w:rFonts w:hint="eastAsia"/>
          <w:sz w:val="28"/>
          <w:szCs w:val="28"/>
        </w:rPr>
        <w:t>1</w:t>
      </w:r>
      <w:r>
        <w:rPr>
          <w:sz w:val="28"/>
          <w:szCs w:val="28"/>
        </w:rPr>
        <w:t>7：</w:t>
      </w:r>
      <w:r>
        <w:rPr>
          <w:rFonts w:hint="eastAsia"/>
          <w:sz w:val="28"/>
          <w:szCs w:val="28"/>
        </w:rPr>
        <w:t>商务部分</w:t>
      </w:r>
      <w:r>
        <w:rPr>
          <w:sz w:val="28"/>
          <w:szCs w:val="28"/>
        </w:rPr>
        <w:t>评分记录表</w:t>
      </w:r>
      <w:bookmarkEnd w:id="742"/>
    </w:p>
    <w:p>
      <w:pPr>
        <w:jc w:val="center"/>
        <w:rPr>
          <w:b/>
          <w:color w:val="000000"/>
          <w:sz w:val="28"/>
          <w:szCs w:val="28"/>
        </w:rPr>
      </w:pPr>
      <w:r>
        <w:rPr>
          <w:rFonts w:hint="eastAsia"/>
          <w:b/>
          <w:color w:val="000000"/>
          <w:sz w:val="28"/>
          <w:szCs w:val="28"/>
        </w:rPr>
        <w:t>商务标</w:t>
      </w:r>
      <w:r>
        <w:rPr>
          <w:b/>
          <w:color w:val="000000"/>
          <w:sz w:val="28"/>
          <w:szCs w:val="28"/>
        </w:rPr>
        <w:t>评分记录表</w:t>
      </w:r>
    </w:p>
    <w:p>
      <w:pPr>
        <w:spacing w:after="72" w:afterLines="30" w:line="440" w:lineRule="exact"/>
        <w:rPr>
          <w:color w:val="000000"/>
        </w:rPr>
      </w:pPr>
      <w:r>
        <w:rPr>
          <w:color w:val="000000"/>
        </w:rPr>
        <w:t>工程名称</w:t>
      </w:r>
      <w:r>
        <w:rPr>
          <w:rFonts w:hint="eastAsia"/>
          <w:color w:val="000000"/>
        </w:rPr>
        <w:t>及项目招标编号</w:t>
      </w:r>
      <w:r>
        <w:rPr>
          <w:color w:val="000000"/>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color w:val="000000"/>
        </w:rPr>
        <w:t xml:space="preserve">         时间：      年      月      日</w:t>
      </w:r>
    </w:p>
    <w:tbl>
      <w:tblPr>
        <w:tblStyle w:val="83"/>
        <w:tblW w:w="14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7"/>
        <w:gridCol w:w="1368"/>
        <w:gridCol w:w="1116"/>
        <w:gridCol w:w="1272"/>
        <w:gridCol w:w="1278"/>
        <w:gridCol w:w="1290"/>
        <w:gridCol w:w="1584"/>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45" w:hRule="atLeast"/>
        </w:trPr>
        <w:tc>
          <w:tcPr>
            <w:tcW w:w="4617" w:type="dxa"/>
            <w:vMerge w:val="restart"/>
            <w:noWrap w:val="0"/>
            <w:vAlign w:val="center"/>
          </w:tcPr>
          <w:p>
            <w:pPr>
              <w:jc w:val="center"/>
              <w:rPr>
                <w:color w:val="000000"/>
              </w:rPr>
            </w:pPr>
            <w:r>
              <w:rPr>
                <w:color w:val="000000"/>
              </w:rPr>
              <w:t>项目</w:t>
            </w:r>
          </w:p>
        </w:tc>
        <w:tc>
          <w:tcPr>
            <w:tcW w:w="9432" w:type="dxa"/>
            <w:gridSpan w:val="7"/>
            <w:noWrap w:val="0"/>
            <w:vAlign w:val="center"/>
          </w:tcPr>
          <w:p>
            <w:pPr>
              <w:jc w:val="center"/>
              <w:rPr>
                <w:color w:val="000000"/>
              </w:rPr>
            </w:pPr>
            <w:r>
              <w:rPr>
                <w:color w:val="000000"/>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35" w:hRule="atLeast"/>
        </w:trPr>
        <w:tc>
          <w:tcPr>
            <w:tcW w:w="4617" w:type="dxa"/>
            <w:vMerge w:val="continue"/>
            <w:noWrap w:val="0"/>
            <w:vAlign w:val="center"/>
          </w:tcPr>
          <w:p>
            <w:pPr>
              <w:jc w:val="center"/>
              <w:rPr>
                <w:color w:val="000000"/>
              </w:rPr>
            </w:pPr>
          </w:p>
        </w:tc>
        <w:tc>
          <w:tcPr>
            <w:tcW w:w="1368" w:type="dxa"/>
            <w:noWrap w:val="0"/>
            <w:vAlign w:val="center"/>
          </w:tcPr>
          <w:p>
            <w:pPr>
              <w:jc w:val="center"/>
              <w:rPr>
                <w:color w:val="000000"/>
              </w:rPr>
            </w:pPr>
          </w:p>
        </w:tc>
        <w:tc>
          <w:tcPr>
            <w:tcW w:w="1116" w:type="dxa"/>
            <w:noWrap w:val="0"/>
            <w:vAlign w:val="center"/>
          </w:tcPr>
          <w:p>
            <w:pPr>
              <w:jc w:val="center"/>
              <w:rPr>
                <w:color w:val="000000"/>
              </w:rPr>
            </w:pPr>
          </w:p>
        </w:tc>
        <w:tc>
          <w:tcPr>
            <w:tcW w:w="1272" w:type="dxa"/>
            <w:noWrap w:val="0"/>
            <w:vAlign w:val="center"/>
          </w:tcPr>
          <w:p>
            <w:pPr>
              <w:jc w:val="center"/>
              <w:rPr>
                <w:color w:val="000000"/>
              </w:rPr>
            </w:pPr>
          </w:p>
        </w:tc>
        <w:tc>
          <w:tcPr>
            <w:tcW w:w="1278" w:type="dxa"/>
            <w:noWrap w:val="0"/>
            <w:vAlign w:val="center"/>
          </w:tcPr>
          <w:p>
            <w:pPr>
              <w:jc w:val="center"/>
              <w:rPr>
                <w:color w:val="000000"/>
              </w:rPr>
            </w:pPr>
          </w:p>
        </w:tc>
        <w:tc>
          <w:tcPr>
            <w:tcW w:w="1290" w:type="dxa"/>
            <w:noWrap w:val="0"/>
            <w:vAlign w:val="center"/>
          </w:tcPr>
          <w:p>
            <w:pPr>
              <w:jc w:val="center"/>
              <w:rPr>
                <w:color w:val="000000"/>
              </w:rPr>
            </w:pPr>
          </w:p>
        </w:tc>
        <w:tc>
          <w:tcPr>
            <w:tcW w:w="1584" w:type="dxa"/>
            <w:noWrap w:val="0"/>
            <w:vAlign w:val="center"/>
          </w:tcPr>
          <w:p>
            <w:pPr>
              <w:jc w:val="center"/>
              <w:rPr>
                <w:color w:val="000000"/>
              </w:rPr>
            </w:pPr>
          </w:p>
        </w:tc>
        <w:tc>
          <w:tcPr>
            <w:tcW w:w="152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0" w:hRule="atLeast"/>
        </w:trPr>
        <w:tc>
          <w:tcPr>
            <w:tcW w:w="4617" w:type="dxa"/>
            <w:noWrap w:val="0"/>
            <w:vAlign w:val="center"/>
          </w:tcPr>
          <w:p>
            <w:pPr>
              <w:jc w:val="center"/>
              <w:rPr>
                <w:color w:val="000000"/>
              </w:rPr>
            </w:pPr>
            <w:r>
              <w:rPr>
                <w:rFonts w:hint="eastAsia"/>
                <w:color w:val="000000"/>
              </w:rPr>
              <w:t>报价分加权得分</w:t>
            </w:r>
          </w:p>
        </w:tc>
        <w:tc>
          <w:tcPr>
            <w:tcW w:w="1368" w:type="dxa"/>
            <w:noWrap w:val="0"/>
            <w:vAlign w:val="center"/>
          </w:tcPr>
          <w:p>
            <w:pPr>
              <w:jc w:val="center"/>
              <w:rPr>
                <w:color w:val="000000"/>
              </w:rPr>
            </w:pPr>
          </w:p>
        </w:tc>
        <w:tc>
          <w:tcPr>
            <w:tcW w:w="1116" w:type="dxa"/>
            <w:noWrap w:val="0"/>
            <w:vAlign w:val="center"/>
          </w:tcPr>
          <w:p>
            <w:pPr>
              <w:jc w:val="center"/>
              <w:rPr>
                <w:color w:val="000000"/>
              </w:rPr>
            </w:pPr>
          </w:p>
        </w:tc>
        <w:tc>
          <w:tcPr>
            <w:tcW w:w="1272" w:type="dxa"/>
            <w:noWrap w:val="0"/>
            <w:vAlign w:val="center"/>
          </w:tcPr>
          <w:p>
            <w:pPr>
              <w:jc w:val="center"/>
              <w:rPr>
                <w:color w:val="000000"/>
              </w:rPr>
            </w:pPr>
          </w:p>
        </w:tc>
        <w:tc>
          <w:tcPr>
            <w:tcW w:w="1278" w:type="dxa"/>
            <w:noWrap w:val="0"/>
            <w:vAlign w:val="center"/>
          </w:tcPr>
          <w:p>
            <w:pPr>
              <w:jc w:val="center"/>
              <w:rPr>
                <w:color w:val="000000"/>
              </w:rPr>
            </w:pPr>
          </w:p>
        </w:tc>
        <w:tc>
          <w:tcPr>
            <w:tcW w:w="1290" w:type="dxa"/>
            <w:noWrap w:val="0"/>
            <w:vAlign w:val="center"/>
          </w:tcPr>
          <w:p>
            <w:pPr>
              <w:jc w:val="center"/>
              <w:rPr>
                <w:color w:val="000000"/>
              </w:rPr>
            </w:pPr>
          </w:p>
        </w:tc>
        <w:tc>
          <w:tcPr>
            <w:tcW w:w="1584" w:type="dxa"/>
            <w:noWrap w:val="0"/>
            <w:vAlign w:val="center"/>
          </w:tcPr>
          <w:p>
            <w:pPr>
              <w:jc w:val="center"/>
              <w:rPr>
                <w:color w:val="000000"/>
              </w:rPr>
            </w:pPr>
          </w:p>
        </w:tc>
        <w:tc>
          <w:tcPr>
            <w:tcW w:w="152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0" w:hRule="atLeast"/>
        </w:trPr>
        <w:tc>
          <w:tcPr>
            <w:tcW w:w="4617" w:type="dxa"/>
            <w:noWrap w:val="0"/>
            <w:vAlign w:val="center"/>
          </w:tcPr>
          <w:p>
            <w:pPr>
              <w:jc w:val="center"/>
              <w:rPr>
                <w:color w:val="000000"/>
              </w:rPr>
            </w:pPr>
            <w:r>
              <w:rPr>
                <w:rFonts w:hint="eastAsia"/>
                <w:color w:val="000000"/>
                <w:szCs w:val="21"/>
              </w:rPr>
              <w:t>企业信誉实力加权得分</w:t>
            </w:r>
          </w:p>
        </w:tc>
        <w:tc>
          <w:tcPr>
            <w:tcW w:w="1368" w:type="dxa"/>
            <w:noWrap w:val="0"/>
            <w:vAlign w:val="center"/>
          </w:tcPr>
          <w:p>
            <w:pPr>
              <w:jc w:val="center"/>
              <w:rPr>
                <w:color w:val="000000"/>
              </w:rPr>
            </w:pPr>
          </w:p>
        </w:tc>
        <w:tc>
          <w:tcPr>
            <w:tcW w:w="1116" w:type="dxa"/>
            <w:noWrap w:val="0"/>
            <w:vAlign w:val="center"/>
          </w:tcPr>
          <w:p>
            <w:pPr>
              <w:jc w:val="center"/>
              <w:rPr>
                <w:color w:val="000000"/>
              </w:rPr>
            </w:pPr>
          </w:p>
        </w:tc>
        <w:tc>
          <w:tcPr>
            <w:tcW w:w="1272" w:type="dxa"/>
            <w:noWrap w:val="0"/>
            <w:vAlign w:val="center"/>
          </w:tcPr>
          <w:p>
            <w:pPr>
              <w:jc w:val="center"/>
              <w:rPr>
                <w:color w:val="000000"/>
              </w:rPr>
            </w:pPr>
          </w:p>
        </w:tc>
        <w:tc>
          <w:tcPr>
            <w:tcW w:w="1278" w:type="dxa"/>
            <w:noWrap w:val="0"/>
            <w:vAlign w:val="center"/>
          </w:tcPr>
          <w:p>
            <w:pPr>
              <w:jc w:val="center"/>
              <w:rPr>
                <w:color w:val="000000"/>
              </w:rPr>
            </w:pPr>
          </w:p>
        </w:tc>
        <w:tc>
          <w:tcPr>
            <w:tcW w:w="1290" w:type="dxa"/>
            <w:noWrap w:val="0"/>
            <w:vAlign w:val="center"/>
          </w:tcPr>
          <w:p>
            <w:pPr>
              <w:jc w:val="center"/>
              <w:rPr>
                <w:color w:val="000000"/>
              </w:rPr>
            </w:pPr>
          </w:p>
        </w:tc>
        <w:tc>
          <w:tcPr>
            <w:tcW w:w="1584" w:type="dxa"/>
            <w:noWrap w:val="0"/>
            <w:vAlign w:val="center"/>
          </w:tcPr>
          <w:p>
            <w:pPr>
              <w:jc w:val="center"/>
              <w:rPr>
                <w:color w:val="000000"/>
              </w:rPr>
            </w:pPr>
          </w:p>
        </w:tc>
        <w:tc>
          <w:tcPr>
            <w:tcW w:w="1524"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0" w:hRule="atLeast"/>
        </w:trPr>
        <w:tc>
          <w:tcPr>
            <w:tcW w:w="4617" w:type="dxa"/>
            <w:noWrap w:val="0"/>
            <w:vAlign w:val="center"/>
          </w:tcPr>
          <w:p>
            <w:pPr>
              <w:jc w:val="center"/>
              <w:rPr>
                <w:color w:val="000000"/>
              </w:rPr>
            </w:pPr>
            <w:r>
              <w:rPr>
                <w:rFonts w:hint="eastAsia"/>
                <w:color w:val="000000"/>
              </w:rPr>
              <w:t>商务标加权得分汇总</w:t>
            </w:r>
          </w:p>
        </w:tc>
        <w:tc>
          <w:tcPr>
            <w:tcW w:w="1368" w:type="dxa"/>
            <w:noWrap w:val="0"/>
            <w:vAlign w:val="center"/>
          </w:tcPr>
          <w:p>
            <w:pPr>
              <w:jc w:val="center"/>
              <w:rPr>
                <w:color w:val="000000"/>
              </w:rPr>
            </w:pPr>
          </w:p>
        </w:tc>
        <w:tc>
          <w:tcPr>
            <w:tcW w:w="1116" w:type="dxa"/>
            <w:noWrap w:val="0"/>
            <w:vAlign w:val="center"/>
          </w:tcPr>
          <w:p>
            <w:pPr>
              <w:jc w:val="center"/>
              <w:rPr>
                <w:color w:val="000000"/>
              </w:rPr>
            </w:pPr>
          </w:p>
        </w:tc>
        <w:tc>
          <w:tcPr>
            <w:tcW w:w="1272" w:type="dxa"/>
            <w:noWrap w:val="0"/>
            <w:vAlign w:val="center"/>
          </w:tcPr>
          <w:p>
            <w:pPr>
              <w:jc w:val="center"/>
              <w:rPr>
                <w:color w:val="000000"/>
              </w:rPr>
            </w:pPr>
          </w:p>
        </w:tc>
        <w:tc>
          <w:tcPr>
            <w:tcW w:w="1278" w:type="dxa"/>
            <w:noWrap w:val="0"/>
            <w:vAlign w:val="center"/>
          </w:tcPr>
          <w:p>
            <w:pPr>
              <w:jc w:val="center"/>
              <w:rPr>
                <w:color w:val="000000"/>
              </w:rPr>
            </w:pPr>
          </w:p>
        </w:tc>
        <w:tc>
          <w:tcPr>
            <w:tcW w:w="1290" w:type="dxa"/>
            <w:noWrap w:val="0"/>
            <w:vAlign w:val="center"/>
          </w:tcPr>
          <w:p>
            <w:pPr>
              <w:jc w:val="center"/>
              <w:rPr>
                <w:color w:val="000000"/>
              </w:rPr>
            </w:pPr>
          </w:p>
        </w:tc>
        <w:tc>
          <w:tcPr>
            <w:tcW w:w="1584" w:type="dxa"/>
            <w:noWrap w:val="0"/>
            <w:vAlign w:val="center"/>
          </w:tcPr>
          <w:p>
            <w:pPr>
              <w:jc w:val="center"/>
              <w:rPr>
                <w:color w:val="000000"/>
              </w:rPr>
            </w:pPr>
          </w:p>
        </w:tc>
        <w:tc>
          <w:tcPr>
            <w:tcW w:w="1524" w:type="dxa"/>
            <w:noWrap w:val="0"/>
            <w:vAlign w:val="center"/>
          </w:tcPr>
          <w:p>
            <w:pPr>
              <w:jc w:val="center"/>
              <w:rPr>
                <w:color w:val="000000"/>
              </w:rPr>
            </w:pPr>
          </w:p>
        </w:tc>
      </w:tr>
    </w:tbl>
    <w:p>
      <w:pPr>
        <w:rPr>
          <w:rFonts w:eastAsia="楷体_GB2312"/>
          <w:color w:val="000000"/>
        </w:rPr>
      </w:pPr>
      <w:r>
        <w:rPr>
          <w:rFonts w:eastAsia="楷体_GB2312"/>
          <w:color w:val="000000"/>
        </w:rPr>
        <w:t>【备注：本表可根据评分办法的需要进行调整</w:t>
      </w:r>
      <w:r>
        <w:rPr>
          <w:rFonts w:hint="eastAsia" w:eastAsia="楷体_GB2312"/>
          <w:color w:val="000000"/>
        </w:rPr>
        <w:t>。投标报价单位</w:t>
      </w:r>
      <w:r>
        <w:rPr>
          <w:rFonts w:eastAsia="楷体_GB2312"/>
          <w:color w:val="000000"/>
        </w:rPr>
        <w:t>：</w:t>
      </w:r>
      <w:r>
        <w:rPr>
          <w:rFonts w:hint="eastAsia" w:eastAsia="楷体_GB2312"/>
          <w:color w:val="000000"/>
        </w:rPr>
        <w:t>人民币元。</w:t>
      </w:r>
      <w:r>
        <w:rPr>
          <w:rFonts w:eastAsia="楷体_GB2312"/>
          <w:color w:val="000000"/>
        </w:rPr>
        <w:t>】</w:t>
      </w:r>
    </w:p>
    <w:p>
      <w:pPr>
        <w:spacing w:line="360" w:lineRule="auto"/>
        <w:rPr>
          <w:color w:val="000000"/>
        </w:rPr>
      </w:pPr>
    </w:p>
    <w:p>
      <w:pPr>
        <w:spacing w:line="360" w:lineRule="auto"/>
        <w:rPr>
          <w:color w:val="000000"/>
        </w:rPr>
      </w:pPr>
      <w:r>
        <w:rPr>
          <w:rFonts w:hint="eastAsia" w:cs="宋体"/>
          <w:color w:val="000000"/>
        </w:rPr>
        <w:t>商务标全体</w:t>
      </w:r>
      <w:r>
        <w:rPr>
          <w:rFonts w:hint="eastAsia"/>
          <w:color w:val="000000"/>
        </w:rPr>
        <w:t>评委</w:t>
      </w:r>
      <w:r>
        <w:rPr>
          <w:color w:val="000000"/>
        </w:rPr>
        <w:t xml:space="preserve">签名：                                                                               </w:t>
      </w:r>
    </w:p>
    <w:p>
      <w:pPr>
        <w:pStyle w:val="4"/>
        <w:spacing w:line="240" w:lineRule="auto"/>
        <w:rPr>
          <w:rFonts w:hint="eastAsia" w:ascii="宋体" w:hAnsi="宋体"/>
          <w:b w:val="0"/>
          <w:color w:val="000000"/>
          <w:sz w:val="28"/>
          <w:szCs w:val="28"/>
        </w:rPr>
      </w:pPr>
      <w:r>
        <w:rPr>
          <w:color w:val="000000"/>
        </w:rPr>
        <w:br w:type="page"/>
      </w:r>
      <w:bookmarkStart w:id="743" w:name="_Toc59203051"/>
      <w:r>
        <w:rPr>
          <w:sz w:val="28"/>
          <w:szCs w:val="28"/>
        </w:rPr>
        <w:t>附表A-</w:t>
      </w:r>
      <w:r>
        <w:rPr>
          <w:rFonts w:hint="eastAsia"/>
          <w:sz w:val="28"/>
          <w:szCs w:val="28"/>
        </w:rPr>
        <w:t>1</w:t>
      </w:r>
      <w:r>
        <w:rPr>
          <w:sz w:val="28"/>
          <w:szCs w:val="28"/>
        </w:rPr>
        <w:t>8：</w:t>
      </w:r>
      <w:r>
        <w:rPr>
          <w:rFonts w:hint="eastAsia"/>
          <w:sz w:val="28"/>
          <w:szCs w:val="28"/>
        </w:rPr>
        <w:t>设计标</w:t>
      </w:r>
      <w:r>
        <w:rPr>
          <w:sz w:val="28"/>
          <w:szCs w:val="28"/>
        </w:rPr>
        <w:t>评</w:t>
      </w:r>
      <w:r>
        <w:rPr>
          <w:rFonts w:hint="eastAsia"/>
          <w:sz w:val="28"/>
          <w:szCs w:val="28"/>
        </w:rPr>
        <w:t>分</w:t>
      </w:r>
      <w:r>
        <w:rPr>
          <w:sz w:val="28"/>
          <w:szCs w:val="28"/>
        </w:rPr>
        <w:t>记录表</w:t>
      </w:r>
      <w:r>
        <w:rPr>
          <w:rFonts w:hint="eastAsia"/>
          <w:sz w:val="28"/>
          <w:szCs w:val="28"/>
        </w:rPr>
        <w:t>（适用方案设计完成后初步设计完成前以初步设计投标）</w:t>
      </w:r>
      <w:bookmarkEnd w:id="743"/>
    </w:p>
    <w:p>
      <w:pPr>
        <w:spacing w:line="440" w:lineRule="exact"/>
        <w:jc w:val="center"/>
        <w:rPr>
          <w:rFonts w:hint="eastAsia" w:eastAsia="黑体"/>
          <w:color w:val="000000"/>
          <w:sz w:val="28"/>
          <w:szCs w:val="28"/>
        </w:rPr>
      </w:pPr>
    </w:p>
    <w:p>
      <w:pPr>
        <w:jc w:val="center"/>
        <w:rPr>
          <w:b/>
          <w:color w:val="000000"/>
          <w:sz w:val="28"/>
          <w:szCs w:val="28"/>
        </w:rPr>
      </w:pPr>
      <w:r>
        <w:rPr>
          <w:rFonts w:hint="eastAsia"/>
          <w:b/>
          <w:color w:val="000000"/>
          <w:sz w:val="28"/>
          <w:szCs w:val="28"/>
        </w:rPr>
        <w:t>设计标</w:t>
      </w:r>
      <w:r>
        <w:rPr>
          <w:b/>
          <w:color w:val="000000"/>
          <w:sz w:val="28"/>
          <w:szCs w:val="28"/>
        </w:rPr>
        <w:t>评</w:t>
      </w:r>
      <w:r>
        <w:rPr>
          <w:rFonts w:hint="eastAsia"/>
          <w:b/>
          <w:color w:val="000000"/>
          <w:sz w:val="28"/>
          <w:szCs w:val="28"/>
        </w:rPr>
        <w:t>分</w:t>
      </w:r>
      <w:r>
        <w:rPr>
          <w:b/>
          <w:color w:val="000000"/>
          <w:sz w:val="28"/>
          <w:szCs w:val="28"/>
        </w:rPr>
        <w:t>记录表</w:t>
      </w:r>
      <w:r>
        <w:rPr>
          <w:rFonts w:hint="eastAsia"/>
          <w:b/>
          <w:color w:val="000000"/>
          <w:sz w:val="28"/>
          <w:szCs w:val="28"/>
        </w:rPr>
        <w:t>（适用</w:t>
      </w:r>
      <w:r>
        <w:rPr>
          <w:rFonts w:hint="eastAsia" w:ascii="宋体" w:hAnsi="宋体"/>
          <w:b/>
          <w:color w:val="000000"/>
          <w:sz w:val="28"/>
          <w:szCs w:val="28"/>
        </w:rPr>
        <w:t>方案设计完成后初步设计完成前</w:t>
      </w:r>
      <w:r>
        <w:rPr>
          <w:rFonts w:hint="eastAsia"/>
          <w:b/>
          <w:color w:val="000000"/>
          <w:sz w:val="28"/>
          <w:szCs w:val="28"/>
        </w:rPr>
        <w:t>以初步设计投标）（</w:t>
      </w:r>
      <w:r>
        <w:rPr>
          <w:b/>
          <w:color w:val="000000"/>
          <w:sz w:val="28"/>
          <w:szCs w:val="28"/>
        </w:rPr>
        <w:t>适用</w:t>
      </w:r>
      <w:r>
        <w:rPr>
          <w:rFonts w:hint="eastAsia" w:ascii="宋体" w:hAnsi="宋体"/>
          <w:b/>
          <w:color w:val="000000"/>
          <w:sz w:val="28"/>
          <w:szCs w:val="28"/>
        </w:rPr>
        <w:t>房</w:t>
      </w:r>
      <w:r>
        <w:rPr>
          <w:rFonts w:ascii="宋体" w:hAnsi="宋体"/>
          <w:b/>
          <w:color w:val="000000"/>
          <w:sz w:val="28"/>
          <w:szCs w:val="28"/>
        </w:rPr>
        <w:t>建项目</w:t>
      </w:r>
      <w:r>
        <w:rPr>
          <w:rFonts w:hint="eastAsia" w:ascii="宋体" w:hAnsi="宋体"/>
          <w:b/>
          <w:color w:val="000000"/>
          <w:sz w:val="28"/>
          <w:szCs w:val="28"/>
        </w:rPr>
        <w:t>）</w:t>
      </w:r>
    </w:p>
    <w:p>
      <w:pPr>
        <w:spacing w:after="72" w:afterLines="30" w:line="440" w:lineRule="exact"/>
        <w:rPr>
          <w:color w:val="000000"/>
        </w:rPr>
      </w:pPr>
      <w:r>
        <w:rPr>
          <w:color w:val="000000"/>
        </w:rPr>
        <w:t>工程名称</w:t>
      </w:r>
      <w:r>
        <w:rPr>
          <w:rFonts w:hint="eastAsia"/>
          <w:color w:val="000000"/>
        </w:rPr>
        <w:t>及项目招标编号</w:t>
      </w:r>
      <w:r>
        <w:rPr>
          <w:color w:val="000000"/>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color w:val="000000"/>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303"/>
        <w:gridCol w:w="397"/>
        <w:gridCol w:w="3402"/>
        <w:gridCol w:w="1276"/>
        <w:gridCol w:w="1042"/>
        <w:gridCol w:w="1134"/>
        <w:gridCol w:w="1134"/>
        <w:gridCol w:w="113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65" w:hRule="atLeast"/>
          <w:jc w:val="center"/>
        </w:trPr>
        <w:tc>
          <w:tcPr>
            <w:tcW w:w="851" w:type="dxa"/>
            <w:vMerge w:val="restart"/>
            <w:noWrap w:val="0"/>
            <w:vAlign w:val="center"/>
          </w:tcPr>
          <w:p>
            <w:pPr>
              <w:spacing w:line="360" w:lineRule="auto"/>
              <w:jc w:val="center"/>
              <w:rPr>
                <w:color w:val="000000"/>
              </w:rPr>
            </w:pPr>
            <w:r>
              <w:rPr>
                <w:color w:val="000000"/>
              </w:rPr>
              <w:t>序号</w:t>
            </w:r>
          </w:p>
        </w:tc>
        <w:tc>
          <w:tcPr>
            <w:tcW w:w="5102" w:type="dxa"/>
            <w:gridSpan w:val="3"/>
            <w:vMerge w:val="restart"/>
            <w:noWrap w:val="0"/>
            <w:vAlign w:val="top"/>
          </w:tcPr>
          <w:p>
            <w:pPr>
              <w:spacing w:line="360" w:lineRule="auto"/>
              <w:jc w:val="center"/>
              <w:rPr>
                <w:color w:val="000000"/>
              </w:rPr>
            </w:pPr>
            <w:r>
              <w:rPr>
                <w:color w:val="000000"/>
              </w:rPr>
              <w:t>评审因素</w:t>
            </w:r>
          </w:p>
        </w:tc>
        <w:tc>
          <w:tcPr>
            <w:tcW w:w="9122" w:type="dxa"/>
            <w:gridSpan w:val="8"/>
            <w:noWrap w:val="0"/>
            <w:vAlign w:val="center"/>
          </w:tcPr>
          <w:p>
            <w:pPr>
              <w:spacing w:line="360" w:lineRule="auto"/>
              <w:jc w:val="center"/>
              <w:rPr>
                <w:color w:val="000000"/>
              </w:rPr>
            </w:pPr>
            <w:r>
              <w:rPr>
                <w:color w:val="000000"/>
              </w:rPr>
              <w:t>投标人名称</w:t>
            </w:r>
            <w:r>
              <w:rPr>
                <w:rFonts w:hint="eastAsia"/>
                <w:color w:val="000000"/>
              </w:rPr>
              <w:t>（或代码）</w:t>
            </w:r>
            <w:r>
              <w:rPr>
                <w:color w:val="000000"/>
              </w:rPr>
              <w:t>及评审意见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6" w:hRule="atLeast"/>
          <w:jc w:val="center"/>
        </w:trPr>
        <w:tc>
          <w:tcPr>
            <w:tcW w:w="851" w:type="dxa"/>
            <w:vMerge w:val="continue"/>
            <w:noWrap w:val="0"/>
            <w:vAlign w:val="center"/>
          </w:tcPr>
          <w:p>
            <w:pPr>
              <w:spacing w:line="360" w:lineRule="auto"/>
              <w:jc w:val="center"/>
              <w:rPr>
                <w:rFonts w:eastAsia="黑体"/>
                <w:color w:val="000000"/>
              </w:rPr>
            </w:pPr>
          </w:p>
        </w:tc>
        <w:tc>
          <w:tcPr>
            <w:tcW w:w="5102" w:type="dxa"/>
            <w:gridSpan w:val="3"/>
            <w:vMerge w:val="continue"/>
            <w:noWrap w:val="0"/>
            <w:vAlign w:val="top"/>
          </w:tcPr>
          <w:p>
            <w:pPr>
              <w:spacing w:line="360" w:lineRule="auto"/>
              <w:jc w:val="center"/>
              <w:rPr>
                <w:color w:val="000000"/>
                <w:kern w:val="0"/>
                <w:szCs w:val="21"/>
              </w:rPr>
            </w:pPr>
          </w:p>
        </w:tc>
        <w:tc>
          <w:tcPr>
            <w:tcW w:w="1276" w:type="dxa"/>
            <w:noWrap w:val="0"/>
            <w:vAlign w:val="center"/>
          </w:tcPr>
          <w:p>
            <w:pPr>
              <w:spacing w:line="360" w:lineRule="auto"/>
              <w:jc w:val="center"/>
              <w:rPr>
                <w:color w:val="000000"/>
              </w:rPr>
            </w:pPr>
          </w:p>
        </w:tc>
        <w:tc>
          <w:tcPr>
            <w:tcW w:w="1042"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eastAsia="黑体"/>
                <w:color w:val="000000"/>
                <w:sz w:val="18"/>
                <w:szCs w:val="18"/>
              </w:rPr>
            </w:pPr>
            <w:r>
              <w:rPr>
                <w:rFonts w:hint="eastAsia" w:eastAsia="黑体"/>
                <w:color w:val="000000"/>
                <w:sz w:val="18"/>
                <w:szCs w:val="18"/>
              </w:rPr>
              <w:t>1</w:t>
            </w:r>
          </w:p>
        </w:tc>
        <w:tc>
          <w:tcPr>
            <w:tcW w:w="1303" w:type="dxa"/>
            <w:vMerge w:val="restart"/>
            <w:noWrap w:val="0"/>
            <w:vAlign w:val="top"/>
          </w:tcPr>
          <w:p>
            <w:pPr>
              <w:spacing w:line="240" w:lineRule="exact"/>
              <w:rPr>
                <w:rFonts w:hint="eastAsia"/>
                <w:color w:val="000000"/>
              </w:rPr>
            </w:pPr>
            <w:r>
              <w:rPr>
                <w:rFonts w:hint="eastAsia"/>
                <w:color w:val="000000"/>
              </w:rPr>
              <w:t>深化总平方案设计</w:t>
            </w:r>
          </w:p>
        </w:tc>
        <w:tc>
          <w:tcPr>
            <w:tcW w:w="3799" w:type="dxa"/>
            <w:gridSpan w:val="2"/>
            <w:noWrap w:val="0"/>
            <w:vAlign w:val="center"/>
          </w:tcPr>
          <w:p>
            <w:pPr>
              <w:spacing w:line="240" w:lineRule="exact"/>
              <w:rPr>
                <w:rFonts w:hint="eastAsia"/>
                <w:color w:val="000000"/>
                <w:kern w:val="0"/>
                <w:sz w:val="18"/>
                <w:szCs w:val="18"/>
              </w:rPr>
            </w:pPr>
            <w:r>
              <w:rPr>
                <w:rFonts w:hint="eastAsia"/>
                <w:color w:val="000000"/>
              </w:rPr>
              <w:t>是否按要求对总平进行深化设计</w:t>
            </w:r>
            <w:r>
              <w:rPr>
                <w:rFonts w:hint="eastAsia" w:ascii="宋体" w:hAnsi="宋体"/>
                <w:bCs/>
                <w:color w:val="000000"/>
                <w:szCs w:val="21"/>
              </w:rPr>
              <w:t>。</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eastAsia="黑体"/>
                <w:color w:val="000000"/>
                <w:sz w:val="18"/>
                <w:szCs w:val="18"/>
              </w:rPr>
            </w:pPr>
            <w:r>
              <w:rPr>
                <w:rFonts w:hint="eastAsia" w:eastAsia="黑体"/>
                <w:color w:val="000000"/>
                <w:sz w:val="18"/>
                <w:szCs w:val="18"/>
              </w:rPr>
              <w:t>2</w:t>
            </w:r>
          </w:p>
        </w:tc>
        <w:tc>
          <w:tcPr>
            <w:tcW w:w="1303" w:type="dxa"/>
            <w:vMerge w:val="continue"/>
            <w:noWrap w:val="0"/>
            <w:vAlign w:val="top"/>
          </w:tcPr>
          <w:p>
            <w:pPr>
              <w:widowControl/>
              <w:spacing w:line="240" w:lineRule="exact"/>
              <w:rPr>
                <w:rFonts w:hint="eastAsia" w:ascii="宋体" w:hAnsi="宋体"/>
                <w:color w:val="000000"/>
              </w:rPr>
            </w:pPr>
          </w:p>
        </w:tc>
        <w:tc>
          <w:tcPr>
            <w:tcW w:w="3799" w:type="dxa"/>
            <w:gridSpan w:val="2"/>
            <w:noWrap w:val="0"/>
            <w:vAlign w:val="center"/>
          </w:tcPr>
          <w:p>
            <w:pPr>
              <w:widowControl/>
              <w:spacing w:line="240" w:lineRule="exact"/>
              <w:rPr>
                <w:rFonts w:hint="eastAsia"/>
                <w:color w:val="000000"/>
                <w:sz w:val="18"/>
                <w:szCs w:val="18"/>
              </w:rPr>
            </w:pPr>
            <w:r>
              <w:rPr>
                <w:rFonts w:hint="eastAsia" w:ascii="宋体" w:hAnsi="宋体"/>
                <w:bCs/>
                <w:color w:val="000000"/>
                <w:szCs w:val="21"/>
              </w:rPr>
              <w:t>对原总平设计提出合理的优化建议。</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3</w:t>
            </w:r>
          </w:p>
        </w:tc>
        <w:tc>
          <w:tcPr>
            <w:tcW w:w="1303" w:type="dxa"/>
            <w:vMerge w:val="continue"/>
            <w:noWrap w:val="0"/>
            <w:vAlign w:val="top"/>
          </w:tcPr>
          <w:p>
            <w:pPr>
              <w:widowControl/>
              <w:spacing w:line="240" w:lineRule="exact"/>
              <w:rPr>
                <w:rFonts w:hint="eastAsia" w:ascii="宋体" w:hAnsi="宋体"/>
                <w:color w:val="000000"/>
              </w:rPr>
            </w:pPr>
          </w:p>
        </w:tc>
        <w:tc>
          <w:tcPr>
            <w:tcW w:w="3799" w:type="dxa"/>
            <w:gridSpan w:val="2"/>
            <w:noWrap w:val="0"/>
            <w:vAlign w:val="center"/>
          </w:tcPr>
          <w:p>
            <w:pPr>
              <w:widowControl/>
              <w:spacing w:line="240" w:lineRule="exact"/>
              <w:rPr>
                <w:rFonts w:hint="eastAsia"/>
                <w:color w:val="000000"/>
                <w:sz w:val="18"/>
                <w:szCs w:val="18"/>
              </w:rPr>
            </w:pPr>
            <w:r>
              <w:rPr>
                <w:rFonts w:hint="eastAsia" w:ascii="宋体" w:hAnsi="宋体"/>
                <w:bCs/>
                <w:color w:val="000000"/>
                <w:szCs w:val="21"/>
              </w:rPr>
              <w:t>对初步设计阶段的工作提出目标要求。</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4</w:t>
            </w:r>
          </w:p>
        </w:tc>
        <w:tc>
          <w:tcPr>
            <w:tcW w:w="1303" w:type="dxa"/>
            <w:vMerge w:val="restart"/>
            <w:noWrap w:val="0"/>
            <w:vAlign w:val="top"/>
          </w:tcPr>
          <w:p>
            <w:pPr>
              <w:widowControl/>
              <w:spacing w:line="240" w:lineRule="exact"/>
              <w:rPr>
                <w:rFonts w:hint="eastAsia"/>
                <w:color w:val="000000"/>
                <w:sz w:val="18"/>
                <w:szCs w:val="18"/>
              </w:rPr>
            </w:pPr>
            <w:r>
              <w:rPr>
                <w:rFonts w:hint="eastAsia" w:ascii="宋体" w:hAnsi="宋体"/>
                <w:color w:val="000000"/>
              </w:rPr>
              <w:t>深化单体建筑方案设计</w:t>
            </w:r>
          </w:p>
        </w:tc>
        <w:tc>
          <w:tcPr>
            <w:tcW w:w="3799" w:type="dxa"/>
            <w:gridSpan w:val="2"/>
            <w:noWrap w:val="0"/>
            <w:vAlign w:val="center"/>
          </w:tcPr>
          <w:p>
            <w:pPr>
              <w:widowControl/>
              <w:spacing w:line="240" w:lineRule="exact"/>
              <w:rPr>
                <w:rFonts w:hint="eastAsia"/>
                <w:color w:val="000000"/>
                <w:sz w:val="18"/>
                <w:szCs w:val="18"/>
              </w:rPr>
            </w:pPr>
            <w:r>
              <w:rPr>
                <w:rFonts w:hint="eastAsia"/>
                <w:color w:val="000000"/>
              </w:rPr>
              <w:t>设计方案</w:t>
            </w:r>
            <w:r>
              <w:rPr>
                <w:rFonts w:hint="eastAsia" w:ascii="宋体" w:hAnsi="宋体"/>
                <w:bCs/>
                <w:color w:val="000000"/>
                <w:szCs w:val="21"/>
              </w:rPr>
              <w:t>建筑空间是否丰富和具有特点。</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5</w:t>
            </w:r>
          </w:p>
        </w:tc>
        <w:tc>
          <w:tcPr>
            <w:tcW w:w="1303" w:type="dxa"/>
            <w:vMerge w:val="continue"/>
            <w:noWrap w:val="0"/>
            <w:vAlign w:val="top"/>
          </w:tcPr>
          <w:p>
            <w:pPr>
              <w:widowControl/>
              <w:spacing w:line="240" w:lineRule="exact"/>
              <w:rPr>
                <w:rFonts w:hint="eastAsia"/>
                <w:color w:val="000000"/>
                <w:sz w:val="18"/>
                <w:szCs w:val="18"/>
              </w:rPr>
            </w:pPr>
          </w:p>
        </w:tc>
        <w:tc>
          <w:tcPr>
            <w:tcW w:w="3799" w:type="dxa"/>
            <w:gridSpan w:val="2"/>
            <w:noWrap w:val="0"/>
            <w:vAlign w:val="center"/>
          </w:tcPr>
          <w:p>
            <w:pPr>
              <w:widowControl/>
              <w:spacing w:line="240" w:lineRule="exact"/>
              <w:rPr>
                <w:rFonts w:hint="eastAsia"/>
                <w:color w:val="000000"/>
                <w:sz w:val="18"/>
                <w:szCs w:val="18"/>
              </w:rPr>
            </w:pPr>
            <w:r>
              <w:rPr>
                <w:rFonts w:hint="eastAsia" w:ascii="宋体" w:hAnsi="宋体"/>
                <w:bCs/>
                <w:color w:val="000000"/>
                <w:szCs w:val="21"/>
              </w:rPr>
              <w:t>平面布局及功能分区是否合理，是否符合本项目特点。</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6</w:t>
            </w:r>
          </w:p>
        </w:tc>
        <w:tc>
          <w:tcPr>
            <w:tcW w:w="1303" w:type="dxa"/>
            <w:vMerge w:val="continue"/>
            <w:noWrap w:val="0"/>
            <w:vAlign w:val="top"/>
          </w:tcPr>
          <w:p>
            <w:pPr>
              <w:widowControl/>
              <w:spacing w:line="240" w:lineRule="exact"/>
              <w:rPr>
                <w:rFonts w:hint="eastAsia"/>
                <w:color w:val="000000"/>
                <w:sz w:val="18"/>
                <w:szCs w:val="18"/>
              </w:rPr>
            </w:pPr>
          </w:p>
        </w:tc>
        <w:tc>
          <w:tcPr>
            <w:tcW w:w="3799" w:type="dxa"/>
            <w:gridSpan w:val="2"/>
            <w:noWrap w:val="0"/>
            <w:vAlign w:val="center"/>
          </w:tcPr>
          <w:p>
            <w:pPr>
              <w:widowControl/>
              <w:spacing w:line="240" w:lineRule="exact"/>
              <w:rPr>
                <w:rFonts w:hint="eastAsia"/>
                <w:color w:val="000000"/>
                <w:sz w:val="18"/>
                <w:szCs w:val="18"/>
              </w:rPr>
            </w:pPr>
            <w:r>
              <w:rPr>
                <w:rFonts w:hint="eastAsia" w:ascii="宋体" w:hAnsi="宋体"/>
                <w:bCs/>
                <w:color w:val="000000"/>
                <w:szCs w:val="21"/>
              </w:rPr>
              <w:t>人流线组织及竖向交通合理的合理程度。</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7</w:t>
            </w:r>
          </w:p>
        </w:tc>
        <w:tc>
          <w:tcPr>
            <w:tcW w:w="1303" w:type="dxa"/>
            <w:vMerge w:val="continue"/>
            <w:noWrap w:val="0"/>
            <w:vAlign w:val="top"/>
          </w:tcPr>
          <w:p>
            <w:pPr>
              <w:widowControl/>
              <w:spacing w:line="240" w:lineRule="exact"/>
              <w:rPr>
                <w:rFonts w:hint="eastAsia"/>
                <w:color w:val="000000"/>
                <w:sz w:val="18"/>
                <w:szCs w:val="18"/>
              </w:rPr>
            </w:pPr>
          </w:p>
        </w:tc>
        <w:tc>
          <w:tcPr>
            <w:tcW w:w="3799" w:type="dxa"/>
            <w:gridSpan w:val="2"/>
            <w:noWrap w:val="0"/>
            <w:vAlign w:val="center"/>
          </w:tcPr>
          <w:p>
            <w:pPr>
              <w:widowControl/>
              <w:spacing w:line="240" w:lineRule="exact"/>
              <w:rPr>
                <w:rFonts w:hint="eastAsia"/>
                <w:color w:val="000000"/>
                <w:sz w:val="18"/>
                <w:szCs w:val="18"/>
              </w:rPr>
            </w:pPr>
            <w:r>
              <w:rPr>
                <w:rFonts w:hint="eastAsia" w:ascii="宋体" w:hAnsi="宋体"/>
                <w:bCs/>
                <w:color w:val="000000"/>
                <w:szCs w:val="21"/>
              </w:rPr>
              <w:t>成果的完整性。</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eastAsia="黑体"/>
                <w:color w:val="000000"/>
                <w:sz w:val="18"/>
                <w:szCs w:val="18"/>
              </w:rPr>
            </w:pPr>
            <w:r>
              <w:rPr>
                <w:rFonts w:eastAsia="黑体"/>
                <w:color w:val="000000"/>
                <w:sz w:val="18"/>
                <w:szCs w:val="18"/>
              </w:rPr>
              <w:t>8</w:t>
            </w:r>
          </w:p>
        </w:tc>
        <w:tc>
          <w:tcPr>
            <w:tcW w:w="1303" w:type="dxa"/>
            <w:vMerge w:val="restart"/>
            <w:noWrap w:val="0"/>
            <w:vAlign w:val="top"/>
          </w:tcPr>
          <w:p>
            <w:pPr>
              <w:widowControl/>
              <w:spacing w:line="240" w:lineRule="exact"/>
              <w:rPr>
                <w:rFonts w:hint="eastAsia"/>
                <w:color w:val="000000"/>
                <w:sz w:val="18"/>
                <w:szCs w:val="18"/>
              </w:rPr>
            </w:pPr>
            <w:r>
              <w:rPr>
                <w:rFonts w:hint="eastAsia"/>
                <w:color w:val="000000"/>
                <w:sz w:val="18"/>
                <w:szCs w:val="18"/>
              </w:rPr>
              <w:t>初步设计成果</w:t>
            </w:r>
          </w:p>
        </w:tc>
        <w:tc>
          <w:tcPr>
            <w:tcW w:w="3799" w:type="dxa"/>
            <w:gridSpan w:val="2"/>
            <w:noWrap w:val="0"/>
            <w:vAlign w:val="center"/>
          </w:tcPr>
          <w:p>
            <w:pPr>
              <w:widowControl/>
              <w:spacing w:line="240" w:lineRule="exact"/>
              <w:rPr>
                <w:rFonts w:hint="eastAsia"/>
                <w:color w:val="000000"/>
                <w:sz w:val="18"/>
                <w:szCs w:val="18"/>
              </w:rPr>
            </w:pPr>
            <w:r>
              <w:rPr>
                <w:rFonts w:hint="eastAsia" w:hAnsi="宋体"/>
                <w:color w:val="000000"/>
                <w:szCs w:val="21"/>
              </w:rPr>
              <w:t>初步设计技术先进性、合理性、实用性、可实施性。</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9</w:t>
            </w:r>
          </w:p>
        </w:tc>
        <w:tc>
          <w:tcPr>
            <w:tcW w:w="1303" w:type="dxa"/>
            <w:vMerge w:val="continue"/>
            <w:noWrap w:val="0"/>
            <w:vAlign w:val="top"/>
          </w:tcPr>
          <w:p>
            <w:pPr>
              <w:widowControl/>
              <w:spacing w:line="240" w:lineRule="exact"/>
              <w:rPr>
                <w:rFonts w:hint="eastAsia"/>
                <w:color w:val="000000"/>
                <w:sz w:val="18"/>
                <w:szCs w:val="18"/>
              </w:rPr>
            </w:pPr>
          </w:p>
        </w:tc>
        <w:tc>
          <w:tcPr>
            <w:tcW w:w="3799" w:type="dxa"/>
            <w:gridSpan w:val="2"/>
            <w:noWrap w:val="0"/>
            <w:vAlign w:val="center"/>
          </w:tcPr>
          <w:p>
            <w:pPr>
              <w:widowControl/>
              <w:spacing w:line="240" w:lineRule="exact"/>
              <w:rPr>
                <w:rFonts w:hint="eastAsia" w:hAnsi="宋体"/>
                <w:color w:val="000000"/>
                <w:szCs w:val="21"/>
              </w:rPr>
            </w:pPr>
            <w:r>
              <w:rPr>
                <w:rFonts w:hint="eastAsia" w:hAnsi="宋体"/>
                <w:color w:val="000000"/>
                <w:szCs w:val="21"/>
              </w:rPr>
              <w:t>初步设计是否能达到原总平设计、方案设计的效果和目标。</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10</w:t>
            </w:r>
          </w:p>
        </w:tc>
        <w:tc>
          <w:tcPr>
            <w:tcW w:w="1303" w:type="dxa"/>
            <w:vMerge w:val="continue"/>
            <w:noWrap w:val="0"/>
            <w:vAlign w:val="top"/>
          </w:tcPr>
          <w:p>
            <w:pPr>
              <w:widowControl/>
              <w:spacing w:line="240" w:lineRule="exact"/>
              <w:rPr>
                <w:rFonts w:hint="eastAsia"/>
                <w:color w:val="000000"/>
                <w:sz w:val="18"/>
                <w:szCs w:val="18"/>
              </w:rPr>
            </w:pPr>
          </w:p>
        </w:tc>
        <w:tc>
          <w:tcPr>
            <w:tcW w:w="3799" w:type="dxa"/>
            <w:gridSpan w:val="2"/>
            <w:noWrap w:val="0"/>
            <w:vAlign w:val="center"/>
          </w:tcPr>
          <w:p>
            <w:pPr>
              <w:widowControl/>
              <w:spacing w:line="240" w:lineRule="exact"/>
              <w:rPr>
                <w:rFonts w:hint="eastAsia" w:hAnsi="宋体"/>
                <w:color w:val="000000"/>
                <w:szCs w:val="21"/>
              </w:rPr>
            </w:pPr>
            <w:r>
              <w:rPr>
                <w:rFonts w:hint="eastAsia" w:hAnsi="宋体"/>
                <w:color w:val="000000"/>
                <w:szCs w:val="21"/>
              </w:rPr>
              <w:t>各专业对经济性的控制是否有专项措施，经济性控制良好。</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11</w:t>
            </w:r>
          </w:p>
        </w:tc>
        <w:tc>
          <w:tcPr>
            <w:tcW w:w="1303" w:type="dxa"/>
            <w:vMerge w:val="continue"/>
            <w:noWrap w:val="0"/>
            <w:vAlign w:val="top"/>
          </w:tcPr>
          <w:p>
            <w:pPr>
              <w:widowControl/>
              <w:spacing w:line="240" w:lineRule="exact"/>
              <w:rPr>
                <w:rFonts w:hint="eastAsia"/>
                <w:color w:val="000000"/>
                <w:sz w:val="18"/>
                <w:szCs w:val="18"/>
              </w:rPr>
            </w:pPr>
          </w:p>
        </w:tc>
        <w:tc>
          <w:tcPr>
            <w:tcW w:w="3799" w:type="dxa"/>
            <w:gridSpan w:val="2"/>
            <w:noWrap w:val="0"/>
            <w:vAlign w:val="center"/>
          </w:tcPr>
          <w:p>
            <w:pPr>
              <w:widowControl/>
              <w:spacing w:line="240" w:lineRule="exact"/>
              <w:rPr>
                <w:rFonts w:hint="eastAsia" w:hAnsi="宋体"/>
                <w:color w:val="000000"/>
                <w:szCs w:val="21"/>
              </w:rPr>
            </w:pPr>
            <w:r>
              <w:rPr>
                <w:rFonts w:hint="eastAsia" w:hAnsi="宋体"/>
                <w:bCs/>
                <w:color w:val="000000"/>
                <w:szCs w:val="21"/>
              </w:rPr>
              <w:t>对关键技术选用和实施有专篇进行论证。</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12</w:t>
            </w:r>
          </w:p>
        </w:tc>
        <w:tc>
          <w:tcPr>
            <w:tcW w:w="1303" w:type="dxa"/>
            <w:vMerge w:val="continue"/>
            <w:noWrap w:val="0"/>
            <w:vAlign w:val="top"/>
          </w:tcPr>
          <w:p>
            <w:pPr>
              <w:widowControl/>
              <w:spacing w:line="240" w:lineRule="exact"/>
              <w:rPr>
                <w:rFonts w:hint="eastAsia"/>
                <w:color w:val="000000"/>
                <w:sz w:val="18"/>
                <w:szCs w:val="18"/>
              </w:rPr>
            </w:pPr>
          </w:p>
        </w:tc>
        <w:tc>
          <w:tcPr>
            <w:tcW w:w="3799" w:type="dxa"/>
            <w:gridSpan w:val="2"/>
            <w:noWrap w:val="0"/>
            <w:vAlign w:val="center"/>
          </w:tcPr>
          <w:p>
            <w:pPr>
              <w:widowControl/>
              <w:spacing w:line="240" w:lineRule="exact"/>
              <w:rPr>
                <w:rFonts w:hint="eastAsia" w:hAnsi="宋体"/>
                <w:color w:val="000000"/>
                <w:szCs w:val="21"/>
              </w:rPr>
            </w:pPr>
            <w:r>
              <w:rPr>
                <w:rFonts w:hint="eastAsia" w:hAnsi="宋体"/>
                <w:color w:val="000000"/>
                <w:szCs w:val="21"/>
              </w:rPr>
              <w:t>初步设计说明的质量、内容和深度符合国家和省、市的有关规定和要求</w:t>
            </w:r>
            <w:r>
              <w:rPr>
                <w:rFonts w:hint="eastAsia" w:hAnsi="宋体"/>
                <w:bCs/>
                <w:color w:val="000000"/>
                <w:szCs w:val="21"/>
              </w:rPr>
              <w:t>。</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13</w:t>
            </w:r>
          </w:p>
        </w:tc>
        <w:tc>
          <w:tcPr>
            <w:tcW w:w="1303" w:type="dxa"/>
            <w:vMerge w:val="continue"/>
            <w:noWrap w:val="0"/>
            <w:vAlign w:val="top"/>
          </w:tcPr>
          <w:p>
            <w:pPr>
              <w:widowControl/>
              <w:spacing w:line="240" w:lineRule="exact"/>
              <w:rPr>
                <w:rFonts w:hint="eastAsia"/>
                <w:color w:val="000000"/>
                <w:sz w:val="18"/>
                <w:szCs w:val="18"/>
              </w:rPr>
            </w:pPr>
          </w:p>
        </w:tc>
        <w:tc>
          <w:tcPr>
            <w:tcW w:w="3799" w:type="dxa"/>
            <w:gridSpan w:val="2"/>
            <w:noWrap w:val="0"/>
            <w:vAlign w:val="center"/>
          </w:tcPr>
          <w:p>
            <w:pPr>
              <w:widowControl/>
              <w:spacing w:line="240" w:lineRule="exact"/>
              <w:rPr>
                <w:rFonts w:hint="eastAsia" w:hAnsi="宋体"/>
                <w:color w:val="000000"/>
                <w:szCs w:val="21"/>
              </w:rPr>
            </w:pPr>
            <w:r>
              <w:rPr>
                <w:rFonts w:hint="eastAsia" w:hAnsi="宋体"/>
                <w:color w:val="000000"/>
                <w:szCs w:val="21"/>
              </w:rPr>
              <w:t>初步设计图纸的质量、内容和深度符合国家和省、市的有关规定和要求。</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14</w:t>
            </w:r>
          </w:p>
        </w:tc>
        <w:tc>
          <w:tcPr>
            <w:tcW w:w="1303" w:type="dxa"/>
            <w:vMerge w:val="continue"/>
            <w:noWrap w:val="0"/>
            <w:vAlign w:val="top"/>
          </w:tcPr>
          <w:p>
            <w:pPr>
              <w:widowControl/>
              <w:spacing w:line="240" w:lineRule="exact"/>
              <w:rPr>
                <w:rFonts w:hint="eastAsia"/>
                <w:color w:val="000000"/>
                <w:sz w:val="18"/>
                <w:szCs w:val="18"/>
              </w:rPr>
            </w:pPr>
          </w:p>
        </w:tc>
        <w:tc>
          <w:tcPr>
            <w:tcW w:w="3799" w:type="dxa"/>
            <w:gridSpan w:val="2"/>
            <w:noWrap w:val="0"/>
            <w:vAlign w:val="center"/>
          </w:tcPr>
          <w:p>
            <w:pPr>
              <w:widowControl/>
              <w:spacing w:line="240" w:lineRule="exact"/>
              <w:rPr>
                <w:rFonts w:hint="eastAsia" w:hAnsi="宋体"/>
                <w:color w:val="000000"/>
                <w:szCs w:val="21"/>
              </w:rPr>
            </w:pPr>
            <w:r>
              <w:rPr>
                <w:rFonts w:hint="eastAsia" w:hAnsi="宋体"/>
                <w:color w:val="000000"/>
                <w:szCs w:val="21"/>
              </w:rPr>
              <w:t>初步设计概算的说明、概算的质量、内容和深度符合国家和省、市的有关规定和要求，取费正确，对投资的控制达到招标文件的要求</w:t>
            </w:r>
            <w:r>
              <w:rPr>
                <w:rFonts w:hint="eastAsia" w:hAnsi="宋体"/>
                <w:bCs/>
                <w:color w:val="000000"/>
                <w:szCs w:val="21"/>
              </w:rPr>
              <w:t>。</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ascii="宋体" w:hAnsi="宋体"/>
                <w:color w:val="000000"/>
                <w:sz w:val="18"/>
                <w:szCs w:val="18"/>
              </w:rPr>
            </w:pPr>
          </w:p>
        </w:tc>
        <w:tc>
          <w:tcPr>
            <w:tcW w:w="1303" w:type="dxa"/>
            <w:noWrap w:val="0"/>
            <w:vAlign w:val="top"/>
          </w:tcPr>
          <w:p>
            <w:pPr>
              <w:widowControl/>
              <w:spacing w:line="240" w:lineRule="exact"/>
              <w:rPr>
                <w:rFonts w:hint="eastAsia" w:ascii="宋体" w:hAnsi="宋体"/>
                <w:color w:val="000000"/>
                <w:kern w:val="0"/>
                <w:sz w:val="18"/>
                <w:szCs w:val="18"/>
              </w:rPr>
            </w:pPr>
          </w:p>
        </w:tc>
        <w:tc>
          <w:tcPr>
            <w:tcW w:w="3799" w:type="dxa"/>
            <w:gridSpan w:val="2"/>
            <w:noWrap w:val="0"/>
            <w:vAlign w:val="center"/>
          </w:tcPr>
          <w:p>
            <w:pPr>
              <w:widowControl/>
              <w:spacing w:line="240" w:lineRule="exact"/>
              <w:rPr>
                <w:rFonts w:hint="eastAsia"/>
                <w:color w:val="000000"/>
                <w:sz w:val="18"/>
                <w:szCs w:val="18"/>
              </w:rPr>
            </w:pPr>
            <w:r>
              <w:rPr>
                <w:rFonts w:hint="eastAsia" w:ascii="宋体" w:hAnsi="宋体"/>
                <w:color w:val="000000"/>
                <w:kern w:val="0"/>
                <w:sz w:val="18"/>
                <w:szCs w:val="18"/>
              </w:rPr>
              <w:t>…………</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2551" w:type="dxa"/>
            <w:gridSpan w:val="3"/>
            <w:noWrap w:val="0"/>
            <w:vAlign w:val="top"/>
          </w:tcPr>
          <w:p>
            <w:pPr>
              <w:spacing w:line="240" w:lineRule="exact"/>
              <w:jc w:val="center"/>
              <w:rPr>
                <w:color w:val="000000"/>
                <w:sz w:val="18"/>
                <w:szCs w:val="18"/>
              </w:rPr>
            </w:pPr>
          </w:p>
        </w:tc>
        <w:tc>
          <w:tcPr>
            <w:tcW w:w="3402" w:type="dxa"/>
            <w:noWrap w:val="0"/>
            <w:vAlign w:val="center"/>
          </w:tcPr>
          <w:p>
            <w:pPr>
              <w:spacing w:line="240" w:lineRule="exact"/>
              <w:jc w:val="center"/>
              <w:rPr>
                <w:color w:val="000000"/>
                <w:sz w:val="18"/>
                <w:szCs w:val="18"/>
              </w:rPr>
            </w:pPr>
            <w:r>
              <w:rPr>
                <w:color w:val="000000"/>
                <w:sz w:val="18"/>
                <w:szCs w:val="18"/>
              </w:rPr>
              <w:t>得分合计</w:t>
            </w:r>
            <w:r>
              <w:rPr>
                <w:rFonts w:hint="eastAsia"/>
                <w:color w:val="000000"/>
                <w:sz w:val="18"/>
                <w:szCs w:val="18"/>
              </w:rPr>
              <w:t>（</w:t>
            </w:r>
            <w:r>
              <w:rPr>
                <w:color w:val="000000"/>
                <w:sz w:val="18"/>
                <w:szCs w:val="18"/>
              </w:rPr>
              <w:t>满分</w:t>
            </w:r>
            <w:r>
              <w:rPr>
                <w:color w:val="000000"/>
                <w:sz w:val="18"/>
                <w:szCs w:val="18"/>
                <w:u w:val="single"/>
              </w:rPr>
              <w:t xml:space="preserve">       </w:t>
            </w:r>
            <w:r>
              <w:rPr>
                <w:rFonts w:hint="eastAsia"/>
                <w:color w:val="000000"/>
                <w:sz w:val="18"/>
                <w:szCs w:val="18"/>
              </w:rPr>
              <w:t>）</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bl>
    <w:p>
      <w:pPr>
        <w:rPr>
          <w:rFonts w:eastAsia="楷体_GB2312"/>
          <w:color w:val="000000"/>
          <w:szCs w:val="21"/>
        </w:rPr>
      </w:pPr>
      <w:r>
        <w:rPr>
          <w:rFonts w:eastAsia="楷体_GB2312"/>
          <w:color w:val="000000"/>
          <w:szCs w:val="21"/>
        </w:rPr>
        <w:t>【</w:t>
      </w:r>
      <w:r>
        <w:rPr>
          <w:rFonts w:eastAsia="楷体_GB2312"/>
          <w:color w:val="000000"/>
        </w:rPr>
        <w:t>备注：本表可根据评分办法的需要进行调整</w:t>
      </w:r>
      <w:r>
        <w:rPr>
          <w:rFonts w:eastAsia="楷体_GB2312"/>
          <w:color w:val="000000"/>
          <w:szCs w:val="21"/>
        </w:rPr>
        <w:t>】</w:t>
      </w:r>
    </w:p>
    <w:p>
      <w:pPr>
        <w:spacing w:line="440" w:lineRule="exact"/>
        <w:rPr>
          <w:rFonts w:hint="eastAsia"/>
          <w:color w:val="000000"/>
        </w:rPr>
      </w:pPr>
      <w:r>
        <w:rPr>
          <w:rFonts w:hint="eastAsia"/>
          <w:color w:val="000000"/>
        </w:rPr>
        <w:t>评委</w:t>
      </w:r>
      <w:r>
        <w:rPr>
          <w:color w:val="000000"/>
        </w:rPr>
        <w:t>签名：</w:t>
      </w:r>
    </w:p>
    <w:p>
      <w:pPr>
        <w:rPr>
          <w:color w:val="000000"/>
        </w:rPr>
      </w:pPr>
    </w:p>
    <w:p>
      <w:pPr>
        <w:rPr>
          <w:color w:val="000000"/>
        </w:rPr>
      </w:pPr>
    </w:p>
    <w:p>
      <w:pPr>
        <w:rPr>
          <w:rFonts w:hint="eastAsia"/>
          <w:color w:val="000000"/>
        </w:rPr>
      </w:pPr>
    </w:p>
    <w:p>
      <w:pPr>
        <w:pStyle w:val="4"/>
        <w:spacing w:line="240" w:lineRule="auto"/>
        <w:rPr>
          <w:sz w:val="28"/>
          <w:szCs w:val="28"/>
        </w:rPr>
      </w:pPr>
      <w:bookmarkStart w:id="744" w:name="_Toc59203052"/>
      <w:r>
        <w:rPr>
          <w:sz w:val="28"/>
          <w:szCs w:val="28"/>
        </w:rPr>
        <w:t>附表A-19：</w:t>
      </w:r>
      <w:r>
        <w:rPr>
          <w:rFonts w:hint="eastAsia"/>
          <w:sz w:val="28"/>
          <w:szCs w:val="28"/>
        </w:rPr>
        <w:t>投标</w:t>
      </w:r>
      <w:r>
        <w:rPr>
          <w:sz w:val="28"/>
          <w:szCs w:val="28"/>
        </w:rPr>
        <w:t>人</w:t>
      </w:r>
      <w:r>
        <w:rPr>
          <w:rFonts w:hint="eastAsia"/>
          <w:sz w:val="28"/>
          <w:szCs w:val="28"/>
        </w:rPr>
        <w:t>设计标评分计算</w:t>
      </w:r>
      <w:r>
        <w:rPr>
          <w:sz w:val="28"/>
          <w:szCs w:val="28"/>
        </w:rPr>
        <w:t>表</w:t>
      </w:r>
      <w:bookmarkEnd w:id="744"/>
    </w:p>
    <w:p>
      <w:pPr>
        <w:spacing w:line="440" w:lineRule="exact"/>
        <w:jc w:val="center"/>
        <w:rPr>
          <w:rFonts w:eastAsia="黑体"/>
          <w:color w:val="000000"/>
          <w:sz w:val="28"/>
          <w:szCs w:val="28"/>
        </w:rPr>
      </w:pPr>
      <w:r>
        <w:rPr>
          <w:rFonts w:hint="eastAsia" w:ascii="宋体" w:hAnsi="宋体"/>
          <w:b/>
          <w:color w:val="000000"/>
          <w:sz w:val="28"/>
          <w:szCs w:val="28"/>
        </w:rPr>
        <w:t>投标人名称（或代码）设计标</w:t>
      </w:r>
      <w:r>
        <w:rPr>
          <w:rFonts w:hint="eastAsia" w:eastAsia="黑体"/>
          <w:color w:val="000000"/>
          <w:sz w:val="28"/>
          <w:szCs w:val="28"/>
        </w:rPr>
        <w:t>评分计算</w:t>
      </w:r>
      <w:r>
        <w:rPr>
          <w:rFonts w:eastAsia="黑体"/>
          <w:color w:val="000000"/>
          <w:sz w:val="28"/>
          <w:szCs w:val="28"/>
        </w:rPr>
        <w:t>表</w:t>
      </w:r>
      <w:r>
        <w:rPr>
          <w:rFonts w:hint="eastAsia" w:eastAsia="黑体"/>
          <w:color w:val="000000"/>
          <w:sz w:val="28"/>
          <w:szCs w:val="28"/>
        </w:rPr>
        <w:t>（适用方案设计完成后初步设计完成前以初步设计投标）</w:t>
      </w:r>
    </w:p>
    <w:p>
      <w:pPr>
        <w:spacing w:after="72" w:afterLines="30" w:line="440" w:lineRule="exact"/>
        <w:rPr>
          <w:color w:val="000000"/>
        </w:rPr>
      </w:pPr>
      <w:r>
        <w:rPr>
          <w:rFonts w:hint="eastAsia"/>
          <w:color w:val="000000"/>
        </w:rPr>
        <w:t>项目</w:t>
      </w:r>
      <w:r>
        <w:rPr>
          <w:color w:val="000000"/>
        </w:rPr>
        <w:t>名称</w:t>
      </w:r>
      <w:r>
        <w:rPr>
          <w:rFonts w:hint="eastAsia"/>
          <w:color w:val="000000"/>
        </w:rPr>
        <w:t>及项目招标编号</w:t>
      </w:r>
      <w:r>
        <w:rPr>
          <w:color w:val="000000"/>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color w:val="000000"/>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43"/>
        <w:gridCol w:w="2977"/>
        <w:gridCol w:w="1016"/>
        <w:gridCol w:w="944"/>
        <w:gridCol w:w="851"/>
        <w:gridCol w:w="992"/>
        <w:gridCol w:w="992"/>
        <w:gridCol w:w="1016"/>
        <w:gridCol w:w="993"/>
        <w:gridCol w:w="1275"/>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0" w:hRule="atLeast"/>
          <w:jc w:val="center"/>
        </w:trPr>
        <w:tc>
          <w:tcPr>
            <w:tcW w:w="708" w:type="dxa"/>
            <w:vMerge w:val="restart"/>
            <w:noWrap w:val="0"/>
            <w:vAlign w:val="top"/>
          </w:tcPr>
          <w:p>
            <w:pPr>
              <w:spacing w:line="360" w:lineRule="auto"/>
              <w:jc w:val="center"/>
              <w:rPr>
                <w:color w:val="000000"/>
              </w:rPr>
            </w:pPr>
            <w:r>
              <w:rPr>
                <w:color w:val="000000"/>
              </w:rPr>
              <w:t>序号</w:t>
            </w:r>
          </w:p>
        </w:tc>
        <w:tc>
          <w:tcPr>
            <w:tcW w:w="3520" w:type="dxa"/>
            <w:gridSpan w:val="2"/>
            <w:vMerge w:val="restart"/>
            <w:noWrap w:val="0"/>
            <w:vAlign w:val="top"/>
          </w:tcPr>
          <w:p>
            <w:pPr>
              <w:spacing w:line="360" w:lineRule="auto"/>
              <w:jc w:val="center"/>
              <w:rPr>
                <w:color w:val="000000"/>
                <w:kern w:val="0"/>
                <w:szCs w:val="21"/>
              </w:rPr>
            </w:pPr>
            <w:r>
              <w:rPr>
                <w:color w:val="000000"/>
              </w:rPr>
              <w:t>评审因素</w:t>
            </w:r>
          </w:p>
        </w:tc>
        <w:tc>
          <w:tcPr>
            <w:tcW w:w="4795" w:type="dxa"/>
            <w:gridSpan w:val="5"/>
            <w:noWrap w:val="0"/>
            <w:vAlign w:val="center"/>
          </w:tcPr>
          <w:p>
            <w:pPr>
              <w:spacing w:line="360" w:lineRule="auto"/>
              <w:jc w:val="center"/>
              <w:rPr>
                <w:color w:val="000000"/>
              </w:rPr>
            </w:pPr>
            <w:r>
              <w:rPr>
                <w:rFonts w:hint="eastAsia" w:cs="宋体"/>
                <w:color w:val="000000"/>
                <w:szCs w:val="21"/>
                <w:lang w:bidi="ar"/>
              </w:rPr>
              <w:t>评委姓名</w:t>
            </w:r>
          </w:p>
        </w:tc>
        <w:tc>
          <w:tcPr>
            <w:tcW w:w="1016" w:type="dxa"/>
            <w:vMerge w:val="restart"/>
            <w:noWrap w:val="0"/>
            <w:vAlign w:val="center"/>
          </w:tcPr>
          <w:p>
            <w:pPr>
              <w:spacing w:line="360" w:lineRule="auto"/>
              <w:jc w:val="center"/>
              <w:rPr>
                <w:color w:val="000000"/>
              </w:rPr>
            </w:pPr>
            <w:r>
              <w:rPr>
                <w:rFonts w:hint="eastAsia" w:cs="宋体"/>
                <w:color w:val="000000"/>
                <w:szCs w:val="21"/>
                <w:lang w:bidi="ar"/>
              </w:rPr>
              <w:t>评分基准值</w:t>
            </w:r>
          </w:p>
        </w:tc>
        <w:tc>
          <w:tcPr>
            <w:tcW w:w="993" w:type="dxa"/>
            <w:vMerge w:val="restart"/>
            <w:noWrap w:val="0"/>
            <w:vAlign w:val="center"/>
          </w:tcPr>
          <w:p>
            <w:pPr>
              <w:spacing w:line="360" w:lineRule="auto"/>
              <w:jc w:val="center"/>
              <w:rPr>
                <w:rFonts w:hint="eastAsia" w:cs="宋体"/>
                <w:color w:val="000000"/>
                <w:szCs w:val="21"/>
                <w:lang w:bidi="ar"/>
              </w:rPr>
            </w:pPr>
            <w:r>
              <w:rPr>
                <w:rFonts w:hint="eastAsia" w:cs="宋体"/>
                <w:color w:val="000000"/>
                <w:szCs w:val="21"/>
                <w:lang w:bidi="ar"/>
              </w:rPr>
              <w:t>各评委</w:t>
            </w:r>
            <w:r>
              <w:rPr>
                <w:rStyle w:val="97"/>
                <w:rFonts w:hint="eastAsia"/>
                <w:color w:val="000000"/>
                <w:szCs w:val="21"/>
              </w:rPr>
              <w:t>有效</w:t>
            </w:r>
            <w:r>
              <w:rPr>
                <w:rFonts w:hint="eastAsia" w:cs="宋体"/>
                <w:color w:val="000000"/>
                <w:szCs w:val="21"/>
                <w:lang w:bidi="ar"/>
              </w:rPr>
              <w:t>评分合计</w:t>
            </w:r>
          </w:p>
        </w:tc>
        <w:tc>
          <w:tcPr>
            <w:tcW w:w="1275" w:type="dxa"/>
            <w:vMerge w:val="restart"/>
            <w:noWrap w:val="0"/>
            <w:vAlign w:val="top"/>
          </w:tcPr>
          <w:p>
            <w:pPr>
              <w:spacing w:line="360" w:lineRule="auto"/>
              <w:jc w:val="center"/>
              <w:rPr>
                <w:color w:val="000000"/>
              </w:rPr>
            </w:pPr>
            <w:r>
              <w:rPr>
                <w:rStyle w:val="97"/>
                <w:rFonts w:hint="eastAsia"/>
                <w:color w:val="000000"/>
                <w:szCs w:val="21"/>
              </w:rPr>
              <w:t>有效</w:t>
            </w:r>
            <w:r>
              <w:rPr>
                <w:rFonts w:hint="eastAsia" w:cs="宋体"/>
                <w:color w:val="000000"/>
                <w:szCs w:val="21"/>
                <w:lang w:bidi="ar"/>
              </w:rPr>
              <w:t>评分人数</w:t>
            </w:r>
          </w:p>
        </w:tc>
        <w:tc>
          <w:tcPr>
            <w:tcW w:w="962" w:type="dxa"/>
            <w:vMerge w:val="restart"/>
            <w:noWrap w:val="0"/>
            <w:vAlign w:val="top"/>
          </w:tcPr>
          <w:p>
            <w:pPr>
              <w:spacing w:line="360" w:lineRule="auto"/>
              <w:jc w:val="center"/>
              <w:rPr>
                <w:color w:val="000000"/>
              </w:rPr>
            </w:pPr>
            <w:r>
              <w:rPr>
                <w:rFonts w:hint="eastAsia" w:eastAsia="楷体_GB2312"/>
                <w:color w:val="000000"/>
                <w:szCs w:val="21"/>
              </w:rPr>
              <w:t>该单</w:t>
            </w:r>
            <w:r>
              <w:rPr>
                <w:rFonts w:eastAsia="楷体_GB2312"/>
                <w:color w:val="000000"/>
                <w:szCs w:val="21"/>
              </w:rPr>
              <w:t>项</w:t>
            </w:r>
            <w:r>
              <w:rPr>
                <w:rFonts w:hint="eastAsia" w:eastAsia="楷体_GB2312"/>
                <w:color w:val="000000"/>
                <w:szCs w:val="21"/>
              </w:rPr>
              <w:t>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4" w:hRule="atLeast"/>
          <w:jc w:val="center"/>
        </w:trPr>
        <w:tc>
          <w:tcPr>
            <w:tcW w:w="708" w:type="dxa"/>
            <w:vMerge w:val="continue"/>
            <w:noWrap w:val="0"/>
            <w:vAlign w:val="top"/>
          </w:tcPr>
          <w:p>
            <w:pPr>
              <w:spacing w:line="360" w:lineRule="auto"/>
              <w:jc w:val="center"/>
              <w:rPr>
                <w:color w:val="000000"/>
                <w:kern w:val="0"/>
                <w:szCs w:val="21"/>
              </w:rPr>
            </w:pPr>
          </w:p>
        </w:tc>
        <w:tc>
          <w:tcPr>
            <w:tcW w:w="3520" w:type="dxa"/>
            <w:gridSpan w:val="2"/>
            <w:vMerge w:val="continue"/>
            <w:noWrap w:val="0"/>
            <w:vAlign w:val="top"/>
          </w:tcPr>
          <w:p>
            <w:pPr>
              <w:spacing w:line="360" w:lineRule="auto"/>
              <w:jc w:val="center"/>
              <w:rPr>
                <w:color w:val="000000"/>
                <w:kern w:val="0"/>
                <w:szCs w:val="21"/>
              </w:rPr>
            </w:pPr>
          </w:p>
        </w:tc>
        <w:tc>
          <w:tcPr>
            <w:tcW w:w="1016" w:type="dxa"/>
            <w:noWrap w:val="0"/>
            <w:vAlign w:val="center"/>
          </w:tcPr>
          <w:p>
            <w:pPr>
              <w:spacing w:line="360" w:lineRule="auto"/>
              <w:jc w:val="center"/>
              <w:rPr>
                <w:color w:val="000000"/>
              </w:rPr>
            </w:pPr>
            <w:r>
              <w:rPr>
                <w:rFonts w:hint="eastAsia"/>
                <w:color w:val="000000"/>
              </w:rPr>
              <w:t>1</w:t>
            </w:r>
          </w:p>
        </w:tc>
        <w:tc>
          <w:tcPr>
            <w:tcW w:w="944" w:type="dxa"/>
            <w:noWrap w:val="0"/>
            <w:vAlign w:val="center"/>
          </w:tcPr>
          <w:p>
            <w:pPr>
              <w:spacing w:line="360" w:lineRule="auto"/>
              <w:jc w:val="center"/>
              <w:rPr>
                <w:color w:val="000000"/>
              </w:rPr>
            </w:pPr>
            <w:r>
              <w:rPr>
                <w:rFonts w:hint="eastAsia"/>
                <w:color w:val="000000"/>
              </w:rPr>
              <w:t>2</w:t>
            </w:r>
          </w:p>
        </w:tc>
        <w:tc>
          <w:tcPr>
            <w:tcW w:w="851" w:type="dxa"/>
            <w:noWrap w:val="0"/>
            <w:vAlign w:val="center"/>
          </w:tcPr>
          <w:p>
            <w:pPr>
              <w:spacing w:line="360" w:lineRule="auto"/>
              <w:jc w:val="center"/>
              <w:rPr>
                <w:color w:val="000000"/>
              </w:rPr>
            </w:pPr>
            <w:r>
              <w:rPr>
                <w:rFonts w:hint="eastAsia"/>
                <w:color w:val="000000"/>
              </w:rPr>
              <w:t>3</w:t>
            </w:r>
          </w:p>
        </w:tc>
        <w:tc>
          <w:tcPr>
            <w:tcW w:w="992" w:type="dxa"/>
            <w:noWrap w:val="0"/>
            <w:vAlign w:val="center"/>
          </w:tcPr>
          <w:p>
            <w:pPr>
              <w:spacing w:line="360" w:lineRule="auto"/>
              <w:jc w:val="center"/>
              <w:rPr>
                <w:color w:val="000000"/>
              </w:rPr>
            </w:pPr>
            <w:r>
              <w:rPr>
                <w:rFonts w:hint="eastAsia"/>
                <w:color w:val="000000"/>
              </w:rPr>
              <w:t>4</w:t>
            </w:r>
          </w:p>
        </w:tc>
        <w:tc>
          <w:tcPr>
            <w:tcW w:w="992" w:type="dxa"/>
            <w:noWrap w:val="0"/>
            <w:vAlign w:val="center"/>
          </w:tcPr>
          <w:p>
            <w:pPr>
              <w:spacing w:line="360" w:lineRule="auto"/>
              <w:jc w:val="center"/>
              <w:rPr>
                <w:color w:val="000000"/>
              </w:rPr>
            </w:pPr>
            <w:r>
              <w:rPr>
                <w:rFonts w:hint="eastAsia"/>
                <w:color w:val="000000"/>
              </w:rPr>
              <w:t>5</w:t>
            </w:r>
          </w:p>
        </w:tc>
        <w:tc>
          <w:tcPr>
            <w:tcW w:w="1016" w:type="dxa"/>
            <w:vMerge w:val="continue"/>
            <w:noWrap w:val="0"/>
            <w:vAlign w:val="center"/>
          </w:tcPr>
          <w:p>
            <w:pPr>
              <w:spacing w:line="360" w:lineRule="auto"/>
              <w:jc w:val="center"/>
              <w:rPr>
                <w:rFonts w:hint="eastAsia" w:cs="宋体"/>
                <w:color w:val="000000"/>
                <w:szCs w:val="21"/>
                <w:lang w:bidi="ar"/>
              </w:rPr>
            </w:pPr>
          </w:p>
        </w:tc>
        <w:tc>
          <w:tcPr>
            <w:tcW w:w="993" w:type="dxa"/>
            <w:vMerge w:val="continue"/>
            <w:noWrap w:val="0"/>
            <w:vAlign w:val="center"/>
          </w:tcPr>
          <w:p>
            <w:pPr>
              <w:spacing w:line="360" w:lineRule="auto"/>
              <w:jc w:val="center"/>
              <w:rPr>
                <w:rFonts w:hint="eastAsia"/>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7" w:hRule="atLeast"/>
          <w:jc w:val="center"/>
        </w:trPr>
        <w:tc>
          <w:tcPr>
            <w:tcW w:w="708" w:type="dxa"/>
            <w:vMerge w:val="restart"/>
            <w:noWrap w:val="0"/>
            <w:vAlign w:val="top"/>
          </w:tcPr>
          <w:p>
            <w:pPr>
              <w:spacing w:line="360" w:lineRule="auto"/>
              <w:jc w:val="center"/>
              <w:rPr>
                <w:rFonts w:hint="eastAsia"/>
                <w:color w:val="000000"/>
                <w:kern w:val="0"/>
                <w:szCs w:val="21"/>
              </w:rPr>
            </w:pPr>
            <w:r>
              <w:rPr>
                <w:rFonts w:hint="eastAsia"/>
                <w:color w:val="000000"/>
                <w:kern w:val="0"/>
                <w:szCs w:val="21"/>
              </w:rPr>
              <w:t>1</w:t>
            </w:r>
          </w:p>
        </w:tc>
        <w:tc>
          <w:tcPr>
            <w:tcW w:w="543" w:type="dxa"/>
            <w:vMerge w:val="restart"/>
            <w:noWrap w:val="0"/>
            <w:vAlign w:val="top"/>
          </w:tcPr>
          <w:p>
            <w:pPr>
              <w:spacing w:line="360" w:lineRule="auto"/>
              <w:jc w:val="left"/>
              <w:rPr>
                <w:rFonts w:hint="eastAsia"/>
                <w:color w:val="000000"/>
              </w:rPr>
            </w:pPr>
            <w:r>
              <w:rPr>
                <w:rFonts w:hint="eastAsia"/>
                <w:color w:val="000000"/>
              </w:rPr>
              <w:t>深化总平方案设计</w:t>
            </w:r>
          </w:p>
        </w:tc>
        <w:tc>
          <w:tcPr>
            <w:tcW w:w="2977" w:type="dxa"/>
            <w:vMerge w:val="restart"/>
            <w:noWrap w:val="0"/>
            <w:vAlign w:val="center"/>
          </w:tcPr>
          <w:p>
            <w:pPr>
              <w:spacing w:line="360" w:lineRule="auto"/>
              <w:jc w:val="left"/>
              <w:rPr>
                <w:color w:val="000000"/>
              </w:rPr>
            </w:pPr>
            <w:r>
              <w:rPr>
                <w:rFonts w:hint="eastAsia"/>
                <w:color w:val="000000"/>
              </w:rPr>
              <w:t>是否按要求对总平进行深化设计</w:t>
            </w:r>
            <w:r>
              <w:rPr>
                <w:rFonts w:hint="eastAsia" w:ascii="宋体" w:hAnsi="宋体"/>
                <w:bCs/>
                <w:color w:val="000000"/>
                <w:szCs w:val="21"/>
              </w:rPr>
              <w:t>。</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1016"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6" w:hRule="atLeast"/>
          <w:jc w:val="center"/>
        </w:trPr>
        <w:tc>
          <w:tcPr>
            <w:tcW w:w="708" w:type="dxa"/>
            <w:vMerge w:val="continue"/>
            <w:noWrap w:val="0"/>
            <w:vAlign w:val="top"/>
          </w:tcPr>
          <w:p>
            <w:pPr>
              <w:spacing w:line="360" w:lineRule="auto"/>
              <w:jc w:val="center"/>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color w:val="000000"/>
                <w:kern w:val="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1016"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center"/>
              <w:rPr>
                <w:rFonts w:hint="eastAsia"/>
                <w:color w:val="000000"/>
                <w:kern w:val="0"/>
                <w:szCs w:val="21"/>
              </w:rPr>
            </w:pPr>
            <w:r>
              <w:rPr>
                <w:rFonts w:hint="eastAsia"/>
                <w:color w:val="000000"/>
                <w:kern w:val="0"/>
                <w:szCs w:val="21"/>
              </w:rPr>
              <w:t>2</w:t>
            </w:r>
          </w:p>
        </w:tc>
        <w:tc>
          <w:tcPr>
            <w:tcW w:w="543" w:type="dxa"/>
            <w:vMerge w:val="continue"/>
            <w:noWrap w:val="0"/>
            <w:vAlign w:val="top"/>
          </w:tcPr>
          <w:p>
            <w:pPr>
              <w:spacing w:line="360" w:lineRule="auto"/>
              <w:jc w:val="left"/>
              <w:rPr>
                <w:rFonts w:hint="eastAsia" w:ascii="宋体" w:hAnsi="宋体"/>
                <w:bCs/>
                <w:color w:val="000000"/>
                <w:szCs w:val="21"/>
              </w:rPr>
            </w:pPr>
          </w:p>
        </w:tc>
        <w:tc>
          <w:tcPr>
            <w:tcW w:w="2977" w:type="dxa"/>
            <w:vMerge w:val="restart"/>
            <w:noWrap w:val="0"/>
            <w:vAlign w:val="center"/>
          </w:tcPr>
          <w:p>
            <w:pPr>
              <w:spacing w:line="360" w:lineRule="auto"/>
              <w:jc w:val="left"/>
              <w:rPr>
                <w:color w:val="000000"/>
              </w:rPr>
            </w:pPr>
            <w:r>
              <w:rPr>
                <w:rFonts w:hint="eastAsia" w:ascii="宋体" w:hAnsi="宋体"/>
                <w:bCs/>
                <w:color w:val="000000"/>
                <w:szCs w:val="21"/>
              </w:rPr>
              <w:t>对原总平设计提出合理的优化建议。</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1016"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center"/>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color w:val="000000"/>
                <w:kern w:val="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1016"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center"/>
              <w:rPr>
                <w:rFonts w:hint="eastAsia"/>
                <w:color w:val="000000"/>
                <w:kern w:val="0"/>
                <w:szCs w:val="21"/>
              </w:rPr>
            </w:pPr>
            <w:r>
              <w:rPr>
                <w:rFonts w:hint="eastAsia"/>
                <w:color w:val="000000"/>
                <w:kern w:val="0"/>
                <w:szCs w:val="21"/>
              </w:rPr>
              <w:t>3</w:t>
            </w:r>
          </w:p>
        </w:tc>
        <w:tc>
          <w:tcPr>
            <w:tcW w:w="543" w:type="dxa"/>
            <w:vMerge w:val="continue"/>
            <w:noWrap w:val="0"/>
            <w:vAlign w:val="top"/>
          </w:tcPr>
          <w:p>
            <w:pPr>
              <w:spacing w:line="360" w:lineRule="auto"/>
              <w:jc w:val="left"/>
              <w:rPr>
                <w:rFonts w:hint="eastAsia" w:ascii="宋体" w:hAnsi="宋体"/>
                <w:bCs/>
                <w:color w:val="000000"/>
                <w:szCs w:val="21"/>
              </w:rPr>
            </w:pPr>
          </w:p>
        </w:tc>
        <w:tc>
          <w:tcPr>
            <w:tcW w:w="2977" w:type="dxa"/>
            <w:vMerge w:val="restart"/>
            <w:noWrap w:val="0"/>
            <w:vAlign w:val="center"/>
          </w:tcPr>
          <w:p>
            <w:pPr>
              <w:spacing w:line="360" w:lineRule="auto"/>
              <w:jc w:val="left"/>
              <w:rPr>
                <w:rFonts w:hint="eastAsia"/>
                <w:color w:val="000000"/>
                <w:kern w:val="0"/>
                <w:szCs w:val="21"/>
              </w:rPr>
            </w:pPr>
            <w:r>
              <w:rPr>
                <w:rFonts w:hint="eastAsia" w:ascii="宋体" w:hAnsi="宋体"/>
                <w:bCs/>
                <w:color w:val="000000"/>
                <w:szCs w:val="21"/>
              </w:rPr>
              <w:t>对初步设计阶段的工作提出目标要求。</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1016"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center"/>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color w:val="000000"/>
                <w:kern w:val="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1016"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rFonts w:hint="eastAsia"/>
                <w:color w:val="000000"/>
                <w:kern w:val="0"/>
                <w:szCs w:val="21"/>
              </w:rPr>
            </w:pPr>
            <w:r>
              <w:rPr>
                <w:rFonts w:hint="eastAsia"/>
                <w:color w:val="000000"/>
                <w:kern w:val="0"/>
                <w:szCs w:val="21"/>
              </w:rPr>
              <w:t>4</w:t>
            </w:r>
          </w:p>
        </w:tc>
        <w:tc>
          <w:tcPr>
            <w:tcW w:w="543" w:type="dxa"/>
            <w:vMerge w:val="restart"/>
            <w:noWrap w:val="0"/>
            <w:vAlign w:val="top"/>
          </w:tcPr>
          <w:p>
            <w:pPr>
              <w:spacing w:line="360" w:lineRule="auto"/>
              <w:jc w:val="left"/>
              <w:rPr>
                <w:rFonts w:hint="eastAsia"/>
                <w:color w:val="000000"/>
              </w:rPr>
            </w:pPr>
            <w:r>
              <w:rPr>
                <w:rFonts w:hint="eastAsia" w:ascii="宋体" w:hAnsi="宋体"/>
                <w:color w:val="000000"/>
              </w:rPr>
              <w:t>深化单体建筑方案设计</w:t>
            </w:r>
          </w:p>
        </w:tc>
        <w:tc>
          <w:tcPr>
            <w:tcW w:w="2977" w:type="dxa"/>
            <w:vMerge w:val="restart"/>
            <w:noWrap w:val="0"/>
            <w:vAlign w:val="center"/>
          </w:tcPr>
          <w:p>
            <w:pPr>
              <w:spacing w:line="360" w:lineRule="auto"/>
              <w:jc w:val="left"/>
              <w:rPr>
                <w:rFonts w:hint="eastAsia"/>
                <w:color w:val="000000"/>
                <w:kern w:val="0"/>
                <w:szCs w:val="21"/>
              </w:rPr>
            </w:pPr>
            <w:r>
              <w:rPr>
                <w:rFonts w:hint="eastAsia"/>
                <w:color w:val="000000"/>
              </w:rPr>
              <w:t>设计方案</w:t>
            </w:r>
            <w:r>
              <w:rPr>
                <w:rFonts w:hint="eastAsia" w:ascii="宋体" w:hAnsi="宋体"/>
                <w:bCs/>
                <w:color w:val="000000"/>
                <w:szCs w:val="21"/>
              </w:rPr>
              <w:t>建筑空间是否丰富和具有特点。</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ascii="宋体" w:hAnsi="宋体"/>
                <w:bCs/>
                <w:color w:val="000000"/>
                <w:szCs w:val="21"/>
              </w:rPr>
            </w:pPr>
          </w:p>
        </w:tc>
        <w:tc>
          <w:tcPr>
            <w:tcW w:w="2977" w:type="dxa"/>
            <w:vMerge w:val="continue"/>
            <w:noWrap w:val="0"/>
            <w:vAlign w:val="center"/>
          </w:tcPr>
          <w:p>
            <w:pPr>
              <w:spacing w:line="360" w:lineRule="auto"/>
              <w:jc w:val="left"/>
              <w:rPr>
                <w:rFonts w:hint="eastAsia"/>
                <w:color w:val="000000"/>
                <w:kern w:val="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rFonts w:hint="eastAsia"/>
                <w:color w:val="000000"/>
                <w:kern w:val="0"/>
                <w:szCs w:val="21"/>
              </w:rPr>
            </w:pPr>
            <w:r>
              <w:rPr>
                <w:rFonts w:hint="eastAsia"/>
                <w:color w:val="000000"/>
                <w:kern w:val="0"/>
                <w:szCs w:val="21"/>
              </w:rPr>
              <w:t>5</w:t>
            </w:r>
          </w:p>
        </w:tc>
        <w:tc>
          <w:tcPr>
            <w:tcW w:w="543" w:type="dxa"/>
            <w:vMerge w:val="continue"/>
            <w:noWrap w:val="0"/>
            <w:vAlign w:val="top"/>
          </w:tcPr>
          <w:p>
            <w:pPr>
              <w:spacing w:line="360" w:lineRule="auto"/>
              <w:jc w:val="left"/>
              <w:rPr>
                <w:rFonts w:hint="eastAsia" w:ascii="宋体" w:hAnsi="宋体"/>
                <w:bCs/>
                <w:color w:val="000000"/>
                <w:szCs w:val="21"/>
              </w:rPr>
            </w:pPr>
          </w:p>
        </w:tc>
        <w:tc>
          <w:tcPr>
            <w:tcW w:w="2977" w:type="dxa"/>
            <w:vMerge w:val="restart"/>
            <w:noWrap w:val="0"/>
            <w:vAlign w:val="center"/>
          </w:tcPr>
          <w:p>
            <w:pPr>
              <w:spacing w:line="360" w:lineRule="auto"/>
              <w:jc w:val="left"/>
              <w:rPr>
                <w:rFonts w:hint="eastAsia"/>
                <w:color w:val="000000"/>
                <w:kern w:val="0"/>
                <w:szCs w:val="21"/>
              </w:rPr>
            </w:pPr>
            <w:r>
              <w:rPr>
                <w:rFonts w:hint="eastAsia" w:ascii="宋体" w:hAnsi="宋体"/>
                <w:bCs/>
                <w:color w:val="000000"/>
                <w:szCs w:val="21"/>
              </w:rPr>
              <w:t>平面布局及功能分区是否合理，是否符合本项目特点。</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ascii="宋体" w:hAnsi="宋体"/>
                <w:bCs/>
                <w:color w:val="000000"/>
                <w:szCs w:val="21"/>
              </w:rPr>
            </w:pPr>
          </w:p>
        </w:tc>
        <w:tc>
          <w:tcPr>
            <w:tcW w:w="2977" w:type="dxa"/>
            <w:vMerge w:val="continue"/>
            <w:noWrap w:val="0"/>
            <w:vAlign w:val="center"/>
          </w:tcPr>
          <w:p>
            <w:pPr>
              <w:spacing w:line="360" w:lineRule="auto"/>
              <w:jc w:val="left"/>
              <w:rPr>
                <w:rFonts w:hint="eastAsia"/>
                <w:color w:val="000000"/>
                <w:kern w:val="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rFonts w:hint="eastAsia"/>
                <w:color w:val="000000"/>
                <w:kern w:val="0"/>
                <w:szCs w:val="21"/>
              </w:rPr>
            </w:pPr>
            <w:r>
              <w:rPr>
                <w:rFonts w:hint="eastAsia"/>
                <w:color w:val="000000"/>
                <w:kern w:val="0"/>
                <w:szCs w:val="21"/>
              </w:rPr>
              <w:t>6</w:t>
            </w:r>
          </w:p>
        </w:tc>
        <w:tc>
          <w:tcPr>
            <w:tcW w:w="543" w:type="dxa"/>
            <w:vMerge w:val="continue"/>
            <w:noWrap w:val="0"/>
            <w:vAlign w:val="top"/>
          </w:tcPr>
          <w:p>
            <w:pPr>
              <w:spacing w:line="360" w:lineRule="auto"/>
              <w:jc w:val="left"/>
              <w:rPr>
                <w:rFonts w:hint="eastAsia"/>
                <w:color w:val="000000"/>
                <w:kern w:val="0"/>
                <w:szCs w:val="21"/>
              </w:rPr>
            </w:pPr>
          </w:p>
        </w:tc>
        <w:tc>
          <w:tcPr>
            <w:tcW w:w="2977" w:type="dxa"/>
            <w:vMerge w:val="restart"/>
            <w:noWrap w:val="0"/>
            <w:vAlign w:val="center"/>
          </w:tcPr>
          <w:p>
            <w:pPr>
              <w:spacing w:line="360" w:lineRule="auto"/>
              <w:jc w:val="left"/>
              <w:rPr>
                <w:rFonts w:hint="eastAsia"/>
                <w:color w:val="000000"/>
                <w:kern w:val="0"/>
                <w:szCs w:val="21"/>
              </w:rPr>
            </w:pPr>
            <w:r>
              <w:rPr>
                <w:rFonts w:hint="eastAsia" w:ascii="宋体" w:hAnsi="宋体"/>
                <w:bCs/>
                <w:color w:val="000000"/>
                <w:szCs w:val="21"/>
              </w:rPr>
              <w:t>人流线组织及竖向交通合理的合理程度。</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color w:val="000000"/>
                <w:kern w:val="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rFonts w:hint="eastAsia"/>
                <w:color w:val="000000"/>
                <w:kern w:val="0"/>
                <w:szCs w:val="21"/>
              </w:rPr>
            </w:pPr>
            <w:r>
              <w:rPr>
                <w:rFonts w:hint="eastAsia"/>
                <w:color w:val="000000"/>
                <w:kern w:val="0"/>
                <w:szCs w:val="21"/>
              </w:rPr>
              <w:t>7</w:t>
            </w:r>
          </w:p>
        </w:tc>
        <w:tc>
          <w:tcPr>
            <w:tcW w:w="543" w:type="dxa"/>
            <w:vMerge w:val="continue"/>
            <w:noWrap w:val="0"/>
            <w:vAlign w:val="top"/>
          </w:tcPr>
          <w:p>
            <w:pPr>
              <w:spacing w:line="360" w:lineRule="auto"/>
              <w:jc w:val="left"/>
              <w:rPr>
                <w:rFonts w:hint="eastAsia"/>
                <w:color w:val="000000"/>
                <w:kern w:val="0"/>
                <w:szCs w:val="21"/>
              </w:rPr>
            </w:pPr>
          </w:p>
        </w:tc>
        <w:tc>
          <w:tcPr>
            <w:tcW w:w="2977" w:type="dxa"/>
            <w:vMerge w:val="restart"/>
            <w:noWrap w:val="0"/>
            <w:vAlign w:val="center"/>
          </w:tcPr>
          <w:p>
            <w:pPr>
              <w:spacing w:line="360" w:lineRule="auto"/>
              <w:jc w:val="left"/>
              <w:rPr>
                <w:rFonts w:hint="eastAsia"/>
                <w:color w:val="000000"/>
                <w:kern w:val="0"/>
                <w:szCs w:val="21"/>
              </w:rPr>
            </w:pPr>
            <w:r>
              <w:rPr>
                <w:rFonts w:hint="eastAsia" w:ascii="宋体" w:hAnsi="宋体"/>
                <w:bCs/>
                <w:color w:val="000000"/>
                <w:szCs w:val="21"/>
              </w:rPr>
              <w:t>成果的完整性。</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ascii="宋体" w:hAnsi="宋体"/>
                <w:bCs/>
                <w:color w:val="00000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rFonts w:hint="eastAsia"/>
                <w:color w:val="000000"/>
                <w:kern w:val="0"/>
                <w:szCs w:val="21"/>
              </w:rPr>
            </w:pPr>
            <w:r>
              <w:rPr>
                <w:rFonts w:hint="eastAsia"/>
                <w:color w:val="000000"/>
                <w:kern w:val="0"/>
                <w:szCs w:val="21"/>
              </w:rPr>
              <w:t>8</w:t>
            </w:r>
          </w:p>
        </w:tc>
        <w:tc>
          <w:tcPr>
            <w:tcW w:w="543" w:type="dxa"/>
            <w:vMerge w:val="restart"/>
            <w:noWrap w:val="0"/>
            <w:vAlign w:val="top"/>
          </w:tcPr>
          <w:p>
            <w:pPr>
              <w:spacing w:line="360" w:lineRule="auto"/>
              <w:jc w:val="left"/>
              <w:rPr>
                <w:rFonts w:hint="eastAsia"/>
                <w:color w:val="000000"/>
                <w:kern w:val="0"/>
                <w:szCs w:val="21"/>
              </w:rPr>
            </w:pPr>
            <w:r>
              <w:rPr>
                <w:rFonts w:hint="eastAsia"/>
                <w:color w:val="000000"/>
                <w:kern w:val="0"/>
                <w:szCs w:val="21"/>
              </w:rPr>
              <w:t>初步设计成果</w:t>
            </w:r>
          </w:p>
        </w:tc>
        <w:tc>
          <w:tcPr>
            <w:tcW w:w="2977" w:type="dxa"/>
            <w:vMerge w:val="restart"/>
            <w:noWrap w:val="0"/>
            <w:vAlign w:val="center"/>
          </w:tcPr>
          <w:p>
            <w:pPr>
              <w:spacing w:line="360" w:lineRule="auto"/>
              <w:jc w:val="left"/>
              <w:rPr>
                <w:rFonts w:hint="eastAsia" w:ascii="宋体" w:hAnsi="宋体"/>
                <w:bCs/>
                <w:color w:val="000000"/>
                <w:szCs w:val="21"/>
              </w:rPr>
            </w:pPr>
            <w:r>
              <w:rPr>
                <w:rFonts w:hint="eastAsia" w:hAnsi="宋体"/>
                <w:color w:val="000000"/>
                <w:szCs w:val="21"/>
              </w:rPr>
              <w:t>初步设计技术先进性、合理性、实用性、可实施性。</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ascii="宋体" w:hAnsi="宋体"/>
                <w:bCs/>
                <w:color w:val="00000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rFonts w:hint="eastAsia"/>
                <w:color w:val="000000"/>
                <w:kern w:val="0"/>
                <w:szCs w:val="21"/>
              </w:rPr>
            </w:pPr>
            <w:r>
              <w:rPr>
                <w:rFonts w:hint="eastAsia"/>
                <w:color w:val="000000"/>
                <w:kern w:val="0"/>
                <w:szCs w:val="21"/>
              </w:rPr>
              <w:t>9</w:t>
            </w:r>
          </w:p>
        </w:tc>
        <w:tc>
          <w:tcPr>
            <w:tcW w:w="543" w:type="dxa"/>
            <w:vMerge w:val="continue"/>
            <w:noWrap w:val="0"/>
            <w:vAlign w:val="top"/>
          </w:tcPr>
          <w:p>
            <w:pPr>
              <w:spacing w:line="360" w:lineRule="auto"/>
              <w:jc w:val="left"/>
              <w:rPr>
                <w:rFonts w:hint="eastAsia"/>
                <w:color w:val="000000"/>
                <w:kern w:val="0"/>
                <w:szCs w:val="21"/>
              </w:rPr>
            </w:pPr>
          </w:p>
        </w:tc>
        <w:tc>
          <w:tcPr>
            <w:tcW w:w="2977" w:type="dxa"/>
            <w:vMerge w:val="restart"/>
            <w:noWrap w:val="0"/>
            <w:vAlign w:val="center"/>
          </w:tcPr>
          <w:p>
            <w:pPr>
              <w:spacing w:line="360" w:lineRule="auto"/>
              <w:jc w:val="left"/>
              <w:rPr>
                <w:rFonts w:hint="eastAsia" w:ascii="宋体" w:hAnsi="宋体"/>
                <w:bCs/>
                <w:color w:val="000000"/>
                <w:szCs w:val="21"/>
              </w:rPr>
            </w:pPr>
            <w:r>
              <w:rPr>
                <w:rFonts w:hint="eastAsia" w:hAnsi="宋体"/>
                <w:color w:val="000000"/>
                <w:szCs w:val="21"/>
              </w:rPr>
              <w:t>初步设计是否能达到原总平设计、方案设计的效果和目标。</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ascii="宋体" w:hAnsi="宋体"/>
                <w:bCs/>
                <w:color w:val="00000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rFonts w:hint="eastAsia"/>
                <w:color w:val="000000"/>
                <w:kern w:val="0"/>
                <w:szCs w:val="21"/>
              </w:rPr>
            </w:pPr>
            <w:r>
              <w:rPr>
                <w:rFonts w:hint="eastAsia"/>
                <w:color w:val="000000"/>
                <w:kern w:val="0"/>
                <w:szCs w:val="21"/>
              </w:rPr>
              <w:t>10</w:t>
            </w:r>
          </w:p>
        </w:tc>
        <w:tc>
          <w:tcPr>
            <w:tcW w:w="543" w:type="dxa"/>
            <w:vMerge w:val="continue"/>
            <w:noWrap w:val="0"/>
            <w:vAlign w:val="top"/>
          </w:tcPr>
          <w:p>
            <w:pPr>
              <w:spacing w:line="360" w:lineRule="auto"/>
              <w:jc w:val="left"/>
              <w:rPr>
                <w:rFonts w:hint="eastAsia"/>
                <w:color w:val="000000"/>
                <w:kern w:val="0"/>
                <w:szCs w:val="21"/>
              </w:rPr>
            </w:pPr>
          </w:p>
        </w:tc>
        <w:tc>
          <w:tcPr>
            <w:tcW w:w="2977" w:type="dxa"/>
            <w:vMerge w:val="restart"/>
            <w:noWrap w:val="0"/>
            <w:vAlign w:val="center"/>
          </w:tcPr>
          <w:p>
            <w:pPr>
              <w:spacing w:line="360" w:lineRule="auto"/>
              <w:jc w:val="left"/>
              <w:rPr>
                <w:rFonts w:hint="eastAsia" w:ascii="宋体" w:hAnsi="宋体"/>
                <w:bCs/>
                <w:color w:val="000000"/>
                <w:szCs w:val="21"/>
              </w:rPr>
            </w:pPr>
            <w:r>
              <w:rPr>
                <w:rFonts w:hint="eastAsia" w:hAnsi="宋体"/>
                <w:color w:val="000000"/>
                <w:szCs w:val="21"/>
              </w:rPr>
              <w:t>各专业对经济性的控制是否有专项措施，经济性控制良好。</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ascii="宋体" w:hAnsi="宋体"/>
                <w:bCs/>
                <w:color w:val="00000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rFonts w:hint="eastAsia"/>
                <w:color w:val="000000"/>
                <w:kern w:val="0"/>
                <w:szCs w:val="21"/>
              </w:rPr>
            </w:pPr>
            <w:r>
              <w:rPr>
                <w:rFonts w:hint="eastAsia"/>
                <w:color w:val="000000"/>
                <w:kern w:val="0"/>
                <w:szCs w:val="21"/>
              </w:rPr>
              <w:t>11</w:t>
            </w:r>
          </w:p>
        </w:tc>
        <w:tc>
          <w:tcPr>
            <w:tcW w:w="543" w:type="dxa"/>
            <w:vMerge w:val="continue"/>
            <w:noWrap w:val="0"/>
            <w:vAlign w:val="top"/>
          </w:tcPr>
          <w:p>
            <w:pPr>
              <w:spacing w:line="360" w:lineRule="auto"/>
              <w:jc w:val="left"/>
              <w:rPr>
                <w:rFonts w:hint="eastAsia"/>
                <w:color w:val="000000"/>
                <w:kern w:val="0"/>
                <w:szCs w:val="21"/>
              </w:rPr>
            </w:pPr>
          </w:p>
        </w:tc>
        <w:tc>
          <w:tcPr>
            <w:tcW w:w="2977" w:type="dxa"/>
            <w:vMerge w:val="restart"/>
            <w:noWrap w:val="0"/>
            <w:vAlign w:val="center"/>
          </w:tcPr>
          <w:p>
            <w:pPr>
              <w:spacing w:line="360" w:lineRule="auto"/>
              <w:jc w:val="left"/>
              <w:rPr>
                <w:rFonts w:hint="eastAsia" w:ascii="宋体" w:hAnsi="宋体"/>
                <w:bCs/>
                <w:color w:val="000000"/>
                <w:szCs w:val="21"/>
              </w:rPr>
            </w:pPr>
            <w:r>
              <w:rPr>
                <w:rFonts w:hint="eastAsia" w:hAnsi="宋体"/>
                <w:bCs/>
                <w:color w:val="000000"/>
                <w:szCs w:val="21"/>
              </w:rPr>
              <w:t>对关键技术选用和实施有专篇进行论证。</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ascii="宋体" w:hAnsi="宋体"/>
                <w:bCs/>
                <w:color w:val="00000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rFonts w:hint="eastAsia"/>
                <w:color w:val="000000"/>
                <w:kern w:val="0"/>
                <w:szCs w:val="21"/>
              </w:rPr>
            </w:pPr>
            <w:r>
              <w:rPr>
                <w:rFonts w:hint="eastAsia"/>
                <w:color w:val="000000"/>
                <w:kern w:val="0"/>
                <w:szCs w:val="21"/>
              </w:rPr>
              <w:t>12</w:t>
            </w:r>
          </w:p>
        </w:tc>
        <w:tc>
          <w:tcPr>
            <w:tcW w:w="543" w:type="dxa"/>
            <w:vMerge w:val="continue"/>
            <w:noWrap w:val="0"/>
            <w:vAlign w:val="top"/>
          </w:tcPr>
          <w:p>
            <w:pPr>
              <w:spacing w:line="360" w:lineRule="auto"/>
              <w:jc w:val="left"/>
              <w:rPr>
                <w:rFonts w:hint="eastAsia"/>
                <w:color w:val="000000"/>
                <w:kern w:val="0"/>
                <w:szCs w:val="21"/>
              </w:rPr>
            </w:pPr>
          </w:p>
        </w:tc>
        <w:tc>
          <w:tcPr>
            <w:tcW w:w="2977" w:type="dxa"/>
            <w:vMerge w:val="restart"/>
            <w:noWrap w:val="0"/>
            <w:vAlign w:val="center"/>
          </w:tcPr>
          <w:p>
            <w:pPr>
              <w:spacing w:line="360" w:lineRule="auto"/>
              <w:jc w:val="left"/>
              <w:rPr>
                <w:rFonts w:hint="eastAsia" w:ascii="宋体" w:hAnsi="宋体"/>
                <w:bCs/>
                <w:color w:val="000000"/>
                <w:szCs w:val="21"/>
              </w:rPr>
            </w:pPr>
            <w:r>
              <w:rPr>
                <w:rFonts w:hint="eastAsia" w:hAnsi="宋体"/>
                <w:color w:val="000000"/>
                <w:szCs w:val="21"/>
              </w:rPr>
              <w:t>初步设计说明的质量、内容和深度符合国家和省、市的有关规定和要求</w:t>
            </w:r>
            <w:r>
              <w:rPr>
                <w:rFonts w:hint="eastAsia" w:hAnsi="宋体"/>
                <w:bCs/>
                <w:color w:val="000000"/>
                <w:szCs w:val="21"/>
              </w:rPr>
              <w:t>。</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ascii="宋体" w:hAnsi="宋体"/>
                <w:bCs/>
                <w:color w:val="00000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rFonts w:hint="eastAsia"/>
                <w:color w:val="000000"/>
                <w:kern w:val="0"/>
                <w:szCs w:val="21"/>
              </w:rPr>
            </w:pPr>
            <w:r>
              <w:rPr>
                <w:rFonts w:hint="eastAsia"/>
                <w:color w:val="000000"/>
                <w:kern w:val="0"/>
                <w:szCs w:val="21"/>
              </w:rPr>
              <w:t>13</w:t>
            </w:r>
          </w:p>
        </w:tc>
        <w:tc>
          <w:tcPr>
            <w:tcW w:w="543" w:type="dxa"/>
            <w:vMerge w:val="continue"/>
            <w:noWrap w:val="0"/>
            <w:vAlign w:val="top"/>
          </w:tcPr>
          <w:p>
            <w:pPr>
              <w:spacing w:line="360" w:lineRule="auto"/>
              <w:jc w:val="left"/>
              <w:rPr>
                <w:rFonts w:hint="eastAsia"/>
                <w:color w:val="000000"/>
                <w:kern w:val="0"/>
                <w:szCs w:val="21"/>
              </w:rPr>
            </w:pPr>
          </w:p>
        </w:tc>
        <w:tc>
          <w:tcPr>
            <w:tcW w:w="2977" w:type="dxa"/>
            <w:vMerge w:val="restart"/>
            <w:noWrap w:val="0"/>
            <w:vAlign w:val="center"/>
          </w:tcPr>
          <w:p>
            <w:pPr>
              <w:spacing w:line="360" w:lineRule="auto"/>
              <w:jc w:val="left"/>
              <w:rPr>
                <w:rFonts w:hint="eastAsia" w:ascii="宋体" w:hAnsi="宋体"/>
                <w:bCs/>
                <w:color w:val="000000"/>
                <w:szCs w:val="21"/>
              </w:rPr>
            </w:pPr>
            <w:r>
              <w:rPr>
                <w:rFonts w:hint="eastAsia" w:hAnsi="宋体"/>
                <w:color w:val="000000"/>
                <w:szCs w:val="21"/>
              </w:rPr>
              <w:t>初步设计图纸的质量、内容和深度符合国家和省、市的有关规定和要求。</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ascii="宋体" w:hAnsi="宋体"/>
                <w:bCs/>
                <w:color w:val="00000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rFonts w:hint="eastAsia"/>
                <w:color w:val="000000"/>
                <w:kern w:val="0"/>
                <w:szCs w:val="21"/>
              </w:rPr>
            </w:pPr>
            <w:r>
              <w:rPr>
                <w:rFonts w:hint="eastAsia"/>
                <w:color w:val="000000"/>
                <w:kern w:val="0"/>
                <w:szCs w:val="21"/>
              </w:rPr>
              <w:t>14</w:t>
            </w:r>
          </w:p>
        </w:tc>
        <w:tc>
          <w:tcPr>
            <w:tcW w:w="543" w:type="dxa"/>
            <w:vMerge w:val="continue"/>
            <w:noWrap w:val="0"/>
            <w:vAlign w:val="top"/>
          </w:tcPr>
          <w:p>
            <w:pPr>
              <w:spacing w:line="360" w:lineRule="auto"/>
              <w:jc w:val="left"/>
              <w:rPr>
                <w:rFonts w:hint="eastAsia"/>
                <w:color w:val="000000"/>
                <w:kern w:val="0"/>
                <w:szCs w:val="21"/>
              </w:rPr>
            </w:pPr>
          </w:p>
        </w:tc>
        <w:tc>
          <w:tcPr>
            <w:tcW w:w="2977" w:type="dxa"/>
            <w:vMerge w:val="restart"/>
            <w:noWrap w:val="0"/>
            <w:vAlign w:val="center"/>
          </w:tcPr>
          <w:p>
            <w:pPr>
              <w:spacing w:line="360" w:lineRule="auto"/>
              <w:jc w:val="left"/>
              <w:rPr>
                <w:rFonts w:hint="eastAsia" w:ascii="宋体" w:hAnsi="宋体"/>
                <w:bCs/>
                <w:color w:val="000000"/>
                <w:szCs w:val="21"/>
              </w:rPr>
            </w:pPr>
            <w:r>
              <w:rPr>
                <w:rFonts w:hint="eastAsia" w:hAnsi="宋体"/>
                <w:color w:val="000000"/>
                <w:szCs w:val="21"/>
              </w:rPr>
              <w:t>初步设计概算的说明、概算的质量、内容和深度符合国家和省、市的有关规定和要求，取费正确，对投资的控制达到招标文件的要求</w:t>
            </w:r>
            <w:r>
              <w:rPr>
                <w:rFonts w:hint="eastAsia" w:hAnsi="宋体"/>
                <w:bCs/>
                <w:color w:val="000000"/>
                <w:szCs w:val="21"/>
              </w:rPr>
              <w:t>。</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ascii="宋体" w:hAnsi="宋体"/>
                <w:bCs/>
                <w:color w:val="00000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3" w:hRule="atLeast"/>
          <w:jc w:val="center"/>
        </w:trPr>
        <w:tc>
          <w:tcPr>
            <w:tcW w:w="708" w:type="dxa"/>
            <w:noWrap w:val="0"/>
            <w:vAlign w:val="top"/>
          </w:tcPr>
          <w:p>
            <w:pPr>
              <w:spacing w:line="360" w:lineRule="auto"/>
              <w:jc w:val="left"/>
              <w:rPr>
                <w:color w:val="000000"/>
                <w:kern w:val="0"/>
                <w:szCs w:val="21"/>
              </w:rPr>
            </w:pPr>
          </w:p>
        </w:tc>
        <w:tc>
          <w:tcPr>
            <w:tcW w:w="543" w:type="dxa"/>
            <w:noWrap w:val="0"/>
            <w:vAlign w:val="top"/>
          </w:tcPr>
          <w:p>
            <w:pPr>
              <w:spacing w:line="360" w:lineRule="auto"/>
              <w:jc w:val="left"/>
              <w:rPr>
                <w:color w:val="000000"/>
                <w:kern w:val="0"/>
                <w:szCs w:val="21"/>
              </w:rPr>
            </w:pPr>
          </w:p>
        </w:tc>
        <w:tc>
          <w:tcPr>
            <w:tcW w:w="2977" w:type="dxa"/>
            <w:noWrap w:val="0"/>
            <w:vAlign w:val="center"/>
          </w:tcPr>
          <w:p>
            <w:pPr>
              <w:spacing w:line="360" w:lineRule="auto"/>
              <w:jc w:val="left"/>
              <w:rPr>
                <w:rFonts w:hint="eastAsia"/>
                <w:color w:val="000000"/>
                <w:kern w:val="0"/>
                <w:szCs w:val="21"/>
              </w:rPr>
            </w:pPr>
            <w:r>
              <w:rPr>
                <w:color w:val="000000"/>
                <w:kern w:val="0"/>
                <w:szCs w:val="21"/>
              </w:rPr>
              <w:t>.........</w:t>
            </w:r>
          </w:p>
        </w:tc>
        <w:tc>
          <w:tcPr>
            <w:tcW w:w="1016" w:type="dxa"/>
            <w:noWrap w:val="0"/>
            <w:vAlign w:val="center"/>
          </w:tcPr>
          <w:p>
            <w:pPr>
              <w:spacing w:line="360" w:lineRule="auto"/>
              <w:jc w:val="center"/>
              <w:rPr>
                <w:color w:val="000000"/>
              </w:rPr>
            </w:pPr>
          </w:p>
        </w:tc>
        <w:tc>
          <w:tcPr>
            <w:tcW w:w="944" w:type="dxa"/>
            <w:noWrap w:val="0"/>
            <w:vAlign w:val="center"/>
          </w:tcPr>
          <w:p>
            <w:pPr>
              <w:spacing w:line="360" w:lineRule="auto"/>
              <w:jc w:val="center"/>
              <w:rPr>
                <w:color w:val="000000"/>
              </w:rPr>
            </w:pPr>
          </w:p>
        </w:tc>
        <w:tc>
          <w:tcPr>
            <w:tcW w:w="851" w:type="dxa"/>
            <w:noWrap w:val="0"/>
            <w:vAlign w:val="center"/>
          </w:tcPr>
          <w:p>
            <w:pPr>
              <w:spacing w:line="360" w:lineRule="auto"/>
              <w:jc w:val="center"/>
              <w:rPr>
                <w:color w:val="000000"/>
              </w:rPr>
            </w:pPr>
          </w:p>
        </w:tc>
        <w:tc>
          <w:tcPr>
            <w:tcW w:w="992" w:type="dxa"/>
            <w:noWrap w:val="0"/>
            <w:vAlign w:val="center"/>
          </w:tcPr>
          <w:p>
            <w:pPr>
              <w:spacing w:line="360" w:lineRule="auto"/>
              <w:jc w:val="center"/>
              <w:rPr>
                <w:color w:val="000000"/>
              </w:rPr>
            </w:pPr>
          </w:p>
        </w:tc>
        <w:tc>
          <w:tcPr>
            <w:tcW w:w="992" w:type="dxa"/>
            <w:noWrap w:val="0"/>
            <w:vAlign w:val="center"/>
          </w:tcPr>
          <w:p>
            <w:pPr>
              <w:spacing w:line="360" w:lineRule="auto"/>
              <w:jc w:val="center"/>
              <w:rPr>
                <w:color w:val="000000"/>
              </w:rPr>
            </w:pP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3" w:hRule="atLeast"/>
          <w:jc w:val="center"/>
        </w:trPr>
        <w:tc>
          <w:tcPr>
            <w:tcW w:w="4228" w:type="dxa"/>
            <w:gridSpan w:val="3"/>
            <w:noWrap w:val="0"/>
            <w:vAlign w:val="top"/>
          </w:tcPr>
          <w:p>
            <w:pPr>
              <w:spacing w:line="360" w:lineRule="auto"/>
              <w:jc w:val="left"/>
              <w:rPr>
                <w:color w:val="000000"/>
                <w:kern w:val="0"/>
                <w:szCs w:val="21"/>
              </w:rPr>
            </w:pPr>
            <w:r>
              <w:rPr>
                <w:rFonts w:hint="eastAsia"/>
                <w:color w:val="000000"/>
                <w:kern w:val="0"/>
                <w:szCs w:val="21"/>
              </w:rPr>
              <w:t>设计标总评分结果</w:t>
            </w:r>
          </w:p>
        </w:tc>
        <w:tc>
          <w:tcPr>
            <w:tcW w:w="2811" w:type="dxa"/>
            <w:gridSpan w:val="3"/>
            <w:noWrap w:val="0"/>
            <w:vAlign w:val="center"/>
          </w:tcPr>
          <w:p>
            <w:pPr>
              <w:spacing w:line="360" w:lineRule="auto"/>
              <w:jc w:val="center"/>
              <w:rPr>
                <w:color w:val="000000"/>
              </w:rPr>
            </w:pPr>
          </w:p>
        </w:tc>
        <w:tc>
          <w:tcPr>
            <w:tcW w:w="1984" w:type="dxa"/>
            <w:gridSpan w:val="2"/>
            <w:noWrap w:val="0"/>
            <w:vAlign w:val="center"/>
          </w:tcPr>
          <w:p>
            <w:pPr>
              <w:spacing w:line="360" w:lineRule="auto"/>
              <w:jc w:val="center"/>
              <w:rPr>
                <w:color w:val="000000"/>
              </w:rPr>
            </w:pPr>
            <w:r>
              <w:rPr>
                <w:rFonts w:hint="eastAsia"/>
                <w:color w:val="000000"/>
              </w:rPr>
              <w:t>是否通过评审</w:t>
            </w:r>
          </w:p>
        </w:tc>
        <w:tc>
          <w:tcPr>
            <w:tcW w:w="4246" w:type="dxa"/>
            <w:gridSpan w:val="4"/>
            <w:noWrap w:val="0"/>
            <w:vAlign w:val="center"/>
          </w:tcPr>
          <w:p>
            <w:pPr>
              <w:spacing w:line="360" w:lineRule="auto"/>
              <w:jc w:val="center"/>
              <w:rPr>
                <w:color w:val="000000"/>
              </w:rPr>
            </w:pPr>
          </w:p>
        </w:tc>
      </w:tr>
    </w:tbl>
    <w:p>
      <w:pPr>
        <w:rPr>
          <w:rFonts w:hint="eastAsia" w:eastAsia="楷体_GB2312"/>
          <w:color w:val="000000"/>
          <w:szCs w:val="21"/>
        </w:rPr>
      </w:pPr>
    </w:p>
    <w:p>
      <w:pPr>
        <w:spacing w:after="240" w:afterLines="100"/>
        <w:rPr>
          <w:color w:val="000000"/>
        </w:rPr>
      </w:pPr>
      <w:r>
        <w:rPr>
          <w:rFonts w:hint="eastAsia" w:eastAsia="楷体_GB2312"/>
          <w:color w:val="000000"/>
          <w:szCs w:val="21"/>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p>
    <w:p>
      <w:pPr>
        <w:rPr>
          <w:rFonts w:eastAsia="楷体_GB2312"/>
          <w:color w:val="000000"/>
          <w:szCs w:val="21"/>
        </w:rPr>
      </w:pPr>
    </w:p>
    <w:p>
      <w:pPr>
        <w:spacing w:line="440" w:lineRule="exact"/>
        <w:rPr>
          <w:color w:val="000000"/>
        </w:rPr>
      </w:pPr>
    </w:p>
    <w:p>
      <w:pPr>
        <w:spacing w:line="440" w:lineRule="exact"/>
        <w:rPr>
          <w:color w:val="000000"/>
        </w:rPr>
      </w:pPr>
      <w:r>
        <w:rPr>
          <w:rFonts w:hint="eastAsia"/>
          <w:color w:val="000000"/>
        </w:rPr>
        <w:t>设计标评审</w:t>
      </w:r>
      <w:r>
        <w:rPr>
          <w:color w:val="000000"/>
        </w:rPr>
        <w:t>全体</w:t>
      </w:r>
      <w:r>
        <w:rPr>
          <w:rFonts w:hint="eastAsia"/>
          <w:color w:val="000000"/>
        </w:rPr>
        <w:t>评委</w:t>
      </w:r>
      <w:r>
        <w:rPr>
          <w:color w:val="000000"/>
        </w:rPr>
        <w:t>签名：                                                         日期：        年     月     日</w:t>
      </w:r>
    </w:p>
    <w:p>
      <w:pPr>
        <w:spacing w:line="440" w:lineRule="exact"/>
        <w:rPr>
          <w:color w:val="000000"/>
        </w:rPr>
      </w:pPr>
    </w:p>
    <w:p>
      <w:pPr>
        <w:spacing w:line="440" w:lineRule="exact"/>
        <w:rPr>
          <w:color w:val="000000"/>
        </w:rPr>
      </w:pPr>
    </w:p>
    <w:p>
      <w:pPr>
        <w:spacing w:line="440" w:lineRule="exact"/>
        <w:rPr>
          <w:rFonts w:hint="eastAsia"/>
          <w:color w:val="000000"/>
        </w:rPr>
      </w:pPr>
    </w:p>
    <w:p>
      <w:pPr>
        <w:pStyle w:val="4"/>
        <w:spacing w:line="240" w:lineRule="auto"/>
        <w:rPr>
          <w:rFonts w:hint="eastAsia"/>
          <w:sz w:val="28"/>
          <w:szCs w:val="28"/>
        </w:rPr>
      </w:pPr>
      <w:bookmarkStart w:id="745" w:name="_Toc59203053"/>
      <w:r>
        <w:rPr>
          <w:sz w:val="28"/>
          <w:szCs w:val="28"/>
        </w:rPr>
        <w:t>附表A-</w:t>
      </w:r>
      <w:r>
        <w:rPr>
          <w:rFonts w:hint="eastAsia"/>
          <w:sz w:val="28"/>
          <w:szCs w:val="28"/>
        </w:rPr>
        <w:t>1</w:t>
      </w:r>
      <w:r>
        <w:rPr>
          <w:sz w:val="28"/>
          <w:szCs w:val="28"/>
        </w:rPr>
        <w:t>8：</w:t>
      </w:r>
      <w:r>
        <w:rPr>
          <w:rFonts w:hint="eastAsia"/>
          <w:sz w:val="28"/>
          <w:szCs w:val="28"/>
        </w:rPr>
        <w:t>设计标</w:t>
      </w:r>
      <w:r>
        <w:rPr>
          <w:sz w:val="28"/>
          <w:szCs w:val="28"/>
        </w:rPr>
        <w:t>评</w:t>
      </w:r>
      <w:r>
        <w:rPr>
          <w:rFonts w:hint="eastAsia"/>
          <w:sz w:val="28"/>
          <w:szCs w:val="28"/>
        </w:rPr>
        <w:t>分</w:t>
      </w:r>
      <w:r>
        <w:rPr>
          <w:sz w:val="28"/>
          <w:szCs w:val="28"/>
        </w:rPr>
        <w:t>记录表</w:t>
      </w:r>
      <w:r>
        <w:rPr>
          <w:rFonts w:hint="eastAsia"/>
          <w:sz w:val="28"/>
          <w:szCs w:val="28"/>
        </w:rPr>
        <w:t>（适用方案设计完成后初步设计完成前以初步设计投标）</w:t>
      </w:r>
      <w:bookmarkEnd w:id="745"/>
    </w:p>
    <w:p>
      <w:pPr>
        <w:spacing w:line="440" w:lineRule="exact"/>
        <w:jc w:val="center"/>
        <w:rPr>
          <w:rFonts w:hint="eastAsia" w:eastAsia="黑体"/>
          <w:color w:val="000000"/>
          <w:sz w:val="28"/>
          <w:szCs w:val="28"/>
        </w:rPr>
      </w:pPr>
    </w:p>
    <w:p>
      <w:pPr>
        <w:jc w:val="center"/>
        <w:rPr>
          <w:b/>
          <w:color w:val="000000"/>
          <w:sz w:val="28"/>
          <w:szCs w:val="28"/>
        </w:rPr>
      </w:pPr>
      <w:r>
        <w:rPr>
          <w:rFonts w:hint="eastAsia"/>
          <w:b/>
          <w:color w:val="000000"/>
          <w:sz w:val="28"/>
          <w:szCs w:val="28"/>
        </w:rPr>
        <w:t>设计标</w:t>
      </w:r>
      <w:r>
        <w:rPr>
          <w:b/>
          <w:color w:val="000000"/>
          <w:sz w:val="28"/>
          <w:szCs w:val="28"/>
        </w:rPr>
        <w:t>评</w:t>
      </w:r>
      <w:r>
        <w:rPr>
          <w:rFonts w:hint="eastAsia"/>
          <w:b/>
          <w:color w:val="000000"/>
          <w:sz w:val="28"/>
          <w:szCs w:val="28"/>
        </w:rPr>
        <w:t>分</w:t>
      </w:r>
      <w:r>
        <w:rPr>
          <w:b/>
          <w:color w:val="000000"/>
          <w:sz w:val="28"/>
          <w:szCs w:val="28"/>
        </w:rPr>
        <w:t>记录表</w:t>
      </w:r>
      <w:r>
        <w:rPr>
          <w:rFonts w:hint="eastAsia"/>
          <w:b/>
          <w:color w:val="000000"/>
          <w:sz w:val="28"/>
          <w:szCs w:val="28"/>
        </w:rPr>
        <w:t>（适用</w:t>
      </w:r>
      <w:r>
        <w:rPr>
          <w:rFonts w:hint="eastAsia" w:ascii="宋体" w:hAnsi="宋体"/>
          <w:b/>
          <w:color w:val="000000"/>
          <w:sz w:val="28"/>
          <w:szCs w:val="28"/>
        </w:rPr>
        <w:t>方案设计完成后初步设计完成前</w:t>
      </w:r>
      <w:r>
        <w:rPr>
          <w:rFonts w:hint="eastAsia"/>
          <w:b/>
          <w:color w:val="000000"/>
          <w:sz w:val="28"/>
          <w:szCs w:val="28"/>
        </w:rPr>
        <w:t>以初步设计投标）（</w:t>
      </w:r>
      <w:r>
        <w:rPr>
          <w:b/>
          <w:color w:val="000000"/>
          <w:sz w:val="28"/>
          <w:szCs w:val="28"/>
        </w:rPr>
        <w:t>适用</w:t>
      </w:r>
      <w:r>
        <w:rPr>
          <w:rFonts w:hint="eastAsia" w:ascii="宋体" w:hAnsi="宋体"/>
          <w:b/>
          <w:color w:val="000000"/>
          <w:sz w:val="28"/>
          <w:szCs w:val="28"/>
        </w:rPr>
        <w:t>市政</w:t>
      </w:r>
      <w:r>
        <w:rPr>
          <w:rFonts w:ascii="宋体" w:hAnsi="宋体"/>
          <w:b/>
          <w:color w:val="000000"/>
          <w:sz w:val="28"/>
          <w:szCs w:val="28"/>
        </w:rPr>
        <w:t>项目</w:t>
      </w:r>
      <w:r>
        <w:rPr>
          <w:rFonts w:hint="eastAsia" w:ascii="宋体" w:hAnsi="宋体"/>
          <w:b/>
          <w:color w:val="000000"/>
          <w:sz w:val="28"/>
          <w:szCs w:val="28"/>
        </w:rPr>
        <w:t>）</w:t>
      </w:r>
    </w:p>
    <w:p>
      <w:pPr>
        <w:spacing w:after="72" w:afterLines="30" w:line="440" w:lineRule="exact"/>
        <w:rPr>
          <w:color w:val="000000"/>
        </w:rPr>
      </w:pPr>
      <w:r>
        <w:rPr>
          <w:color w:val="000000"/>
        </w:rPr>
        <w:t>工程名称</w:t>
      </w:r>
      <w:r>
        <w:rPr>
          <w:rFonts w:hint="eastAsia"/>
          <w:color w:val="000000"/>
        </w:rPr>
        <w:t>及项目招标编号</w:t>
      </w:r>
      <w:r>
        <w:rPr>
          <w:color w:val="000000"/>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color w:val="000000"/>
        </w:rPr>
        <w:t xml:space="preserve">          时间：      年      月      日</w:t>
      </w:r>
    </w:p>
    <w:tbl>
      <w:tblPr>
        <w:tblStyle w:val="83"/>
        <w:tblW w:w="15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303"/>
        <w:gridCol w:w="397"/>
        <w:gridCol w:w="3402"/>
        <w:gridCol w:w="1276"/>
        <w:gridCol w:w="1042"/>
        <w:gridCol w:w="1134"/>
        <w:gridCol w:w="1134"/>
        <w:gridCol w:w="113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65" w:hRule="atLeast"/>
          <w:jc w:val="center"/>
        </w:trPr>
        <w:tc>
          <w:tcPr>
            <w:tcW w:w="851" w:type="dxa"/>
            <w:vMerge w:val="restart"/>
            <w:noWrap w:val="0"/>
            <w:vAlign w:val="center"/>
          </w:tcPr>
          <w:p>
            <w:pPr>
              <w:spacing w:line="360" w:lineRule="auto"/>
              <w:jc w:val="center"/>
              <w:rPr>
                <w:color w:val="000000"/>
              </w:rPr>
            </w:pPr>
            <w:r>
              <w:rPr>
                <w:color w:val="000000"/>
              </w:rPr>
              <w:t>序号</w:t>
            </w:r>
          </w:p>
        </w:tc>
        <w:tc>
          <w:tcPr>
            <w:tcW w:w="5102" w:type="dxa"/>
            <w:gridSpan w:val="3"/>
            <w:vMerge w:val="restart"/>
            <w:noWrap w:val="0"/>
            <w:vAlign w:val="top"/>
          </w:tcPr>
          <w:p>
            <w:pPr>
              <w:spacing w:line="360" w:lineRule="auto"/>
              <w:jc w:val="center"/>
              <w:rPr>
                <w:color w:val="000000"/>
              </w:rPr>
            </w:pPr>
            <w:r>
              <w:rPr>
                <w:color w:val="000000"/>
              </w:rPr>
              <w:t>评审因素</w:t>
            </w:r>
          </w:p>
        </w:tc>
        <w:tc>
          <w:tcPr>
            <w:tcW w:w="9122" w:type="dxa"/>
            <w:gridSpan w:val="8"/>
            <w:noWrap w:val="0"/>
            <w:vAlign w:val="center"/>
          </w:tcPr>
          <w:p>
            <w:pPr>
              <w:spacing w:line="360" w:lineRule="auto"/>
              <w:jc w:val="center"/>
              <w:rPr>
                <w:color w:val="000000"/>
              </w:rPr>
            </w:pPr>
            <w:r>
              <w:rPr>
                <w:color w:val="000000"/>
              </w:rPr>
              <w:t>投标人名称</w:t>
            </w:r>
            <w:r>
              <w:rPr>
                <w:rFonts w:hint="eastAsia"/>
                <w:color w:val="000000"/>
              </w:rPr>
              <w:t>（或代码）</w:t>
            </w:r>
            <w:r>
              <w:rPr>
                <w:color w:val="000000"/>
              </w:rPr>
              <w:t>及评审意见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6" w:hRule="atLeast"/>
          <w:jc w:val="center"/>
        </w:trPr>
        <w:tc>
          <w:tcPr>
            <w:tcW w:w="851" w:type="dxa"/>
            <w:vMerge w:val="continue"/>
            <w:noWrap w:val="0"/>
            <w:vAlign w:val="center"/>
          </w:tcPr>
          <w:p>
            <w:pPr>
              <w:spacing w:line="360" w:lineRule="auto"/>
              <w:jc w:val="center"/>
              <w:rPr>
                <w:rFonts w:eastAsia="黑体"/>
                <w:color w:val="000000"/>
              </w:rPr>
            </w:pPr>
          </w:p>
        </w:tc>
        <w:tc>
          <w:tcPr>
            <w:tcW w:w="5102" w:type="dxa"/>
            <w:gridSpan w:val="3"/>
            <w:vMerge w:val="continue"/>
            <w:noWrap w:val="0"/>
            <w:vAlign w:val="top"/>
          </w:tcPr>
          <w:p>
            <w:pPr>
              <w:spacing w:line="360" w:lineRule="auto"/>
              <w:jc w:val="center"/>
              <w:rPr>
                <w:color w:val="000000"/>
                <w:kern w:val="0"/>
                <w:szCs w:val="21"/>
              </w:rPr>
            </w:pPr>
          </w:p>
        </w:tc>
        <w:tc>
          <w:tcPr>
            <w:tcW w:w="1276" w:type="dxa"/>
            <w:noWrap w:val="0"/>
            <w:vAlign w:val="center"/>
          </w:tcPr>
          <w:p>
            <w:pPr>
              <w:spacing w:line="360" w:lineRule="auto"/>
              <w:jc w:val="center"/>
              <w:rPr>
                <w:color w:val="000000"/>
              </w:rPr>
            </w:pPr>
          </w:p>
        </w:tc>
        <w:tc>
          <w:tcPr>
            <w:tcW w:w="1042"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eastAsia="黑体"/>
                <w:color w:val="000000"/>
                <w:sz w:val="18"/>
                <w:szCs w:val="18"/>
              </w:rPr>
            </w:pPr>
            <w:r>
              <w:rPr>
                <w:rFonts w:hint="eastAsia" w:eastAsia="黑体"/>
                <w:color w:val="000000"/>
                <w:sz w:val="18"/>
                <w:szCs w:val="18"/>
              </w:rPr>
              <w:t>1</w:t>
            </w:r>
          </w:p>
        </w:tc>
        <w:tc>
          <w:tcPr>
            <w:tcW w:w="1303" w:type="dxa"/>
            <w:vMerge w:val="restart"/>
            <w:noWrap w:val="0"/>
            <w:vAlign w:val="top"/>
          </w:tcPr>
          <w:p>
            <w:pPr>
              <w:spacing w:line="240" w:lineRule="exact"/>
              <w:rPr>
                <w:rFonts w:hint="eastAsia"/>
                <w:color w:val="000000"/>
              </w:rPr>
            </w:pPr>
            <w:r>
              <w:rPr>
                <w:rFonts w:hint="eastAsia" w:ascii="宋体" w:hAnsi="宋体"/>
                <w:color w:val="000000"/>
              </w:rPr>
              <w:t>设计说明书 （适用市政项目）</w:t>
            </w:r>
          </w:p>
        </w:tc>
        <w:tc>
          <w:tcPr>
            <w:tcW w:w="3799" w:type="dxa"/>
            <w:gridSpan w:val="2"/>
            <w:noWrap w:val="0"/>
            <w:vAlign w:val="center"/>
          </w:tcPr>
          <w:p>
            <w:pPr>
              <w:spacing w:line="340" w:lineRule="exact"/>
              <w:rPr>
                <w:rFonts w:hint="eastAsia" w:ascii="宋体" w:hAnsi="宋体"/>
                <w:color w:val="000000"/>
              </w:rPr>
            </w:pPr>
            <w:r>
              <w:rPr>
                <w:rFonts w:hint="eastAsia" w:ascii="宋体" w:hAnsi="宋体"/>
                <w:color w:val="000000"/>
              </w:rPr>
              <w:t>投标人对本项目规划建设条件的熟悉程度，对项目规划建设条件分析论述深入程度，是否能充分考虑到本项目的具体情况并 采取针对性措施。</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eastAsia="黑体"/>
                <w:color w:val="000000"/>
                <w:sz w:val="18"/>
                <w:szCs w:val="18"/>
              </w:rPr>
            </w:pPr>
            <w:r>
              <w:rPr>
                <w:rFonts w:hint="eastAsia" w:eastAsia="黑体"/>
                <w:color w:val="000000"/>
                <w:sz w:val="18"/>
                <w:szCs w:val="18"/>
              </w:rPr>
              <w:t>2</w:t>
            </w:r>
          </w:p>
        </w:tc>
        <w:tc>
          <w:tcPr>
            <w:tcW w:w="1303" w:type="dxa"/>
            <w:vMerge w:val="continue"/>
            <w:noWrap w:val="0"/>
            <w:vAlign w:val="top"/>
          </w:tcPr>
          <w:p>
            <w:pPr>
              <w:widowControl/>
              <w:spacing w:line="240" w:lineRule="exact"/>
              <w:rPr>
                <w:rFonts w:hint="eastAsia" w:ascii="宋体" w:hAnsi="宋体"/>
                <w:color w:val="000000"/>
              </w:rPr>
            </w:pPr>
          </w:p>
        </w:tc>
        <w:tc>
          <w:tcPr>
            <w:tcW w:w="3799" w:type="dxa"/>
            <w:gridSpan w:val="2"/>
            <w:noWrap w:val="0"/>
            <w:vAlign w:val="center"/>
          </w:tcPr>
          <w:p>
            <w:pPr>
              <w:widowControl/>
              <w:spacing w:line="240" w:lineRule="exact"/>
              <w:rPr>
                <w:rFonts w:hint="eastAsia"/>
                <w:color w:val="000000"/>
                <w:sz w:val="18"/>
                <w:szCs w:val="18"/>
              </w:rPr>
            </w:pPr>
            <w:r>
              <w:rPr>
                <w:rFonts w:hint="eastAsia" w:ascii="宋体" w:hAnsi="宋体"/>
                <w:color w:val="000000"/>
              </w:rPr>
              <w:t>提出的设计构想及建议的针对性，方案的特点及可实施性进行评分。</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3</w:t>
            </w:r>
          </w:p>
        </w:tc>
        <w:tc>
          <w:tcPr>
            <w:tcW w:w="1303" w:type="dxa"/>
            <w:vMerge w:val="restart"/>
            <w:noWrap w:val="0"/>
            <w:vAlign w:val="top"/>
          </w:tcPr>
          <w:p>
            <w:pPr>
              <w:widowControl/>
              <w:spacing w:line="240" w:lineRule="exact"/>
              <w:rPr>
                <w:rFonts w:hint="eastAsia"/>
                <w:color w:val="000000"/>
                <w:sz w:val="18"/>
                <w:szCs w:val="18"/>
              </w:rPr>
            </w:pPr>
            <w:r>
              <w:rPr>
                <w:rFonts w:hint="eastAsia" w:ascii="宋体" w:hAnsi="宋体"/>
                <w:color w:val="000000"/>
              </w:rPr>
              <w:t>深化方案设计（适用市政项目）</w:t>
            </w:r>
          </w:p>
        </w:tc>
        <w:tc>
          <w:tcPr>
            <w:tcW w:w="3799" w:type="dxa"/>
            <w:gridSpan w:val="2"/>
            <w:noWrap w:val="0"/>
            <w:vAlign w:val="center"/>
          </w:tcPr>
          <w:p>
            <w:pPr>
              <w:widowControl/>
              <w:spacing w:line="240" w:lineRule="exact"/>
              <w:rPr>
                <w:rFonts w:hint="eastAsia"/>
                <w:color w:val="000000"/>
              </w:rPr>
            </w:pPr>
            <w:r>
              <w:rPr>
                <w:rFonts w:hint="eastAsia"/>
                <w:color w:val="000000"/>
              </w:rPr>
              <w:t xml:space="preserve">设计方案中道路平面与纵断面设计、道路横断面设计、路面 </w:t>
            </w:r>
          </w:p>
          <w:p>
            <w:pPr>
              <w:widowControl/>
              <w:spacing w:line="240" w:lineRule="exact"/>
              <w:rPr>
                <w:rFonts w:hint="eastAsia"/>
                <w:color w:val="000000"/>
                <w:sz w:val="18"/>
                <w:szCs w:val="18"/>
              </w:rPr>
            </w:pPr>
            <w:r>
              <w:rPr>
                <w:rFonts w:hint="eastAsia"/>
                <w:color w:val="000000"/>
              </w:rPr>
              <w:t>结构设计的可行性及合理性。</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4</w:t>
            </w:r>
          </w:p>
        </w:tc>
        <w:tc>
          <w:tcPr>
            <w:tcW w:w="1303" w:type="dxa"/>
            <w:vMerge w:val="continue"/>
            <w:noWrap w:val="0"/>
            <w:vAlign w:val="top"/>
          </w:tcPr>
          <w:p>
            <w:pPr>
              <w:widowControl/>
              <w:spacing w:line="240" w:lineRule="exact"/>
              <w:rPr>
                <w:rFonts w:hint="eastAsia"/>
                <w:color w:val="000000"/>
                <w:sz w:val="18"/>
                <w:szCs w:val="18"/>
              </w:rPr>
            </w:pPr>
          </w:p>
        </w:tc>
        <w:tc>
          <w:tcPr>
            <w:tcW w:w="3799" w:type="dxa"/>
            <w:gridSpan w:val="2"/>
            <w:noWrap w:val="0"/>
            <w:vAlign w:val="center"/>
          </w:tcPr>
          <w:p>
            <w:pPr>
              <w:spacing w:line="340" w:lineRule="exact"/>
              <w:rPr>
                <w:rFonts w:hint="eastAsia" w:ascii="宋体" w:hAnsi="宋体"/>
                <w:color w:val="000000"/>
              </w:rPr>
            </w:pPr>
            <w:r>
              <w:rPr>
                <w:rFonts w:hint="eastAsia" w:ascii="宋体" w:hAnsi="宋体"/>
                <w:color w:val="000000"/>
              </w:rPr>
              <w:t xml:space="preserve">布局是否符合拟定发包人要求，功能分是否明确，是否考 </w:t>
            </w:r>
          </w:p>
          <w:p>
            <w:pPr>
              <w:widowControl/>
              <w:spacing w:line="240" w:lineRule="exact"/>
              <w:rPr>
                <w:rFonts w:hint="eastAsia"/>
                <w:color w:val="000000"/>
                <w:sz w:val="18"/>
                <w:szCs w:val="18"/>
              </w:rPr>
            </w:pPr>
            <w:r>
              <w:rPr>
                <w:rFonts w:hint="eastAsia" w:ascii="宋体" w:hAnsi="宋体"/>
                <w:color w:val="000000"/>
              </w:rPr>
              <w:t>虑到项目未来的使用需求相关技术措施要求。</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5</w:t>
            </w:r>
          </w:p>
        </w:tc>
        <w:tc>
          <w:tcPr>
            <w:tcW w:w="1303" w:type="dxa"/>
            <w:vMerge w:val="continue"/>
            <w:noWrap w:val="0"/>
            <w:vAlign w:val="top"/>
          </w:tcPr>
          <w:p>
            <w:pPr>
              <w:widowControl/>
              <w:spacing w:line="240" w:lineRule="exact"/>
              <w:rPr>
                <w:rFonts w:hint="eastAsia"/>
                <w:color w:val="000000"/>
                <w:sz w:val="18"/>
                <w:szCs w:val="18"/>
              </w:rPr>
            </w:pPr>
          </w:p>
        </w:tc>
        <w:tc>
          <w:tcPr>
            <w:tcW w:w="3799" w:type="dxa"/>
            <w:gridSpan w:val="2"/>
            <w:noWrap w:val="0"/>
            <w:vAlign w:val="center"/>
          </w:tcPr>
          <w:p>
            <w:pPr>
              <w:widowControl/>
              <w:spacing w:line="240" w:lineRule="exact"/>
              <w:rPr>
                <w:rFonts w:hint="eastAsia"/>
                <w:color w:val="000000"/>
                <w:sz w:val="18"/>
                <w:szCs w:val="18"/>
              </w:rPr>
            </w:pPr>
            <w:r>
              <w:rPr>
                <w:rFonts w:hint="eastAsia" w:ascii="宋体" w:hAnsi="宋体"/>
                <w:color w:val="000000"/>
              </w:rPr>
              <w:t>人流组织及竖向交通合理的合理程度。</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6</w:t>
            </w:r>
          </w:p>
        </w:tc>
        <w:tc>
          <w:tcPr>
            <w:tcW w:w="1303" w:type="dxa"/>
            <w:vMerge w:val="continue"/>
            <w:noWrap w:val="0"/>
            <w:vAlign w:val="top"/>
          </w:tcPr>
          <w:p>
            <w:pPr>
              <w:widowControl/>
              <w:spacing w:line="240" w:lineRule="exact"/>
              <w:rPr>
                <w:rFonts w:hint="eastAsia"/>
                <w:color w:val="000000"/>
                <w:sz w:val="18"/>
                <w:szCs w:val="18"/>
              </w:rPr>
            </w:pPr>
          </w:p>
        </w:tc>
        <w:tc>
          <w:tcPr>
            <w:tcW w:w="3799" w:type="dxa"/>
            <w:gridSpan w:val="2"/>
            <w:noWrap w:val="0"/>
            <w:vAlign w:val="center"/>
          </w:tcPr>
          <w:p>
            <w:pPr>
              <w:widowControl/>
              <w:spacing w:line="240" w:lineRule="exact"/>
              <w:rPr>
                <w:rFonts w:hint="eastAsia" w:ascii="宋体" w:hAnsi="宋体"/>
                <w:color w:val="000000"/>
              </w:rPr>
            </w:pPr>
            <w:r>
              <w:rPr>
                <w:rFonts w:hint="eastAsia" w:ascii="宋体" w:hAnsi="宋体"/>
                <w:color w:val="000000"/>
              </w:rPr>
              <w:t>结合周边排水现状，合理解决排水走向。</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7</w:t>
            </w:r>
          </w:p>
        </w:tc>
        <w:tc>
          <w:tcPr>
            <w:tcW w:w="1303" w:type="dxa"/>
            <w:vMerge w:val="continue"/>
            <w:noWrap w:val="0"/>
            <w:vAlign w:val="top"/>
          </w:tcPr>
          <w:p>
            <w:pPr>
              <w:widowControl/>
              <w:spacing w:line="240" w:lineRule="exact"/>
              <w:rPr>
                <w:rFonts w:hint="eastAsia"/>
                <w:color w:val="000000"/>
                <w:sz w:val="18"/>
                <w:szCs w:val="18"/>
              </w:rPr>
            </w:pPr>
          </w:p>
        </w:tc>
        <w:tc>
          <w:tcPr>
            <w:tcW w:w="3799" w:type="dxa"/>
            <w:gridSpan w:val="2"/>
            <w:noWrap w:val="0"/>
            <w:vAlign w:val="center"/>
          </w:tcPr>
          <w:p>
            <w:pPr>
              <w:widowControl/>
              <w:spacing w:line="240" w:lineRule="exact"/>
              <w:rPr>
                <w:rFonts w:hint="eastAsia" w:ascii="宋体" w:hAnsi="宋体"/>
                <w:color w:val="000000"/>
              </w:rPr>
            </w:pPr>
            <w:r>
              <w:rPr>
                <w:rFonts w:hint="eastAsia" w:ascii="宋体" w:hAnsi="宋体"/>
                <w:color w:val="000000"/>
              </w:rPr>
              <w:t>设计方案经济的合理程度。</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eastAsia="黑体"/>
                <w:color w:val="000000"/>
                <w:sz w:val="18"/>
                <w:szCs w:val="18"/>
              </w:rPr>
              <w:t>8</w:t>
            </w:r>
          </w:p>
        </w:tc>
        <w:tc>
          <w:tcPr>
            <w:tcW w:w="1303" w:type="dxa"/>
            <w:vMerge w:val="continue"/>
            <w:noWrap w:val="0"/>
            <w:vAlign w:val="top"/>
          </w:tcPr>
          <w:p>
            <w:pPr>
              <w:widowControl/>
              <w:spacing w:line="240" w:lineRule="exact"/>
              <w:rPr>
                <w:rFonts w:hint="eastAsia"/>
                <w:color w:val="000000"/>
                <w:sz w:val="18"/>
                <w:szCs w:val="18"/>
              </w:rPr>
            </w:pPr>
          </w:p>
        </w:tc>
        <w:tc>
          <w:tcPr>
            <w:tcW w:w="3799" w:type="dxa"/>
            <w:gridSpan w:val="2"/>
            <w:noWrap w:val="0"/>
            <w:vAlign w:val="center"/>
          </w:tcPr>
          <w:p>
            <w:pPr>
              <w:widowControl/>
              <w:spacing w:line="240" w:lineRule="exact"/>
              <w:rPr>
                <w:rFonts w:hint="eastAsia"/>
                <w:color w:val="000000"/>
                <w:sz w:val="18"/>
                <w:szCs w:val="18"/>
              </w:rPr>
            </w:pPr>
            <w:r>
              <w:rPr>
                <w:rFonts w:hint="eastAsia" w:ascii="宋体" w:hAnsi="宋体"/>
                <w:color w:val="000000"/>
              </w:rPr>
              <w:t>图纸的完整性。</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eastAsia="黑体"/>
                <w:color w:val="000000"/>
                <w:sz w:val="18"/>
                <w:szCs w:val="18"/>
              </w:rPr>
            </w:pPr>
            <w:r>
              <w:rPr>
                <w:rFonts w:hint="eastAsia" w:eastAsia="黑体"/>
                <w:color w:val="000000"/>
                <w:sz w:val="18"/>
                <w:szCs w:val="18"/>
              </w:rPr>
              <w:t>9</w:t>
            </w:r>
          </w:p>
        </w:tc>
        <w:tc>
          <w:tcPr>
            <w:tcW w:w="1303" w:type="dxa"/>
            <w:vMerge w:val="restart"/>
            <w:noWrap w:val="0"/>
            <w:vAlign w:val="top"/>
          </w:tcPr>
          <w:p>
            <w:pPr>
              <w:widowControl/>
              <w:spacing w:line="240" w:lineRule="exact"/>
              <w:rPr>
                <w:rFonts w:hint="eastAsia"/>
                <w:color w:val="000000"/>
                <w:sz w:val="18"/>
                <w:szCs w:val="18"/>
              </w:rPr>
            </w:pPr>
            <w:r>
              <w:rPr>
                <w:rFonts w:hint="eastAsia"/>
                <w:color w:val="000000"/>
                <w:sz w:val="18"/>
                <w:szCs w:val="18"/>
              </w:rPr>
              <w:t>初步设计成果</w:t>
            </w:r>
          </w:p>
        </w:tc>
        <w:tc>
          <w:tcPr>
            <w:tcW w:w="3799" w:type="dxa"/>
            <w:gridSpan w:val="2"/>
            <w:noWrap w:val="0"/>
            <w:vAlign w:val="center"/>
          </w:tcPr>
          <w:p>
            <w:pPr>
              <w:widowControl/>
              <w:spacing w:line="240" w:lineRule="exact"/>
              <w:rPr>
                <w:rFonts w:hint="eastAsia"/>
                <w:color w:val="000000"/>
                <w:sz w:val="18"/>
                <w:szCs w:val="18"/>
              </w:rPr>
            </w:pPr>
            <w:r>
              <w:rPr>
                <w:rFonts w:hint="eastAsia" w:hAnsi="宋体"/>
                <w:color w:val="000000"/>
                <w:szCs w:val="21"/>
              </w:rPr>
              <w:t>初步设计技术先进性、合理性、实用性、可实施性。</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10</w:t>
            </w:r>
          </w:p>
        </w:tc>
        <w:tc>
          <w:tcPr>
            <w:tcW w:w="1303" w:type="dxa"/>
            <w:vMerge w:val="continue"/>
            <w:noWrap w:val="0"/>
            <w:vAlign w:val="top"/>
          </w:tcPr>
          <w:p>
            <w:pPr>
              <w:widowControl/>
              <w:spacing w:line="240" w:lineRule="exact"/>
              <w:rPr>
                <w:rFonts w:hint="eastAsia"/>
                <w:color w:val="000000"/>
                <w:sz w:val="18"/>
                <w:szCs w:val="18"/>
              </w:rPr>
            </w:pPr>
          </w:p>
        </w:tc>
        <w:tc>
          <w:tcPr>
            <w:tcW w:w="3799" w:type="dxa"/>
            <w:gridSpan w:val="2"/>
            <w:noWrap w:val="0"/>
            <w:vAlign w:val="center"/>
          </w:tcPr>
          <w:p>
            <w:pPr>
              <w:widowControl/>
              <w:spacing w:line="240" w:lineRule="exact"/>
              <w:rPr>
                <w:rFonts w:hint="eastAsia" w:hAnsi="宋体"/>
                <w:color w:val="000000"/>
                <w:szCs w:val="21"/>
              </w:rPr>
            </w:pPr>
            <w:r>
              <w:rPr>
                <w:rFonts w:hint="eastAsia" w:hAnsi="宋体"/>
                <w:color w:val="000000"/>
                <w:szCs w:val="21"/>
              </w:rPr>
              <w:t>初步设计是否能达到原总平设计、方案设计的效果和目标。</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11</w:t>
            </w:r>
          </w:p>
        </w:tc>
        <w:tc>
          <w:tcPr>
            <w:tcW w:w="1303" w:type="dxa"/>
            <w:vMerge w:val="continue"/>
            <w:noWrap w:val="0"/>
            <w:vAlign w:val="top"/>
          </w:tcPr>
          <w:p>
            <w:pPr>
              <w:widowControl/>
              <w:spacing w:line="240" w:lineRule="exact"/>
              <w:rPr>
                <w:rFonts w:hint="eastAsia"/>
                <w:color w:val="000000"/>
                <w:sz w:val="18"/>
                <w:szCs w:val="18"/>
              </w:rPr>
            </w:pPr>
          </w:p>
        </w:tc>
        <w:tc>
          <w:tcPr>
            <w:tcW w:w="3799" w:type="dxa"/>
            <w:gridSpan w:val="2"/>
            <w:noWrap w:val="0"/>
            <w:vAlign w:val="center"/>
          </w:tcPr>
          <w:p>
            <w:pPr>
              <w:widowControl/>
              <w:spacing w:line="240" w:lineRule="exact"/>
              <w:rPr>
                <w:rFonts w:hint="eastAsia" w:hAnsi="宋体"/>
                <w:color w:val="000000"/>
                <w:szCs w:val="21"/>
              </w:rPr>
            </w:pPr>
            <w:r>
              <w:rPr>
                <w:rFonts w:hint="eastAsia" w:hAnsi="宋体"/>
                <w:color w:val="000000"/>
                <w:szCs w:val="21"/>
              </w:rPr>
              <w:t>各专业对经济性的控制是否有专项措施，经济性控制良好。</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12</w:t>
            </w:r>
          </w:p>
        </w:tc>
        <w:tc>
          <w:tcPr>
            <w:tcW w:w="1303" w:type="dxa"/>
            <w:vMerge w:val="continue"/>
            <w:noWrap w:val="0"/>
            <w:vAlign w:val="top"/>
          </w:tcPr>
          <w:p>
            <w:pPr>
              <w:widowControl/>
              <w:spacing w:line="240" w:lineRule="exact"/>
              <w:rPr>
                <w:rFonts w:hint="eastAsia"/>
                <w:color w:val="000000"/>
                <w:sz w:val="18"/>
                <w:szCs w:val="18"/>
              </w:rPr>
            </w:pPr>
          </w:p>
        </w:tc>
        <w:tc>
          <w:tcPr>
            <w:tcW w:w="3799" w:type="dxa"/>
            <w:gridSpan w:val="2"/>
            <w:noWrap w:val="0"/>
            <w:vAlign w:val="center"/>
          </w:tcPr>
          <w:p>
            <w:pPr>
              <w:widowControl/>
              <w:spacing w:line="240" w:lineRule="exact"/>
              <w:rPr>
                <w:rFonts w:hint="eastAsia" w:hAnsi="宋体"/>
                <w:color w:val="000000"/>
                <w:szCs w:val="21"/>
              </w:rPr>
            </w:pPr>
            <w:r>
              <w:rPr>
                <w:rFonts w:hint="eastAsia" w:hAnsi="宋体"/>
                <w:bCs/>
                <w:color w:val="000000"/>
                <w:szCs w:val="21"/>
              </w:rPr>
              <w:t>对关键技术选用和实施有专篇进行论证。</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13</w:t>
            </w:r>
          </w:p>
        </w:tc>
        <w:tc>
          <w:tcPr>
            <w:tcW w:w="1303" w:type="dxa"/>
            <w:vMerge w:val="continue"/>
            <w:noWrap w:val="0"/>
            <w:vAlign w:val="top"/>
          </w:tcPr>
          <w:p>
            <w:pPr>
              <w:widowControl/>
              <w:spacing w:line="240" w:lineRule="exact"/>
              <w:rPr>
                <w:rFonts w:hint="eastAsia"/>
                <w:color w:val="000000"/>
                <w:sz w:val="18"/>
                <w:szCs w:val="18"/>
              </w:rPr>
            </w:pPr>
          </w:p>
        </w:tc>
        <w:tc>
          <w:tcPr>
            <w:tcW w:w="3799" w:type="dxa"/>
            <w:gridSpan w:val="2"/>
            <w:noWrap w:val="0"/>
            <w:vAlign w:val="center"/>
          </w:tcPr>
          <w:p>
            <w:pPr>
              <w:widowControl/>
              <w:spacing w:line="240" w:lineRule="exact"/>
              <w:rPr>
                <w:rFonts w:hint="eastAsia" w:hAnsi="宋体"/>
                <w:color w:val="000000"/>
                <w:szCs w:val="21"/>
              </w:rPr>
            </w:pPr>
            <w:r>
              <w:rPr>
                <w:rFonts w:hint="eastAsia" w:hAnsi="宋体"/>
                <w:color w:val="000000"/>
                <w:szCs w:val="21"/>
              </w:rPr>
              <w:t>初步设计说明的质量、内容和深度符合国家和省、市的有关规定和要求</w:t>
            </w:r>
            <w:r>
              <w:rPr>
                <w:rFonts w:hint="eastAsia" w:hAnsi="宋体"/>
                <w:bCs/>
                <w:color w:val="000000"/>
                <w:szCs w:val="21"/>
              </w:rPr>
              <w:t>。</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14</w:t>
            </w:r>
          </w:p>
        </w:tc>
        <w:tc>
          <w:tcPr>
            <w:tcW w:w="1303" w:type="dxa"/>
            <w:vMerge w:val="continue"/>
            <w:noWrap w:val="0"/>
            <w:vAlign w:val="top"/>
          </w:tcPr>
          <w:p>
            <w:pPr>
              <w:widowControl/>
              <w:spacing w:line="240" w:lineRule="exact"/>
              <w:rPr>
                <w:rFonts w:hint="eastAsia"/>
                <w:color w:val="000000"/>
                <w:sz w:val="18"/>
                <w:szCs w:val="18"/>
              </w:rPr>
            </w:pPr>
          </w:p>
        </w:tc>
        <w:tc>
          <w:tcPr>
            <w:tcW w:w="3799" w:type="dxa"/>
            <w:gridSpan w:val="2"/>
            <w:noWrap w:val="0"/>
            <w:vAlign w:val="center"/>
          </w:tcPr>
          <w:p>
            <w:pPr>
              <w:widowControl/>
              <w:spacing w:line="240" w:lineRule="exact"/>
              <w:rPr>
                <w:rFonts w:hint="eastAsia" w:hAnsi="宋体"/>
                <w:color w:val="000000"/>
                <w:szCs w:val="21"/>
              </w:rPr>
            </w:pPr>
            <w:r>
              <w:rPr>
                <w:rFonts w:hint="eastAsia" w:hAnsi="宋体"/>
                <w:color w:val="000000"/>
                <w:szCs w:val="21"/>
              </w:rPr>
              <w:t>初步设计图纸的质量、内容和深度符合国家和省、市的有关规定和要求。</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eastAsia="黑体"/>
                <w:color w:val="000000"/>
                <w:sz w:val="18"/>
                <w:szCs w:val="18"/>
              </w:rPr>
            </w:pPr>
            <w:r>
              <w:rPr>
                <w:rFonts w:eastAsia="黑体"/>
                <w:color w:val="000000"/>
                <w:sz w:val="18"/>
                <w:szCs w:val="18"/>
              </w:rPr>
              <w:t>15</w:t>
            </w:r>
          </w:p>
        </w:tc>
        <w:tc>
          <w:tcPr>
            <w:tcW w:w="1303" w:type="dxa"/>
            <w:vMerge w:val="continue"/>
            <w:noWrap w:val="0"/>
            <w:vAlign w:val="top"/>
          </w:tcPr>
          <w:p>
            <w:pPr>
              <w:widowControl/>
              <w:spacing w:line="240" w:lineRule="exact"/>
              <w:rPr>
                <w:rFonts w:hint="eastAsia"/>
                <w:color w:val="000000"/>
                <w:sz w:val="18"/>
                <w:szCs w:val="18"/>
              </w:rPr>
            </w:pPr>
          </w:p>
        </w:tc>
        <w:tc>
          <w:tcPr>
            <w:tcW w:w="3799" w:type="dxa"/>
            <w:gridSpan w:val="2"/>
            <w:noWrap w:val="0"/>
            <w:vAlign w:val="center"/>
          </w:tcPr>
          <w:p>
            <w:pPr>
              <w:widowControl/>
              <w:spacing w:line="240" w:lineRule="exact"/>
              <w:rPr>
                <w:rFonts w:hint="eastAsia" w:hAnsi="宋体"/>
                <w:color w:val="000000"/>
                <w:szCs w:val="21"/>
              </w:rPr>
            </w:pPr>
            <w:r>
              <w:rPr>
                <w:rFonts w:hint="eastAsia" w:hAnsi="宋体"/>
                <w:color w:val="000000"/>
                <w:szCs w:val="21"/>
              </w:rPr>
              <w:t>初步设计概算的说明、概算的质量、内容和深度符合国家和省、市的有关规定和要求，取费正确，对投资的控制达到招标文件的要求</w:t>
            </w:r>
            <w:r>
              <w:rPr>
                <w:rFonts w:hint="eastAsia" w:hAnsi="宋体"/>
                <w:bCs/>
                <w:color w:val="000000"/>
                <w:szCs w:val="21"/>
              </w:rPr>
              <w:t>。</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851" w:type="dxa"/>
            <w:noWrap w:val="0"/>
            <w:vAlign w:val="center"/>
          </w:tcPr>
          <w:p>
            <w:pPr>
              <w:spacing w:line="240" w:lineRule="exact"/>
              <w:jc w:val="center"/>
              <w:rPr>
                <w:rFonts w:hint="eastAsia" w:ascii="宋体" w:hAnsi="宋体"/>
                <w:color w:val="000000"/>
                <w:sz w:val="18"/>
                <w:szCs w:val="18"/>
              </w:rPr>
            </w:pPr>
          </w:p>
        </w:tc>
        <w:tc>
          <w:tcPr>
            <w:tcW w:w="1303" w:type="dxa"/>
            <w:noWrap w:val="0"/>
            <w:vAlign w:val="top"/>
          </w:tcPr>
          <w:p>
            <w:pPr>
              <w:widowControl/>
              <w:spacing w:line="240" w:lineRule="exact"/>
              <w:rPr>
                <w:rFonts w:hint="eastAsia" w:ascii="宋体" w:hAnsi="宋体"/>
                <w:color w:val="000000"/>
                <w:kern w:val="0"/>
                <w:sz w:val="18"/>
                <w:szCs w:val="18"/>
              </w:rPr>
            </w:pPr>
          </w:p>
        </w:tc>
        <w:tc>
          <w:tcPr>
            <w:tcW w:w="3799" w:type="dxa"/>
            <w:gridSpan w:val="2"/>
            <w:noWrap w:val="0"/>
            <w:vAlign w:val="center"/>
          </w:tcPr>
          <w:p>
            <w:pPr>
              <w:widowControl/>
              <w:spacing w:line="240" w:lineRule="exact"/>
              <w:rPr>
                <w:rFonts w:hint="eastAsia"/>
                <w:color w:val="000000"/>
                <w:sz w:val="18"/>
                <w:szCs w:val="18"/>
              </w:rPr>
            </w:pPr>
            <w:r>
              <w:rPr>
                <w:rFonts w:hint="eastAsia" w:ascii="宋体" w:hAnsi="宋体"/>
                <w:color w:val="000000"/>
                <w:kern w:val="0"/>
                <w:sz w:val="18"/>
                <w:szCs w:val="18"/>
              </w:rPr>
              <w:t>…………</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2551" w:type="dxa"/>
            <w:gridSpan w:val="3"/>
            <w:noWrap w:val="0"/>
            <w:vAlign w:val="top"/>
          </w:tcPr>
          <w:p>
            <w:pPr>
              <w:spacing w:line="240" w:lineRule="exact"/>
              <w:jc w:val="center"/>
              <w:rPr>
                <w:color w:val="000000"/>
                <w:sz w:val="18"/>
                <w:szCs w:val="18"/>
              </w:rPr>
            </w:pPr>
          </w:p>
        </w:tc>
        <w:tc>
          <w:tcPr>
            <w:tcW w:w="3402" w:type="dxa"/>
            <w:noWrap w:val="0"/>
            <w:vAlign w:val="center"/>
          </w:tcPr>
          <w:p>
            <w:pPr>
              <w:spacing w:line="240" w:lineRule="exact"/>
              <w:jc w:val="center"/>
              <w:rPr>
                <w:color w:val="000000"/>
                <w:sz w:val="18"/>
                <w:szCs w:val="18"/>
              </w:rPr>
            </w:pPr>
            <w:r>
              <w:rPr>
                <w:color w:val="000000"/>
                <w:sz w:val="18"/>
                <w:szCs w:val="18"/>
              </w:rPr>
              <w:t>得分合计</w:t>
            </w:r>
            <w:r>
              <w:rPr>
                <w:rFonts w:hint="eastAsia"/>
                <w:color w:val="000000"/>
                <w:sz w:val="18"/>
                <w:szCs w:val="18"/>
              </w:rPr>
              <w:t>（</w:t>
            </w:r>
            <w:r>
              <w:rPr>
                <w:color w:val="000000"/>
                <w:sz w:val="18"/>
                <w:szCs w:val="18"/>
              </w:rPr>
              <w:t>满分</w:t>
            </w:r>
            <w:r>
              <w:rPr>
                <w:color w:val="000000"/>
                <w:sz w:val="18"/>
                <w:szCs w:val="18"/>
                <w:u w:val="single"/>
              </w:rPr>
              <w:t xml:space="preserve">       </w:t>
            </w:r>
            <w:r>
              <w:rPr>
                <w:rFonts w:hint="eastAsia"/>
                <w:color w:val="000000"/>
                <w:sz w:val="18"/>
                <w:szCs w:val="18"/>
              </w:rPr>
              <w:t>）</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bl>
    <w:p>
      <w:pPr>
        <w:rPr>
          <w:rFonts w:eastAsia="楷体_GB2312"/>
          <w:color w:val="000000"/>
          <w:szCs w:val="21"/>
        </w:rPr>
      </w:pPr>
      <w:r>
        <w:rPr>
          <w:rFonts w:eastAsia="楷体_GB2312"/>
          <w:color w:val="000000"/>
          <w:szCs w:val="21"/>
        </w:rPr>
        <w:t>【</w:t>
      </w:r>
      <w:r>
        <w:rPr>
          <w:rFonts w:eastAsia="楷体_GB2312"/>
          <w:color w:val="000000"/>
        </w:rPr>
        <w:t>备注：本表可根据评分办法的需要进行调整</w:t>
      </w:r>
      <w:r>
        <w:rPr>
          <w:rFonts w:eastAsia="楷体_GB2312"/>
          <w:color w:val="000000"/>
          <w:szCs w:val="21"/>
        </w:rPr>
        <w:t>】</w:t>
      </w:r>
    </w:p>
    <w:p>
      <w:pPr>
        <w:spacing w:line="440" w:lineRule="exact"/>
        <w:rPr>
          <w:rFonts w:hint="eastAsia"/>
          <w:color w:val="000000"/>
        </w:rPr>
      </w:pPr>
      <w:r>
        <w:rPr>
          <w:rFonts w:hint="eastAsia"/>
          <w:color w:val="000000"/>
        </w:rPr>
        <w:t>评委</w:t>
      </w:r>
      <w:r>
        <w:rPr>
          <w:color w:val="000000"/>
        </w:rPr>
        <w:t>签名：</w:t>
      </w:r>
    </w:p>
    <w:p>
      <w:pPr>
        <w:rPr>
          <w:color w:val="000000"/>
        </w:rPr>
      </w:pPr>
    </w:p>
    <w:p>
      <w:pPr>
        <w:rPr>
          <w:color w:val="000000"/>
        </w:rPr>
      </w:pPr>
    </w:p>
    <w:p>
      <w:pPr>
        <w:rPr>
          <w:rFonts w:hint="eastAsia"/>
          <w:color w:val="000000"/>
        </w:rPr>
      </w:pPr>
    </w:p>
    <w:p>
      <w:pPr>
        <w:pStyle w:val="4"/>
        <w:spacing w:line="240" w:lineRule="auto"/>
        <w:rPr>
          <w:sz w:val="28"/>
          <w:szCs w:val="28"/>
        </w:rPr>
      </w:pPr>
      <w:bookmarkStart w:id="746" w:name="_Toc59203054"/>
      <w:r>
        <w:rPr>
          <w:sz w:val="28"/>
          <w:szCs w:val="28"/>
        </w:rPr>
        <w:t>附表A-19：</w:t>
      </w:r>
      <w:r>
        <w:rPr>
          <w:rFonts w:hint="eastAsia"/>
          <w:sz w:val="28"/>
          <w:szCs w:val="28"/>
        </w:rPr>
        <w:t>投标</w:t>
      </w:r>
      <w:r>
        <w:rPr>
          <w:sz w:val="28"/>
          <w:szCs w:val="28"/>
        </w:rPr>
        <w:t>人</w:t>
      </w:r>
      <w:r>
        <w:rPr>
          <w:rFonts w:hint="eastAsia"/>
          <w:sz w:val="28"/>
          <w:szCs w:val="28"/>
        </w:rPr>
        <w:t>设计标评分计算</w:t>
      </w:r>
      <w:r>
        <w:rPr>
          <w:sz w:val="28"/>
          <w:szCs w:val="28"/>
        </w:rPr>
        <w:t>表</w:t>
      </w:r>
      <w:bookmarkEnd w:id="746"/>
    </w:p>
    <w:p>
      <w:pPr>
        <w:spacing w:line="440" w:lineRule="exact"/>
        <w:jc w:val="center"/>
        <w:rPr>
          <w:rFonts w:eastAsia="黑体"/>
          <w:color w:val="000000"/>
          <w:sz w:val="28"/>
          <w:szCs w:val="28"/>
        </w:rPr>
      </w:pPr>
      <w:r>
        <w:rPr>
          <w:rFonts w:hint="eastAsia" w:ascii="宋体" w:hAnsi="宋体"/>
          <w:b/>
          <w:color w:val="000000"/>
          <w:sz w:val="28"/>
          <w:szCs w:val="28"/>
        </w:rPr>
        <w:t>投标人名称（或代码）设计标</w:t>
      </w:r>
      <w:r>
        <w:rPr>
          <w:rFonts w:hint="eastAsia" w:eastAsia="黑体"/>
          <w:color w:val="000000"/>
          <w:sz w:val="28"/>
          <w:szCs w:val="28"/>
        </w:rPr>
        <w:t>评分计算</w:t>
      </w:r>
      <w:r>
        <w:rPr>
          <w:rFonts w:eastAsia="黑体"/>
          <w:color w:val="000000"/>
          <w:sz w:val="28"/>
          <w:szCs w:val="28"/>
        </w:rPr>
        <w:t>表</w:t>
      </w:r>
      <w:r>
        <w:rPr>
          <w:rFonts w:hint="eastAsia" w:eastAsia="黑体"/>
          <w:color w:val="000000"/>
          <w:sz w:val="28"/>
          <w:szCs w:val="28"/>
        </w:rPr>
        <w:t>（适用方案设计完成后初步设计完成前以初步设计投标）（适用市政项目）</w:t>
      </w:r>
    </w:p>
    <w:p>
      <w:pPr>
        <w:spacing w:after="72" w:afterLines="30" w:line="440" w:lineRule="exact"/>
        <w:rPr>
          <w:color w:val="000000"/>
        </w:rPr>
      </w:pPr>
      <w:r>
        <w:rPr>
          <w:rFonts w:hint="eastAsia"/>
          <w:color w:val="000000"/>
        </w:rPr>
        <w:t>项目</w:t>
      </w:r>
      <w:r>
        <w:rPr>
          <w:color w:val="000000"/>
        </w:rPr>
        <w:t>名称</w:t>
      </w:r>
      <w:r>
        <w:rPr>
          <w:rFonts w:hint="eastAsia"/>
          <w:color w:val="000000"/>
        </w:rPr>
        <w:t>及项目招标编号</w:t>
      </w:r>
      <w:r>
        <w:rPr>
          <w:color w:val="000000"/>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color w:val="000000"/>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43"/>
        <w:gridCol w:w="2977"/>
        <w:gridCol w:w="1016"/>
        <w:gridCol w:w="944"/>
        <w:gridCol w:w="851"/>
        <w:gridCol w:w="992"/>
        <w:gridCol w:w="992"/>
        <w:gridCol w:w="1016"/>
        <w:gridCol w:w="993"/>
        <w:gridCol w:w="1275"/>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0" w:hRule="atLeast"/>
          <w:jc w:val="center"/>
        </w:trPr>
        <w:tc>
          <w:tcPr>
            <w:tcW w:w="708" w:type="dxa"/>
            <w:vMerge w:val="restart"/>
            <w:noWrap w:val="0"/>
            <w:vAlign w:val="top"/>
          </w:tcPr>
          <w:p>
            <w:pPr>
              <w:spacing w:line="360" w:lineRule="auto"/>
              <w:jc w:val="center"/>
              <w:rPr>
                <w:color w:val="000000"/>
              </w:rPr>
            </w:pPr>
            <w:r>
              <w:rPr>
                <w:color w:val="000000"/>
              </w:rPr>
              <w:t>序号</w:t>
            </w:r>
          </w:p>
        </w:tc>
        <w:tc>
          <w:tcPr>
            <w:tcW w:w="3520" w:type="dxa"/>
            <w:gridSpan w:val="2"/>
            <w:vMerge w:val="restart"/>
            <w:noWrap w:val="0"/>
            <w:vAlign w:val="top"/>
          </w:tcPr>
          <w:p>
            <w:pPr>
              <w:spacing w:line="360" w:lineRule="auto"/>
              <w:jc w:val="center"/>
              <w:rPr>
                <w:color w:val="000000"/>
                <w:kern w:val="0"/>
                <w:szCs w:val="21"/>
              </w:rPr>
            </w:pPr>
            <w:r>
              <w:rPr>
                <w:color w:val="000000"/>
              </w:rPr>
              <w:t>评审因素</w:t>
            </w:r>
          </w:p>
        </w:tc>
        <w:tc>
          <w:tcPr>
            <w:tcW w:w="4795" w:type="dxa"/>
            <w:gridSpan w:val="5"/>
            <w:noWrap w:val="0"/>
            <w:vAlign w:val="center"/>
          </w:tcPr>
          <w:p>
            <w:pPr>
              <w:spacing w:line="360" w:lineRule="auto"/>
              <w:jc w:val="center"/>
              <w:rPr>
                <w:color w:val="000000"/>
              </w:rPr>
            </w:pPr>
            <w:r>
              <w:rPr>
                <w:rFonts w:hint="eastAsia" w:cs="宋体"/>
                <w:color w:val="000000"/>
                <w:szCs w:val="21"/>
                <w:lang w:bidi="ar"/>
              </w:rPr>
              <w:t>评委姓名</w:t>
            </w:r>
          </w:p>
        </w:tc>
        <w:tc>
          <w:tcPr>
            <w:tcW w:w="1016" w:type="dxa"/>
            <w:vMerge w:val="restart"/>
            <w:noWrap w:val="0"/>
            <w:vAlign w:val="center"/>
          </w:tcPr>
          <w:p>
            <w:pPr>
              <w:spacing w:line="360" w:lineRule="auto"/>
              <w:jc w:val="center"/>
              <w:rPr>
                <w:color w:val="000000"/>
              </w:rPr>
            </w:pPr>
            <w:r>
              <w:rPr>
                <w:rFonts w:hint="eastAsia" w:cs="宋体"/>
                <w:color w:val="000000"/>
                <w:szCs w:val="21"/>
                <w:lang w:bidi="ar"/>
              </w:rPr>
              <w:t>评分基准值</w:t>
            </w:r>
          </w:p>
        </w:tc>
        <w:tc>
          <w:tcPr>
            <w:tcW w:w="993" w:type="dxa"/>
            <w:vMerge w:val="restart"/>
            <w:noWrap w:val="0"/>
            <w:vAlign w:val="center"/>
          </w:tcPr>
          <w:p>
            <w:pPr>
              <w:spacing w:line="360" w:lineRule="auto"/>
              <w:jc w:val="center"/>
              <w:rPr>
                <w:rFonts w:hint="eastAsia" w:cs="宋体"/>
                <w:color w:val="000000"/>
                <w:szCs w:val="21"/>
                <w:lang w:bidi="ar"/>
              </w:rPr>
            </w:pPr>
            <w:r>
              <w:rPr>
                <w:rFonts w:hint="eastAsia" w:cs="宋体"/>
                <w:color w:val="000000"/>
                <w:szCs w:val="21"/>
                <w:lang w:bidi="ar"/>
              </w:rPr>
              <w:t>各评委</w:t>
            </w:r>
            <w:r>
              <w:rPr>
                <w:rStyle w:val="97"/>
                <w:rFonts w:hint="eastAsia"/>
                <w:color w:val="000000"/>
                <w:szCs w:val="21"/>
              </w:rPr>
              <w:t>有效</w:t>
            </w:r>
            <w:r>
              <w:rPr>
                <w:rFonts w:hint="eastAsia" w:cs="宋体"/>
                <w:color w:val="000000"/>
                <w:szCs w:val="21"/>
                <w:lang w:bidi="ar"/>
              </w:rPr>
              <w:t>评分合计</w:t>
            </w:r>
          </w:p>
        </w:tc>
        <w:tc>
          <w:tcPr>
            <w:tcW w:w="1275" w:type="dxa"/>
            <w:vMerge w:val="restart"/>
            <w:noWrap w:val="0"/>
            <w:vAlign w:val="top"/>
          </w:tcPr>
          <w:p>
            <w:pPr>
              <w:spacing w:line="360" w:lineRule="auto"/>
              <w:jc w:val="center"/>
              <w:rPr>
                <w:color w:val="000000"/>
              </w:rPr>
            </w:pPr>
            <w:r>
              <w:rPr>
                <w:rStyle w:val="97"/>
                <w:rFonts w:hint="eastAsia"/>
                <w:color w:val="000000"/>
                <w:szCs w:val="21"/>
              </w:rPr>
              <w:t>有效</w:t>
            </w:r>
            <w:r>
              <w:rPr>
                <w:rFonts w:hint="eastAsia" w:cs="宋体"/>
                <w:color w:val="000000"/>
                <w:szCs w:val="21"/>
                <w:lang w:bidi="ar"/>
              </w:rPr>
              <w:t>评分人数</w:t>
            </w:r>
          </w:p>
        </w:tc>
        <w:tc>
          <w:tcPr>
            <w:tcW w:w="962" w:type="dxa"/>
            <w:vMerge w:val="restart"/>
            <w:noWrap w:val="0"/>
            <w:vAlign w:val="top"/>
          </w:tcPr>
          <w:p>
            <w:pPr>
              <w:spacing w:line="360" w:lineRule="auto"/>
              <w:jc w:val="center"/>
              <w:rPr>
                <w:color w:val="000000"/>
              </w:rPr>
            </w:pPr>
            <w:r>
              <w:rPr>
                <w:rFonts w:hint="eastAsia" w:eastAsia="楷体_GB2312"/>
                <w:color w:val="000000"/>
                <w:szCs w:val="21"/>
              </w:rPr>
              <w:t>该单</w:t>
            </w:r>
            <w:r>
              <w:rPr>
                <w:rFonts w:eastAsia="楷体_GB2312"/>
                <w:color w:val="000000"/>
                <w:szCs w:val="21"/>
              </w:rPr>
              <w:t>项</w:t>
            </w:r>
            <w:r>
              <w:rPr>
                <w:rFonts w:hint="eastAsia" w:eastAsia="楷体_GB2312"/>
                <w:color w:val="000000"/>
                <w:szCs w:val="21"/>
              </w:rPr>
              <w:t>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4" w:hRule="atLeast"/>
          <w:jc w:val="center"/>
        </w:trPr>
        <w:tc>
          <w:tcPr>
            <w:tcW w:w="708" w:type="dxa"/>
            <w:vMerge w:val="continue"/>
            <w:noWrap w:val="0"/>
            <w:vAlign w:val="top"/>
          </w:tcPr>
          <w:p>
            <w:pPr>
              <w:spacing w:line="360" w:lineRule="auto"/>
              <w:jc w:val="center"/>
              <w:rPr>
                <w:color w:val="000000"/>
                <w:kern w:val="0"/>
                <w:szCs w:val="21"/>
              </w:rPr>
            </w:pPr>
          </w:p>
        </w:tc>
        <w:tc>
          <w:tcPr>
            <w:tcW w:w="3520" w:type="dxa"/>
            <w:gridSpan w:val="2"/>
            <w:vMerge w:val="continue"/>
            <w:noWrap w:val="0"/>
            <w:vAlign w:val="top"/>
          </w:tcPr>
          <w:p>
            <w:pPr>
              <w:spacing w:line="360" w:lineRule="auto"/>
              <w:jc w:val="center"/>
              <w:rPr>
                <w:color w:val="000000"/>
                <w:kern w:val="0"/>
                <w:szCs w:val="21"/>
              </w:rPr>
            </w:pPr>
          </w:p>
        </w:tc>
        <w:tc>
          <w:tcPr>
            <w:tcW w:w="1016" w:type="dxa"/>
            <w:noWrap w:val="0"/>
            <w:vAlign w:val="center"/>
          </w:tcPr>
          <w:p>
            <w:pPr>
              <w:spacing w:line="360" w:lineRule="auto"/>
              <w:jc w:val="center"/>
              <w:rPr>
                <w:color w:val="000000"/>
              </w:rPr>
            </w:pPr>
            <w:r>
              <w:rPr>
                <w:rFonts w:hint="eastAsia"/>
                <w:color w:val="000000"/>
              </w:rPr>
              <w:t>1</w:t>
            </w:r>
          </w:p>
        </w:tc>
        <w:tc>
          <w:tcPr>
            <w:tcW w:w="944" w:type="dxa"/>
            <w:noWrap w:val="0"/>
            <w:vAlign w:val="center"/>
          </w:tcPr>
          <w:p>
            <w:pPr>
              <w:spacing w:line="360" w:lineRule="auto"/>
              <w:jc w:val="center"/>
              <w:rPr>
                <w:color w:val="000000"/>
              </w:rPr>
            </w:pPr>
            <w:r>
              <w:rPr>
                <w:rFonts w:hint="eastAsia"/>
                <w:color w:val="000000"/>
              </w:rPr>
              <w:t>2</w:t>
            </w:r>
          </w:p>
        </w:tc>
        <w:tc>
          <w:tcPr>
            <w:tcW w:w="851" w:type="dxa"/>
            <w:noWrap w:val="0"/>
            <w:vAlign w:val="center"/>
          </w:tcPr>
          <w:p>
            <w:pPr>
              <w:spacing w:line="360" w:lineRule="auto"/>
              <w:jc w:val="center"/>
              <w:rPr>
                <w:color w:val="000000"/>
              </w:rPr>
            </w:pPr>
            <w:r>
              <w:rPr>
                <w:rFonts w:hint="eastAsia"/>
                <w:color w:val="000000"/>
              </w:rPr>
              <w:t>3</w:t>
            </w:r>
          </w:p>
        </w:tc>
        <w:tc>
          <w:tcPr>
            <w:tcW w:w="992" w:type="dxa"/>
            <w:noWrap w:val="0"/>
            <w:vAlign w:val="center"/>
          </w:tcPr>
          <w:p>
            <w:pPr>
              <w:spacing w:line="360" w:lineRule="auto"/>
              <w:jc w:val="center"/>
              <w:rPr>
                <w:color w:val="000000"/>
              </w:rPr>
            </w:pPr>
            <w:r>
              <w:rPr>
                <w:rFonts w:hint="eastAsia"/>
                <w:color w:val="000000"/>
              </w:rPr>
              <w:t>4</w:t>
            </w:r>
          </w:p>
        </w:tc>
        <w:tc>
          <w:tcPr>
            <w:tcW w:w="992" w:type="dxa"/>
            <w:noWrap w:val="0"/>
            <w:vAlign w:val="center"/>
          </w:tcPr>
          <w:p>
            <w:pPr>
              <w:spacing w:line="360" w:lineRule="auto"/>
              <w:jc w:val="center"/>
              <w:rPr>
                <w:color w:val="000000"/>
              </w:rPr>
            </w:pPr>
            <w:r>
              <w:rPr>
                <w:rFonts w:hint="eastAsia"/>
                <w:color w:val="000000"/>
              </w:rPr>
              <w:t>5</w:t>
            </w:r>
          </w:p>
        </w:tc>
        <w:tc>
          <w:tcPr>
            <w:tcW w:w="1016" w:type="dxa"/>
            <w:vMerge w:val="continue"/>
            <w:noWrap w:val="0"/>
            <w:vAlign w:val="center"/>
          </w:tcPr>
          <w:p>
            <w:pPr>
              <w:spacing w:line="360" w:lineRule="auto"/>
              <w:jc w:val="center"/>
              <w:rPr>
                <w:rFonts w:hint="eastAsia" w:cs="宋体"/>
                <w:color w:val="000000"/>
                <w:szCs w:val="21"/>
                <w:lang w:bidi="ar"/>
              </w:rPr>
            </w:pPr>
          </w:p>
        </w:tc>
        <w:tc>
          <w:tcPr>
            <w:tcW w:w="993" w:type="dxa"/>
            <w:vMerge w:val="continue"/>
            <w:noWrap w:val="0"/>
            <w:vAlign w:val="center"/>
          </w:tcPr>
          <w:p>
            <w:pPr>
              <w:spacing w:line="360" w:lineRule="auto"/>
              <w:jc w:val="center"/>
              <w:rPr>
                <w:rFonts w:hint="eastAsia"/>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7" w:hRule="atLeast"/>
          <w:jc w:val="center"/>
        </w:trPr>
        <w:tc>
          <w:tcPr>
            <w:tcW w:w="708" w:type="dxa"/>
            <w:vMerge w:val="restart"/>
            <w:noWrap w:val="0"/>
            <w:vAlign w:val="top"/>
          </w:tcPr>
          <w:p>
            <w:pPr>
              <w:spacing w:line="360" w:lineRule="auto"/>
              <w:jc w:val="center"/>
              <w:rPr>
                <w:rFonts w:hint="eastAsia"/>
                <w:color w:val="000000"/>
                <w:kern w:val="0"/>
                <w:szCs w:val="21"/>
              </w:rPr>
            </w:pPr>
            <w:r>
              <w:rPr>
                <w:rFonts w:hint="eastAsia"/>
                <w:color w:val="000000"/>
                <w:kern w:val="0"/>
                <w:szCs w:val="21"/>
              </w:rPr>
              <w:t>1</w:t>
            </w:r>
          </w:p>
        </w:tc>
        <w:tc>
          <w:tcPr>
            <w:tcW w:w="543" w:type="dxa"/>
            <w:vMerge w:val="restart"/>
            <w:noWrap w:val="0"/>
            <w:vAlign w:val="top"/>
          </w:tcPr>
          <w:p>
            <w:pPr>
              <w:spacing w:line="360" w:lineRule="auto"/>
              <w:jc w:val="left"/>
              <w:rPr>
                <w:rFonts w:hint="eastAsia"/>
                <w:color w:val="000000"/>
              </w:rPr>
            </w:pPr>
            <w:r>
              <w:rPr>
                <w:rFonts w:hint="eastAsia" w:ascii="宋体" w:hAnsi="宋体"/>
                <w:color w:val="000000"/>
              </w:rPr>
              <w:t xml:space="preserve">设计说明书 </w:t>
            </w:r>
          </w:p>
        </w:tc>
        <w:tc>
          <w:tcPr>
            <w:tcW w:w="2977" w:type="dxa"/>
            <w:vMerge w:val="restart"/>
            <w:noWrap w:val="0"/>
            <w:vAlign w:val="center"/>
          </w:tcPr>
          <w:p>
            <w:pPr>
              <w:spacing w:line="360" w:lineRule="auto"/>
              <w:jc w:val="left"/>
              <w:rPr>
                <w:color w:val="000000"/>
              </w:rPr>
            </w:pPr>
            <w:r>
              <w:rPr>
                <w:rFonts w:hint="eastAsia" w:ascii="宋体" w:hAnsi="宋体"/>
                <w:color w:val="000000"/>
              </w:rPr>
              <w:t>投标人对本项目规划建设条件的熟悉程度，对项目规划建设条件分析论述深入程度，是否能充分考虑到本项目的具体情况并 采取针对性措施。</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1016"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6" w:hRule="atLeast"/>
          <w:jc w:val="center"/>
        </w:trPr>
        <w:tc>
          <w:tcPr>
            <w:tcW w:w="708" w:type="dxa"/>
            <w:vMerge w:val="continue"/>
            <w:noWrap w:val="0"/>
            <w:vAlign w:val="top"/>
          </w:tcPr>
          <w:p>
            <w:pPr>
              <w:spacing w:line="360" w:lineRule="auto"/>
              <w:jc w:val="center"/>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color w:val="000000"/>
                <w:kern w:val="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1016"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center"/>
              <w:rPr>
                <w:rFonts w:hint="eastAsia"/>
                <w:color w:val="000000"/>
                <w:kern w:val="0"/>
                <w:szCs w:val="21"/>
              </w:rPr>
            </w:pPr>
            <w:r>
              <w:rPr>
                <w:rFonts w:hint="eastAsia"/>
                <w:color w:val="000000"/>
                <w:kern w:val="0"/>
                <w:szCs w:val="21"/>
              </w:rPr>
              <w:t>2</w:t>
            </w:r>
          </w:p>
        </w:tc>
        <w:tc>
          <w:tcPr>
            <w:tcW w:w="543" w:type="dxa"/>
            <w:vMerge w:val="continue"/>
            <w:noWrap w:val="0"/>
            <w:vAlign w:val="top"/>
          </w:tcPr>
          <w:p>
            <w:pPr>
              <w:spacing w:line="360" w:lineRule="auto"/>
              <w:jc w:val="left"/>
              <w:rPr>
                <w:rFonts w:hint="eastAsia" w:ascii="宋体" w:hAnsi="宋体"/>
                <w:bCs/>
                <w:color w:val="000000"/>
                <w:szCs w:val="21"/>
              </w:rPr>
            </w:pPr>
          </w:p>
        </w:tc>
        <w:tc>
          <w:tcPr>
            <w:tcW w:w="2977" w:type="dxa"/>
            <w:vMerge w:val="restart"/>
            <w:noWrap w:val="0"/>
            <w:vAlign w:val="center"/>
          </w:tcPr>
          <w:p>
            <w:pPr>
              <w:spacing w:line="360" w:lineRule="auto"/>
              <w:jc w:val="left"/>
              <w:rPr>
                <w:color w:val="000000"/>
              </w:rPr>
            </w:pPr>
            <w:r>
              <w:rPr>
                <w:rFonts w:hint="eastAsia" w:ascii="宋体" w:hAnsi="宋体"/>
                <w:color w:val="000000"/>
              </w:rPr>
              <w:t>提出的设计构想及建议的针对性，方案的特点及可实施性进行评分。</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1016"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center"/>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color w:val="000000"/>
                <w:kern w:val="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1016"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rFonts w:hint="eastAsia"/>
                <w:color w:val="000000"/>
                <w:kern w:val="0"/>
                <w:szCs w:val="21"/>
              </w:rPr>
            </w:pPr>
            <w:r>
              <w:rPr>
                <w:rFonts w:hint="eastAsia"/>
                <w:color w:val="000000"/>
                <w:kern w:val="0"/>
                <w:szCs w:val="21"/>
              </w:rPr>
              <w:t>3</w:t>
            </w:r>
          </w:p>
        </w:tc>
        <w:tc>
          <w:tcPr>
            <w:tcW w:w="543" w:type="dxa"/>
            <w:vMerge w:val="restart"/>
            <w:noWrap w:val="0"/>
            <w:vAlign w:val="top"/>
          </w:tcPr>
          <w:p>
            <w:pPr>
              <w:spacing w:line="360" w:lineRule="auto"/>
              <w:jc w:val="left"/>
              <w:rPr>
                <w:rFonts w:hint="eastAsia"/>
                <w:color w:val="000000"/>
              </w:rPr>
            </w:pPr>
            <w:r>
              <w:rPr>
                <w:rFonts w:hint="eastAsia" w:ascii="宋体" w:hAnsi="宋体"/>
                <w:color w:val="000000"/>
              </w:rPr>
              <w:t>深化方案设计</w:t>
            </w:r>
          </w:p>
        </w:tc>
        <w:tc>
          <w:tcPr>
            <w:tcW w:w="2977" w:type="dxa"/>
            <w:vMerge w:val="restart"/>
            <w:noWrap w:val="0"/>
            <w:vAlign w:val="center"/>
          </w:tcPr>
          <w:p>
            <w:pPr>
              <w:widowControl/>
              <w:spacing w:line="240" w:lineRule="exact"/>
              <w:rPr>
                <w:rFonts w:hint="eastAsia"/>
                <w:color w:val="000000"/>
              </w:rPr>
            </w:pPr>
            <w:r>
              <w:rPr>
                <w:rFonts w:hint="eastAsia"/>
                <w:color w:val="000000"/>
              </w:rPr>
              <w:t xml:space="preserve">设计方案中道路平面与纵断面设计、道路横断面设计、路面 </w:t>
            </w:r>
          </w:p>
          <w:p>
            <w:pPr>
              <w:spacing w:line="360" w:lineRule="auto"/>
              <w:jc w:val="left"/>
              <w:rPr>
                <w:color w:val="000000"/>
                <w:kern w:val="0"/>
                <w:szCs w:val="21"/>
              </w:rPr>
            </w:pPr>
            <w:r>
              <w:rPr>
                <w:rFonts w:hint="eastAsia"/>
                <w:color w:val="000000"/>
              </w:rPr>
              <w:t>结构设计的可行性及合理性。</w:t>
            </w:r>
          </w:p>
          <w:p>
            <w:pPr>
              <w:spacing w:line="340" w:lineRule="exact"/>
              <w:rPr>
                <w:rFonts w:hint="eastAsia" w:ascii="宋体" w:hAnsi="宋体"/>
                <w:color w:val="000000"/>
              </w:rPr>
            </w:pPr>
            <w:r>
              <w:rPr>
                <w:rFonts w:hint="eastAsia" w:ascii="宋体" w:hAnsi="宋体"/>
                <w:color w:val="000000"/>
              </w:rPr>
              <w:t xml:space="preserve">布局是否符合拟定发包人要求，功能分是否明确，是否考 </w:t>
            </w:r>
          </w:p>
          <w:p>
            <w:pPr>
              <w:spacing w:line="360" w:lineRule="auto"/>
              <w:jc w:val="left"/>
              <w:rPr>
                <w:rFonts w:hint="eastAsia"/>
                <w:color w:val="000000"/>
                <w:kern w:val="0"/>
                <w:szCs w:val="21"/>
              </w:rPr>
            </w:pPr>
            <w:r>
              <w:rPr>
                <w:rFonts w:hint="eastAsia" w:ascii="宋体" w:hAnsi="宋体"/>
                <w:color w:val="000000"/>
              </w:rPr>
              <w:t>虑到项目未来的使用需求相关技术措施要求。</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ascii="宋体" w:hAnsi="宋体"/>
                <w:bCs/>
                <w:color w:val="000000"/>
                <w:szCs w:val="21"/>
              </w:rPr>
            </w:pPr>
          </w:p>
        </w:tc>
        <w:tc>
          <w:tcPr>
            <w:tcW w:w="2977" w:type="dxa"/>
            <w:vMerge w:val="continue"/>
            <w:noWrap w:val="0"/>
            <w:vAlign w:val="center"/>
          </w:tcPr>
          <w:p>
            <w:pPr>
              <w:spacing w:line="360" w:lineRule="auto"/>
              <w:jc w:val="left"/>
              <w:rPr>
                <w:rFonts w:hint="eastAsia"/>
                <w:color w:val="000000"/>
                <w:kern w:val="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color w:val="000000"/>
                <w:kern w:val="0"/>
                <w:szCs w:val="21"/>
              </w:rPr>
            </w:pPr>
            <w:r>
              <w:rPr>
                <w:color w:val="000000"/>
              </w:rPr>
              <w:t>4</w:t>
            </w:r>
          </w:p>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ascii="宋体" w:hAnsi="宋体"/>
                <w:bCs/>
                <w:color w:val="000000"/>
                <w:szCs w:val="21"/>
              </w:rPr>
            </w:pPr>
          </w:p>
        </w:tc>
        <w:tc>
          <w:tcPr>
            <w:tcW w:w="2977" w:type="dxa"/>
            <w:vMerge w:val="restart"/>
            <w:noWrap w:val="0"/>
            <w:vAlign w:val="center"/>
          </w:tcPr>
          <w:p>
            <w:pPr>
              <w:spacing w:line="360" w:lineRule="auto"/>
              <w:jc w:val="left"/>
              <w:rPr>
                <w:color w:val="000000"/>
                <w:kern w:val="0"/>
                <w:szCs w:val="21"/>
              </w:rPr>
            </w:pPr>
            <w:r>
              <w:rPr>
                <w:rFonts w:hint="eastAsia" w:ascii="宋体" w:hAnsi="宋体"/>
                <w:color w:val="000000"/>
              </w:rPr>
              <w:t>人流组织及竖向交通合理的合理程度。</w:t>
            </w:r>
          </w:p>
          <w:p>
            <w:pPr>
              <w:spacing w:line="360" w:lineRule="auto"/>
              <w:jc w:val="left"/>
              <w:rPr>
                <w:rFonts w:hint="eastAsia"/>
                <w:color w:val="000000"/>
                <w:kern w:val="0"/>
                <w:szCs w:val="21"/>
              </w:rPr>
            </w:pPr>
            <w:r>
              <w:rPr>
                <w:rFonts w:hint="eastAsia" w:ascii="宋体" w:hAnsi="宋体"/>
                <w:color w:val="000000"/>
              </w:rPr>
              <w:t>结合周边排水现状，合理解决排水走向。</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ascii="宋体" w:hAnsi="宋体"/>
                <w:bCs/>
                <w:color w:val="000000"/>
                <w:szCs w:val="21"/>
              </w:rPr>
            </w:pPr>
          </w:p>
        </w:tc>
        <w:tc>
          <w:tcPr>
            <w:tcW w:w="2977" w:type="dxa"/>
            <w:vMerge w:val="continue"/>
            <w:noWrap w:val="0"/>
            <w:vAlign w:val="center"/>
          </w:tcPr>
          <w:p>
            <w:pPr>
              <w:spacing w:line="360" w:lineRule="auto"/>
              <w:jc w:val="left"/>
              <w:rPr>
                <w:rFonts w:hint="eastAsia"/>
                <w:color w:val="000000"/>
                <w:kern w:val="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color w:val="000000"/>
                <w:kern w:val="0"/>
                <w:szCs w:val="21"/>
              </w:rPr>
            </w:pPr>
            <w:r>
              <w:rPr>
                <w:color w:val="000000"/>
              </w:rPr>
              <w:t>5</w:t>
            </w:r>
          </w:p>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restart"/>
            <w:noWrap w:val="0"/>
            <w:vAlign w:val="center"/>
          </w:tcPr>
          <w:p>
            <w:pPr>
              <w:spacing w:line="360" w:lineRule="auto"/>
              <w:jc w:val="left"/>
              <w:rPr>
                <w:rFonts w:hint="eastAsia"/>
                <w:color w:val="000000"/>
                <w:kern w:val="0"/>
                <w:szCs w:val="21"/>
              </w:rPr>
            </w:pPr>
            <w:r>
              <w:rPr>
                <w:rFonts w:hint="eastAsia" w:ascii="宋体" w:hAnsi="宋体"/>
                <w:color w:val="000000"/>
              </w:rPr>
              <w:t>设计方案经济的合理程度。</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color w:val="000000"/>
                <w:kern w:val="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color w:val="000000"/>
                <w:kern w:val="0"/>
                <w:szCs w:val="21"/>
              </w:rPr>
            </w:pPr>
            <w:r>
              <w:rPr>
                <w:color w:val="000000"/>
              </w:rPr>
              <w:t>6</w:t>
            </w:r>
          </w:p>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restart"/>
            <w:noWrap w:val="0"/>
            <w:vAlign w:val="center"/>
          </w:tcPr>
          <w:p>
            <w:pPr>
              <w:widowControl/>
              <w:spacing w:line="240" w:lineRule="exact"/>
              <w:rPr>
                <w:rFonts w:hint="eastAsia"/>
                <w:color w:val="000000"/>
              </w:rPr>
            </w:pPr>
            <w:r>
              <w:rPr>
                <w:rFonts w:hint="eastAsia"/>
                <w:color w:val="000000"/>
              </w:rPr>
              <w:t xml:space="preserve">设计方案中道路平面与纵断面设计、道路横断面设计、路面 </w:t>
            </w:r>
          </w:p>
          <w:p>
            <w:pPr>
              <w:spacing w:line="360" w:lineRule="auto"/>
              <w:jc w:val="left"/>
              <w:rPr>
                <w:color w:val="000000"/>
                <w:kern w:val="0"/>
                <w:szCs w:val="21"/>
              </w:rPr>
            </w:pPr>
            <w:r>
              <w:rPr>
                <w:rFonts w:hint="eastAsia"/>
                <w:color w:val="000000"/>
              </w:rPr>
              <w:t>结构设计的可行性及合理性。</w:t>
            </w:r>
          </w:p>
          <w:p>
            <w:pPr>
              <w:spacing w:line="340" w:lineRule="exact"/>
              <w:rPr>
                <w:rFonts w:hint="eastAsia" w:ascii="宋体" w:hAnsi="宋体"/>
                <w:color w:val="000000"/>
              </w:rPr>
            </w:pPr>
            <w:r>
              <w:rPr>
                <w:rFonts w:hint="eastAsia" w:ascii="宋体" w:hAnsi="宋体"/>
                <w:color w:val="000000"/>
              </w:rPr>
              <w:t xml:space="preserve">布局是否符合拟定发包人要求，功能分是否明确，是否考 </w:t>
            </w:r>
          </w:p>
          <w:p>
            <w:pPr>
              <w:spacing w:line="360" w:lineRule="auto"/>
              <w:jc w:val="left"/>
              <w:rPr>
                <w:rFonts w:hint="eastAsia"/>
                <w:color w:val="000000"/>
                <w:kern w:val="0"/>
                <w:szCs w:val="21"/>
              </w:rPr>
            </w:pPr>
            <w:r>
              <w:rPr>
                <w:rFonts w:hint="eastAsia" w:ascii="宋体" w:hAnsi="宋体"/>
                <w:color w:val="000000"/>
              </w:rPr>
              <w:t>虑到项目未来的使用需求相关技术措施要求。</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ascii="宋体" w:hAnsi="宋体"/>
                <w:bCs/>
                <w:color w:val="00000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rFonts w:hint="eastAsia"/>
                <w:color w:val="000000"/>
                <w:kern w:val="0"/>
                <w:szCs w:val="21"/>
              </w:rPr>
            </w:pPr>
            <w:r>
              <w:rPr>
                <w:color w:val="000000"/>
              </w:rPr>
              <w:t>7</w:t>
            </w:r>
          </w:p>
        </w:tc>
        <w:tc>
          <w:tcPr>
            <w:tcW w:w="543" w:type="dxa"/>
            <w:vMerge w:val="continue"/>
            <w:noWrap w:val="0"/>
            <w:vAlign w:val="top"/>
          </w:tcPr>
          <w:p>
            <w:pPr>
              <w:spacing w:line="360" w:lineRule="auto"/>
              <w:jc w:val="left"/>
              <w:rPr>
                <w:rFonts w:hint="eastAsia"/>
                <w:color w:val="000000"/>
                <w:kern w:val="0"/>
                <w:szCs w:val="21"/>
              </w:rPr>
            </w:pPr>
          </w:p>
        </w:tc>
        <w:tc>
          <w:tcPr>
            <w:tcW w:w="2977" w:type="dxa"/>
            <w:vMerge w:val="restart"/>
            <w:noWrap w:val="0"/>
            <w:vAlign w:val="center"/>
          </w:tcPr>
          <w:p>
            <w:pPr>
              <w:spacing w:line="360" w:lineRule="auto"/>
              <w:jc w:val="left"/>
              <w:rPr>
                <w:rFonts w:ascii="宋体" w:hAnsi="宋体"/>
                <w:bCs/>
                <w:color w:val="000000"/>
                <w:szCs w:val="21"/>
              </w:rPr>
            </w:pPr>
            <w:r>
              <w:rPr>
                <w:rFonts w:hint="eastAsia" w:ascii="宋体" w:hAnsi="宋体"/>
                <w:color w:val="000000"/>
              </w:rPr>
              <w:t>人流组织及竖向交通合理的合理程度。</w:t>
            </w:r>
          </w:p>
          <w:p>
            <w:pPr>
              <w:spacing w:line="360" w:lineRule="auto"/>
              <w:jc w:val="left"/>
              <w:rPr>
                <w:rFonts w:hint="eastAsia" w:ascii="宋体" w:hAnsi="宋体"/>
                <w:bCs/>
                <w:color w:val="000000"/>
                <w:szCs w:val="21"/>
              </w:rPr>
            </w:pPr>
            <w:r>
              <w:rPr>
                <w:rFonts w:hint="eastAsia" w:ascii="宋体" w:hAnsi="宋体"/>
                <w:color w:val="000000"/>
              </w:rPr>
              <w:t>结合周边排水现状，合理解决排水走向。</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ascii="宋体" w:hAnsi="宋体"/>
                <w:bCs/>
                <w:color w:val="00000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rFonts w:hint="eastAsia"/>
                <w:color w:val="000000"/>
                <w:kern w:val="0"/>
                <w:szCs w:val="21"/>
              </w:rPr>
            </w:pPr>
            <w:r>
              <w:rPr>
                <w:rFonts w:hint="eastAsia"/>
                <w:color w:val="000000"/>
                <w:kern w:val="0"/>
                <w:szCs w:val="21"/>
              </w:rPr>
              <w:t>8</w:t>
            </w:r>
          </w:p>
        </w:tc>
        <w:tc>
          <w:tcPr>
            <w:tcW w:w="543" w:type="dxa"/>
            <w:vMerge w:val="continue"/>
            <w:noWrap w:val="0"/>
            <w:vAlign w:val="top"/>
          </w:tcPr>
          <w:p>
            <w:pPr>
              <w:spacing w:line="360" w:lineRule="auto"/>
              <w:jc w:val="left"/>
              <w:rPr>
                <w:rFonts w:hint="eastAsia"/>
                <w:color w:val="000000"/>
                <w:kern w:val="0"/>
                <w:szCs w:val="21"/>
              </w:rPr>
            </w:pPr>
          </w:p>
        </w:tc>
        <w:tc>
          <w:tcPr>
            <w:tcW w:w="2977" w:type="dxa"/>
            <w:vMerge w:val="restart"/>
            <w:noWrap w:val="0"/>
            <w:vAlign w:val="center"/>
          </w:tcPr>
          <w:p>
            <w:pPr>
              <w:spacing w:line="360" w:lineRule="auto"/>
              <w:jc w:val="left"/>
              <w:rPr>
                <w:rFonts w:hint="eastAsia" w:ascii="宋体" w:hAnsi="宋体"/>
                <w:bCs/>
                <w:color w:val="000000"/>
                <w:szCs w:val="21"/>
              </w:rPr>
            </w:pPr>
            <w:r>
              <w:rPr>
                <w:rFonts w:hint="eastAsia" w:ascii="宋体" w:hAnsi="宋体"/>
                <w:color w:val="000000"/>
              </w:rPr>
              <w:t>设计方案经济的合理程度。</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ascii="宋体" w:hAnsi="宋体"/>
                <w:bCs/>
                <w:color w:val="00000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rFonts w:hint="eastAsia"/>
                <w:color w:val="000000"/>
                <w:kern w:val="0"/>
                <w:szCs w:val="21"/>
              </w:rPr>
            </w:pPr>
            <w:r>
              <w:rPr>
                <w:rFonts w:hint="eastAsia"/>
                <w:color w:val="000000"/>
                <w:kern w:val="0"/>
                <w:szCs w:val="21"/>
              </w:rPr>
              <w:t>9</w:t>
            </w:r>
          </w:p>
        </w:tc>
        <w:tc>
          <w:tcPr>
            <w:tcW w:w="543" w:type="dxa"/>
            <w:vMerge w:val="restart"/>
            <w:noWrap w:val="0"/>
            <w:vAlign w:val="top"/>
          </w:tcPr>
          <w:p>
            <w:pPr>
              <w:spacing w:line="360" w:lineRule="auto"/>
              <w:jc w:val="left"/>
              <w:rPr>
                <w:rFonts w:hint="eastAsia"/>
                <w:color w:val="000000"/>
                <w:kern w:val="0"/>
                <w:szCs w:val="21"/>
              </w:rPr>
            </w:pPr>
            <w:r>
              <w:rPr>
                <w:rFonts w:hint="eastAsia"/>
                <w:color w:val="000000"/>
                <w:kern w:val="0"/>
                <w:szCs w:val="21"/>
              </w:rPr>
              <w:t>初步设计成果</w:t>
            </w:r>
          </w:p>
        </w:tc>
        <w:tc>
          <w:tcPr>
            <w:tcW w:w="2977" w:type="dxa"/>
            <w:vMerge w:val="restart"/>
            <w:noWrap w:val="0"/>
            <w:vAlign w:val="center"/>
          </w:tcPr>
          <w:p>
            <w:pPr>
              <w:spacing w:line="360" w:lineRule="auto"/>
              <w:jc w:val="left"/>
              <w:rPr>
                <w:rFonts w:hint="eastAsia" w:ascii="宋体" w:hAnsi="宋体"/>
                <w:bCs/>
                <w:color w:val="000000"/>
                <w:szCs w:val="21"/>
              </w:rPr>
            </w:pPr>
            <w:r>
              <w:rPr>
                <w:rFonts w:hint="eastAsia" w:hAnsi="宋体"/>
                <w:color w:val="000000"/>
                <w:szCs w:val="21"/>
              </w:rPr>
              <w:t>初步设计技术先进性、合理性、实用性、可实施性。</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ascii="宋体" w:hAnsi="宋体"/>
                <w:bCs/>
                <w:color w:val="00000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rFonts w:hint="eastAsia"/>
                <w:color w:val="000000"/>
                <w:kern w:val="0"/>
                <w:szCs w:val="21"/>
              </w:rPr>
            </w:pPr>
            <w:r>
              <w:rPr>
                <w:rFonts w:hint="eastAsia"/>
                <w:color w:val="000000"/>
                <w:kern w:val="0"/>
                <w:szCs w:val="21"/>
              </w:rPr>
              <w:t>10</w:t>
            </w:r>
          </w:p>
        </w:tc>
        <w:tc>
          <w:tcPr>
            <w:tcW w:w="543" w:type="dxa"/>
            <w:vMerge w:val="continue"/>
            <w:noWrap w:val="0"/>
            <w:vAlign w:val="top"/>
          </w:tcPr>
          <w:p>
            <w:pPr>
              <w:spacing w:line="360" w:lineRule="auto"/>
              <w:jc w:val="left"/>
              <w:rPr>
                <w:rFonts w:hint="eastAsia"/>
                <w:color w:val="000000"/>
                <w:kern w:val="0"/>
                <w:szCs w:val="21"/>
              </w:rPr>
            </w:pPr>
          </w:p>
        </w:tc>
        <w:tc>
          <w:tcPr>
            <w:tcW w:w="2977" w:type="dxa"/>
            <w:vMerge w:val="restart"/>
            <w:noWrap w:val="0"/>
            <w:vAlign w:val="center"/>
          </w:tcPr>
          <w:p>
            <w:pPr>
              <w:spacing w:line="360" w:lineRule="auto"/>
              <w:jc w:val="left"/>
              <w:rPr>
                <w:rFonts w:hint="eastAsia" w:ascii="宋体" w:hAnsi="宋体"/>
                <w:bCs/>
                <w:color w:val="000000"/>
                <w:szCs w:val="21"/>
              </w:rPr>
            </w:pPr>
            <w:r>
              <w:rPr>
                <w:rFonts w:hint="eastAsia" w:hAnsi="宋体"/>
                <w:color w:val="000000"/>
                <w:szCs w:val="21"/>
              </w:rPr>
              <w:t>初步设计是否能达到原总平设计、方案设计的效果和目标。</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ascii="宋体" w:hAnsi="宋体"/>
                <w:bCs/>
                <w:color w:val="00000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rFonts w:hint="eastAsia"/>
                <w:color w:val="000000"/>
                <w:kern w:val="0"/>
                <w:szCs w:val="21"/>
              </w:rPr>
            </w:pPr>
            <w:r>
              <w:rPr>
                <w:rFonts w:hint="eastAsia"/>
                <w:color w:val="000000"/>
                <w:kern w:val="0"/>
                <w:szCs w:val="21"/>
              </w:rPr>
              <w:t>11</w:t>
            </w:r>
          </w:p>
        </w:tc>
        <w:tc>
          <w:tcPr>
            <w:tcW w:w="543" w:type="dxa"/>
            <w:vMerge w:val="continue"/>
            <w:noWrap w:val="0"/>
            <w:vAlign w:val="top"/>
          </w:tcPr>
          <w:p>
            <w:pPr>
              <w:spacing w:line="360" w:lineRule="auto"/>
              <w:jc w:val="left"/>
              <w:rPr>
                <w:rFonts w:hint="eastAsia"/>
                <w:color w:val="000000"/>
                <w:kern w:val="0"/>
                <w:szCs w:val="21"/>
              </w:rPr>
            </w:pPr>
          </w:p>
        </w:tc>
        <w:tc>
          <w:tcPr>
            <w:tcW w:w="2977" w:type="dxa"/>
            <w:vMerge w:val="restart"/>
            <w:noWrap w:val="0"/>
            <w:vAlign w:val="center"/>
          </w:tcPr>
          <w:p>
            <w:pPr>
              <w:spacing w:line="360" w:lineRule="auto"/>
              <w:jc w:val="left"/>
              <w:rPr>
                <w:rFonts w:hint="eastAsia" w:ascii="宋体" w:hAnsi="宋体"/>
                <w:bCs/>
                <w:color w:val="000000"/>
                <w:szCs w:val="21"/>
              </w:rPr>
            </w:pPr>
            <w:r>
              <w:rPr>
                <w:rFonts w:hint="eastAsia" w:hAnsi="宋体"/>
                <w:color w:val="000000"/>
                <w:szCs w:val="21"/>
              </w:rPr>
              <w:t>各专业对经济性的控制是否有专项措施，经济性控制良好。</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ascii="宋体" w:hAnsi="宋体"/>
                <w:bCs/>
                <w:color w:val="00000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rFonts w:hint="eastAsia"/>
                <w:color w:val="000000"/>
                <w:kern w:val="0"/>
                <w:szCs w:val="21"/>
              </w:rPr>
            </w:pPr>
            <w:r>
              <w:rPr>
                <w:rFonts w:hint="eastAsia"/>
                <w:color w:val="000000"/>
                <w:kern w:val="0"/>
                <w:szCs w:val="21"/>
              </w:rPr>
              <w:t>12</w:t>
            </w:r>
          </w:p>
        </w:tc>
        <w:tc>
          <w:tcPr>
            <w:tcW w:w="543" w:type="dxa"/>
            <w:vMerge w:val="continue"/>
            <w:noWrap w:val="0"/>
            <w:vAlign w:val="top"/>
          </w:tcPr>
          <w:p>
            <w:pPr>
              <w:spacing w:line="360" w:lineRule="auto"/>
              <w:jc w:val="left"/>
              <w:rPr>
                <w:rFonts w:hint="eastAsia"/>
                <w:color w:val="000000"/>
                <w:kern w:val="0"/>
                <w:szCs w:val="21"/>
              </w:rPr>
            </w:pPr>
          </w:p>
        </w:tc>
        <w:tc>
          <w:tcPr>
            <w:tcW w:w="2977" w:type="dxa"/>
            <w:vMerge w:val="restart"/>
            <w:noWrap w:val="0"/>
            <w:vAlign w:val="center"/>
          </w:tcPr>
          <w:p>
            <w:pPr>
              <w:spacing w:line="360" w:lineRule="auto"/>
              <w:jc w:val="left"/>
              <w:rPr>
                <w:rFonts w:hint="eastAsia" w:ascii="宋体" w:hAnsi="宋体"/>
                <w:bCs/>
                <w:color w:val="000000"/>
                <w:szCs w:val="21"/>
              </w:rPr>
            </w:pPr>
            <w:r>
              <w:rPr>
                <w:rFonts w:hint="eastAsia" w:hAnsi="宋体"/>
                <w:bCs/>
                <w:color w:val="000000"/>
                <w:szCs w:val="21"/>
              </w:rPr>
              <w:t>对关键技术选用和实施有专篇进行论证。</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ascii="宋体" w:hAnsi="宋体"/>
                <w:bCs/>
                <w:color w:val="00000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rFonts w:hint="eastAsia"/>
                <w:color w:val="000000"/>
                <w:kern w:val="0"/>
                <w:szCs w:val="21"/>
              </w:rPr>
            </w:pPr>
            <w:r>
              <w:rPr>
                <w:rFonts w:hint="eastAsia"/>
                <w:color w:val="000000"/>
                <w:kern w:val="0"/>
                <w:szCs w:val="21"/>
              </w:rPr>
              <w:t>13</w:t>
            </w:r>
          </w:p>
        </w:tc>
        <w:tc>
          <w:tcPr>
            <w:tcW w:w="543" w:type="dxa"/>
            <w:vMerge w:val="continue"/>
            <w:noWrap w:val="0"/>
            <w:vAlign w:val="top"/>
          </w:tcPr>
          <w:p>
            <w:pPr>
              <w:spacing w:line="360" w:lineRule="auto"/>
              <w:jc w:val="left"/>
              <w:rPr>
                <w:rFonts w:hint="eastAsia"/>
                <w:color w:val="000000"/>
                <w:kern w:val="0"/>
                <w:szCs w:val="21"/>
              </w:rPr>
            </w:pPr>
          </w:p>
        </w:tc>
        <w:tc>
          <w:tcPr>
            <w:tcW w:w="2977" w:type="dxa"/>
            <w:vMerge w:val="restart"/>
            <w:noWrap w:val="0"/>
            <w:vAlign w:val="center"/>
          </w:tcPr>
          <w:p>
            <w:pPr>
              <w:spacing w:line="360" w:lineRule="auto"/>
              <w:jc w:val="left"/>
              <w:rPr>
                <w:rFonts w:hint="eastAsia" w:ascii="宋体" w:hAnsi="宋体"/>
                <w:bCs/>
                <w:color w:val="000000"/>
                <w:szCs w:val="21"/>
              </w:rPr>
            </w:pPr>
            <w:r>
              <w:rPr>
                <w:rFonts w:hint="eastAsia" w:hAnsi="宋体"/>
                <w:color w:val="000000"/>
                <w:szCs w:val="21"/>
              </w:rPr>
              <w:t>初步设计说明的质量、内容和深度符合国家和省、市的有关规定和要求</w:t>
            </w:r>
            <w:r>
              <w:rPr>
                <w:rFonts w:hint="eastAsia" w:hAnsi="宋体"/>
                <w:bCs/>
                <w:color w:val="000000"/>
                <w:szCs w:val="21"/>
              </w:rPr>
              <w:t>。</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ascii="宋体" w:hAnsi="宋体"/>
                <w:bCs/>
                <w:color w:val="00000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rFonts w:hint="eastAsia"/>
                <w:color w:val="000000"/>
                <w:kern w:val="0"/>
                <w:szCs w:val="21"/>
              </w:rPr>
            </w:pPr>
            <w:r>
              <w:rPr>
                <w:rFonts w:hint="eastAsia"/>
                <w:color w:val="000000"/>
                <w:kern w:val="0"/>
                <w:szCs w:val="21"/>
              </w:rPr>
              <w:t>14</w:t>
            </w:r>
          </w:p>
        </w:tc>
        <w:tc>
          <w:tcPr>
            <w:tcW w:w="543" w:type="dxa"/>
            <w:vMerge w:val="continue"/>
            <w:noWrap w:val="0"/>
            <w:vAlign w:val="top"/>
          </w:tcPr>
          <w:p>
            <w:pPr>
              <w:spacing w:line="360" w:lineRule="auto"/>
              <w:jc w:val="left"/>
              <w:rPr>
                <w:rFonts w:hint="eastAsia"/>
                <w:color w:val="000000"/>
                <w:kern w:val="0"/>
                <w:szCs w:val="21"/>
              </w:rPr>
            </w:pPr>
          </w:p>
        </w:tc>
        <w:tc>
          <w:tcPr>
            <w:tcW w:w="2977" w:type="dxa"/>
            <w:vMerge w:val="restart"/>
            <w:noWrap w:val="0"/>
            <w:vAlign w:val="center"/>
          </w:tcPr>
          <w:p>
            <w:pPr>
              <w:spacing w:line="360" w:lineRule="auto"/>
              <w:jc w:val="left"/>
              <w:rPr>
                <w:rFonts w:hint="eastAsia" w:ascii="宋体" w:hAnsi="宋体"/>
                <w:bCs/>
                <w:color w:val="000000"/>
                <w:szCs w:val="21"/>
              </w:rPr>
            </w:pPr>
            <w:r>
              <w:rPr>
                <w:rFonts w:hint="eastAsia" w:hAnsi="宋体"/>
                <w:color w:val="000000"/>
                <w:szCs w:val="21"/>
              </w:rPr>
              <w:t>初步设计图纸的质量、内容和深度符合国家和省、市的有关规定和要求。</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ascii="宋体" w:hAnsi="宋体"/>
                <w:bCs/>
                <w:color w:val="00000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restart"/>
            <w:noWrap w:val="0"/>
            <w:vAlign w:val="top"/>
          </w:tcPr>
          <w:p>
            <w:pPr>
              <w:spacing w:line="360" w:lineRule="auto"/>
              <w:jc w:val="left"/>
              <w:rPr>
                <w:rFonts w:hint="eastAsia"/>
                <w:color w:val="000000"/>
                <w:kern w:val="0"/>
                <w:szCs w:val="21"/>
              </w:rPr>
            </w:pPr>
            <w:r>
              <w:rPr>
                <w:rFonts w:hint="eastAsia"/>
                <w:color w:val="000000"/>
                <w:kern w:val="0"/>
                <w:szCs w:val="21"/>
              </w:rPr>
              <w:t>15</w:t>
            </w:r>
          </w:p>
        </w:tc>
        <w:tc>
          <w:tcPr>
            <w:tcW w:w="543" w:type="dxa"/>
            <w:vMerge w:val="continue"/>
            <w:noWrap w:val="0"/>
            <w:vAlign w:val="top"/>
          </w:tcPr>
          <w:p>
            <w:pPr>
              <w:spacing w:line="360" w:lineRule="auto"/>
              <w:jc w:val="left"/>
              <w:rPr>
                <w:rFonts w:hint="eastAsia"/>
                <w:color w:val="000000"/>
                <w:kern w:val="0"/>
                <w:szCs w:val="21"/>
              </w:rPr>
            </w:pPr>
          </w:p>
        </w:tc>
        <w:tc>
          <w:tcPr>
            <w:tcW w:w="2977" w:type="dxa"/>
            <w:vMerge w:val="restart"/>
            <w:noWrap w:val="0"/>
            <w:vAlign w:val="center"/>
          </w:tcPr>
          <w:p>
            <w:pPr>
              <w:spacing w:line="360" w:lineRule="auto"/>
              <w:jc w:val="left"/>
              <w:rPr>
                <w:rFonts w:hint="eastAsia" w:ascii="宋体" w:hAnsi="宋体"/>
                <w:bCs/>
                <w:color w:val="000000"/>
                <w:szCs w:val="21"/>
              </w:rPr>
            </w:pPr>
            <w:r>
              <w:rPr>
                <w:rFonts w:hint="eastAsia" w:hAnsi="宋体"/>
                <w:color w:val="000000"/>
                <w:szCs w:val="21"/>
              </w:rPr>
              <w:t>初步设计概算的说明、概算的质量、内容和深度符合国家和省、市的有关规定和要求，取费正确，对投资的控制达到招标文件的要求</w:t>
            </w:r>
            <w:r>
              <w:rPr>
                <w:rFonts w:hint="eastAsia" w:hAnsi="宋体"/>
                <w:bCs/>
                <w:color w:val="000000"/>
                <w:szCs w:val="21"/>
              </w:rPr>
              <w:t>。</w:t>
            </w:r>
          </w:p>
        </w:tc>
        <w:tc>
          <w:tcPr>
            <w:tcW w:w="1016" w:type="dxa"/>
            <w:noWrap w:val="0"/>
            <w:vAlign w:val="center"/>
          </w:tcPr>
          <w:p>
            <w:pPr>
              <w:spacing w:line="360" w:lineRule="auto"/>
              <w:jc w:val="center"/>
              <w:rPr>
                <w:rFonts w:hint="eastAsia"/>
                <w:color w:val="000000"/>
              </w:rPr>
            </w:pPr>
            <w:r>
              <w:rPr>
                <w:rFonts w:hint="eastAsia"/>
                <w:color w:val="000000"/>
              </w:rPr>
              <w:t>分值</w:t>
            </w:r>
          </w:p>
        </w:tc>
        <w:tc>
          <w:tcPr>
            <w:tcW w:w="944"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r>
              <w:rPr>
                <w:rFonts w:hint="eastAsia"/>
                <w:color w:val="000000"/>
              </w:rPr>
              <w:t>分值</w:t>
            </w:r>
          </w:p>
        </w:tc>
        <w:tc>
          <w:tcPr>
            <w:tcW w:w="992" w:type="dxa"/>
            <w:noWrap w:val="0"/>
            <w:vAlign w:val="center"/>
          </w:tcPr>
          <w:p>
            <w:pPr>
              <w:spacing w:line="360" w:lineRule="auto"/>
              <w:jc w:val="center"/>
              <w:rPr>
                <w:rFonts w:hint="eastAsia"/>
                <w:color w:val="000000"/>
              </w:rPr>
            </w:pP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708" w:type="dxa"/>
            <w:vMerge w:val="continue"/>
            <w:noWrap w:val="0"/>
            <w:vAlign w:val="top"/>
          </w:tcPr>
          <w:p>
            <w:pPr>
              <w:spacing w:line="360" w:lineRule="auto"/>
              <w:jc w:val="left"/>
              <w:rPr>
                <w:rFonts w:hint="eastAsia"/>
                <w:color w:val="000000"/>
                <w:kern w:val="0"/>
                <w:szCs w:val="21"/>
              </w:rPr>
            </w:pPr>
          </w:p>
        </w:tc>
        <w:tc>
          <w:tcPr>
            <w:tcW w:w="543" w:type="dxa"/>
            <w:vMerge w:val="continue"/>
            <w:noWrap w:val="0"/>
            <w:vAlign w:val="top"/>
          </w:tcPr>
          <w:p>
            <w:pPr>
              <w:spacing w:line="360" w:lineRule="auto"/>
              <w:jc w:val="left"/>
              <w:rPr>
                <w:rFonts w:hint="eastAsia"/>
                <w:color w:val="000000"/>
                <w:kern w:val="0"/>
                <w:szCs w:val="21"/>
              </w:rPr>
            </w:pPr>
          </w:p>
        </w:tc>
        <w:tc>
          <w:tcPr>
            <w:tcW w:w="2977" w:type="dxa"/>
            <w:vMerge w:val="continue"/>
            <w:noWrap w:val="0"/>
            <w:vAlign w:val="center"/>
          </w:tcPr>
          <w:p>
            <w:pPr>
              <w:spacing w:line="360" w:lineRule="auto"/>
              <w:jc w:val="left"/>
              <w:rPr>
                <w:rFonts w:hint="eastAsia" w:ascii="宋体" w:hAnsi="宋体"/>
                <w:bCs/>
                <w:color w:val="000000"/>
                <w:szCs w:val="21"/>
              </w:rPr>
            </w:pPr>
          </w:p>
        </w:tc>
        <w:tc>
          <w:tcPr>
            <w:tcW w:w="1016" w:type="dxa"/>
            <w:noWrap w:val="0"/>
            <w:vAlign w:val="center"/>
          </w:tcPr>
          <w:p>
            <w:pPr>
              <w:spacing w:line="360" w:lineRule="auto"/>
              <w:jc w:val="center"/>
              <w:rPr>
                <w:rFonts w:hint="eastAsia"/>
                <w:color w:val="000000"/>
              </w:rPr>
            </w:pPr>
            <w:r>
              <w:rPr>
                <w:rFonts w:hint="eastAsia"/>
                <w:color w:val="000000"/>
              </w:rPr>
              <w:t>偏差率%</w:t>
            </w:r>
          </w:p>
        </w:tc>
        <w:tc>
          <w:tcPr>
            <w:tcW w:w="944"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r>
              <w:rPr>
                <w:rFonts w:hint="eastAsia"/>
                <w:color w:val="000000"/>
              </w:rPr>
              <w:t>偏差率%</w:t>
            </w:r>
          </w:p>
        </w:tc>
        <w:tc>
          <w:tcPr>
            <w:tcW w:w="992" w:type="dxa"/>
            <w:noWrap w:val="0"/>
            <w:vAlign w:val="center"/>
          </w:tcPr>
          <w:p>
            <w:pPr>
              <w:spacing w:line="360" w:lineRule="auto"/>
              <w:jc w:val="center"/>
              <w:rPr>
                <w:rFonts w:hint="eastAsia"/>
                <w:color w:val="000000"/>
              </w:rPr>
            </w:pP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3" w:hRule="atLeast"/>
          <w:jc w:val="center"/>
        </w:trPr>
        <w:tc>
          <w:tcPr>
            <w:tcW w:w="708" w:type="dxa"/>
            <w:noWrap w:val="0"/>
            <w:vAlign w:val="top"/>
          </w:tcPr>
          <w:p>
            <w:pPr>
              <w:spacing w:line="360" w:lineRule="auto"/>
              <w:jc w:val="left"/>
              <w:rPr>
                <w:color w:val="000000"/>
                <w:kern w:val="0"/>
                <w:szCs w:val="21"/>
              </w:rPr>
            </w:pPr>
          </w:p>
        </w:tc>
        <w:tc>
          <w:tcPr>
            <w:tcW w:w="543" w:type="dxa"/>
            <w:noWrap w:val="0"/>
            <w:vAlign w:val="top"/>
          </w:tcPr>
          <w:p>
            <w:pPr>
              <w:spacing w:line="360" w:lineRule="auto"/>
              <w:jc w:val="left"/>
              <w:rPr>
                <w:color w:val="000000"/>
                <w:kern w:val="0"/>
                <w:szCs w:val="21"/>
              </w:rPr>
            </w:pPr>
          </w:p>
        </w:tc>
        <w:tc>
          <w:tcPr>
            <w:tcW w:w="2977" w:type="dxa"/>
            <w:noWrap w:val="0"/>
            <w:vAlign w:val="center"/>
          </w:tcPr>
          <w:p>
            <w:pPr>
              <w:spacing w:line="360" w:lineRule="auto"/>
              <w:jc w:val="left"/>
              <w:rPr>
                <w:rFonts w:hint="eastAsia"/>
                <w:color w:val="000000"/>
                <w:kern w:val="0"/>
                <w:szCs w:val="21"/>
              </w:rPr>
            </w:pPr>
            <w:r>
              <w:rPr>
                <w:color w:val="000000"/>
                <w:kern w:val="0"/>
                <w:szCs w:val="21"/>
              </w:rPr>
              <w:t>.........</w:t>
            </w:r>
          </w:p>
        </w:tc>
        <w:tc>
          <w:tcPr>
            <w:tcW w:w="1016" w:type="dxa"/>
            <w:noWrap w:val="0"/>
            <w:vAlign w:val="center"/>
          </w:tcPr>
          <w:p>
            <w:pPr>
              <w:spacing w:line="360" w:lineRule="auto"/>
              <w:jc w:val="center"/>
              <w:rPr>
                <w:color w:val="000000"/>
              </w:rPr>
            </w:pPr>
          </w:p>
        </w:tc>
        <w:tc>
          <w:tcPr>
            <w:tcW w:w="944" w:type="dxa"/>
            <w:noWrap w:val="0"/>
            <w:vAlign w:val="center"/>
          </w:tcPr>
          <w:p>
            <w:pPr>
              <w:spacing w:line="360" w:lineRule="auto"/>
              <w:jc w:val="center"/>
              <w:rPr>
                <w:color w:val="000000"/>
              </w:rPr>
            </w:pPr>
          </w:p>
        </w:tc>
        <w:tc>
          <w:tcPr>
            <w:tcW w:w="851" w:type="dxa"/>
            <w:noWrap w:val="0"/>
            <w:vAlign w:val="center"/>
          </w:tcPr>
          <w:p>
            <w:pPr>
              <w:spacing w:line="360" w:lineRule="auto"/>
              <w:jc w:val="center"/>
              <w:rPr>
                <w:color w:val="000000"/>
              </w:rPr>
            </w:pPr>
          </w:p>
        </w:tc>
        <w:tc>
          <w:tcPr>
            <w:tcW w:w="992" w:type="dxa"/>
            <w:noWrap w:val="0"/>
            <w:vAlign w:val="center"/>
          </w:tcPr>
          <w:p>
            <w:pPr>
              <w:spacing w:line="360" w:lineRule="auto"/>
              <w:jc w:val="center"/>
              <w:rPr>
                <w:color w:val="000000"/>
              </w:rPr>
            </w:pPr>
          </w:p>
        </w:tc>
        <w:tc>
          <w:tcPr>
            <w:tcW w:w="992" w:type="dxa"/>
            <w:noWrap w:val="0"/>
            <w:vAlign w:val="center"/>
          </w:tcPr>
          <w:p>
            <w:pPr>
              <w:spacing w:line="360" w:lineRule="auto"/>
              <w:jc w:val="center"/>
              <w:rPr>
                <w:color w:val="000000"/>
              </w:rPr>
            </w:pPr>
          </w:p>
        </w:tc>
        <w:tc>
          <w:tcPr>
            <w:tcW w:w="1016"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3" w:hRule="atLeast"/>
          <w:jc w:val="center"/>
        </w:trPr>
        <w:tc>
          <w:tcPr>
            <w:tcW w:w="4228" w:type="dxa"/>
            <w:gridSpan w:val="3"/>
            <w:noWrap w:val="0"/>
            <w:vAlign w:val="top"/>
          </w:tcPr>
          <w:p>
            <w:pPr>
              <w:spacing w:line="360" w:lineRule="auto"/>
              <w:jc w:val="left"/>
              <w:rPr>
                <w:color w:val="000000"/>
                <w:kern w:val="0"/>
                <w:szCs w:val="21"/>
              </w:rPr>
            </w:pPr>
            <w:r>
              <w:rPr>
                <w:rFonts w:hint="eastAsia"/>
                <w:color w:val="000000"/>
                <w:kern w:val="0"/>
                <w:szCs w:val="21"/>
              </w:rPr>
              <w:t>设计标总评分结果</w:t>
            </w:r>
          </w:p>
        </w:tc>
        <w:tc>
          <w:tcPr>
            <w:tcW w:w="2811" w:type="dxa"/>
            <w:gridSpan w:val="3"/>
            <w:noWrap w:val="0"/>
            <w:vAlign w:val="center"/>
          </w:tcPr>
          <w:p>
            <w:pPr>
              <w:spacing w:line="360" w:lineRule="auto"/>
              <w:jc w:val="center"/>
              <w:rPr>
                <w:color w:val="000000"/>
              </w:rPr>
            </w:pPr>
          </w:p>
        </w:tc>
        <w:tc>
          <w:tcPr>
            <w:tcW w:w="1984" w:type="dxa"/>
            <w:gridSpan w:val="2"/>
            <w:noWrap w:val="0"/>
            <w:vAlign w:val="center"/>
          </w:tcPr>
          <w:p>
            <w:pPr>
              <w:spacing w:line="360" w:lineRule="auto"/>
              <w:jc w:val="center"/>
              <w:rPr>
                <w:color w:val="000000"/>
              </w:rPr>
            </w:pPr>
            <w:r>
              <w:rPr>
                <w:rFonts w:hint="eastAsia"/>
                <w:color w:val="000000"/>
              </w:rPr>
              <w:t>是否通过评审</w:t>
            </w:r>
          </w:p>
        </w:tc>
        <w:tc>
          <w:tcPr>
            <w:tcW w:w="4246" w:type="dxa"/>
            <w:gridSpan w:val="4"/>
            <w:noWrap w:val="0"/>
            <w:vAlign w:val="center"/>
          </w:tcPr>
          <w:p>
            <w:pPr>
              <w:spacing w:line="360" w:lineRule="auto"/>
              <w:jc w:val="center"/>
              <w:rPr>
                <w:color w:val="000000"/>
              </w:rPr>
            </w:pPr>
          </w:p>
        </w:tc>
      </w:tr>
    </w:tbl>
    <w:p>
      <w:pPr>
        <w:rPr>
          <w:rFonts w:hint="eastAsia" w:eastAsia="楷体_GB2312"/>
          <w:color w:val="000000"/>
          <w:szCs w:val="21"/>
        </w:rPr>
      </w:pPr>
    </w:p>
    <w:p>
      <w:pPr>
        <w:spacing w:after="240" w:afterLines="100"/>
        <w:rPr>
          <w:color w:val="000000"/>
        </w:rPr>
      </w:pPr>
      <w:r>
        <w:rPr>
          <w:rFonts w:hint="eastAsia" w:eastAsia="楷体_GB2312"/>
          <w:color w:val="000000"/>
          <w:szCs w:val="21"/>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p>
    <w:p>
      <w:pPr>
        <w:rPr>
          <w:rFonts w:eastAsia="楷体_GB2312"/>
          <w:color w:val="000000"/>
          <w:szCs w:val="21"/>
        </w:rPr>
      </w:pPr>
    </w:p>
    <w:p>
      <w:pPr>
        <w:spacing w:line="440" w:lineRule="exact"/>
        <w:rPr>
          <w:color w:val="000000"/>
        </w:rPr>
      </w:pPr>
    </w:p>
    <w:p>
      <w:pPr>
        <w:spacing w:line="440" w:lineRule="exact"/>
        <w:rPr>
          <w:color w:val="000000"/>
        </w:rPr>
      </w:pPr>
      <w:r>
        <w:rPr>
          <w:rFonts w:hint="eastAsia"/>
          <w:color w:val="000000"/>
        </w:rPr>
        <w:t>设计标评审</w:t>
      </w:r>
      <w:r>
        <w:rPr>
          <w:color w:val="000000"/>
        </w:rPr>
        <w:t>全体</w:t>
      </w:r>
      <w:r>
        <w:rPr>
          <w:rFonts w:hint="eastAsia"/>
          <w:color w:val="000000"/>
        </w:rPr>
        <w:t>评委</w:t>
      </w:r>
      <w:r>
        <w:rPr>
          <w:color w:val="000000"/>
        </w:rPr>
        <w:t>签名：                                                         日期：        年     月     日</w:t>
      </w:r>
    </w:p>
    <w:p>
      <w:pPr>
        <w:rPr>
          <w:rFonts w:eastAsia="黑体"/>
          <w:color w:val="000000"/>
          <w:szCs w:val="21"/>
        </w:rPr>
      </w:pPr>
    </w:p>
    <w:p>
      <w:pPr>
        <w:jc w:val="center"/>
        <w:rPr>
          <w:rFonts w:hint="eastAsia"/>
          <w:color w:val="000000"/>
        </w:rPr>
        <w:sectPr>
          <w:type w:val="continuous"/>
          <w:pgSz w:w="16840" w:h="11907" w:orient="landscape"/>
          <w:pgMar w:top="1440" w:right="1440" w:bottom="1440" w:left="1797" w:header="851" w:footer="851" w:gutter="0"/>
          <w:cols w:space="720" w:num="1"/>
          <w:docGrid w:linePitch="312" w:charSpace="0"/>
        </w:sectPr>
      </w:pPr>
    </w:p>
    <w:p>
      <w:pPr>
        <w:pStyle w:val="4"/>
        <w:spacing w:line="240" w:lineRule="auto"/>
        <w:rPr>
          <w:rFonts w:hint="eastAsia"/>
          <w:sz w:val="28"/>
          <w:szCs w:val="28"/>
        </w:rPr>
      </w:pPr>
      <w:bookmarkStart w:id="747" w:name="_Toc59203055"/>
      <w:r>
        <w:rPr>
          <w:sz w:val="28"/>
          <w:szCs w:val="28"/>
        </w:rPr>
        <w:t>附表A-</w:t>
      </w:r>
      <w:r>
        <w:rPr>
          <w:rFonts w:hint="eastAsia"/>
          <w:sz w:val="28"/>
          <w:szCs w:val="28"/>
        </w:rPr>
        <w:t>1</w:t>
      </w:r>
      <w:r>
        <w:rPr>
          <w:sz w:val="28"/>
          <w:szCs w:val="28"/>
        </w:rPr>
        <w:t>8：</w:t>
      </w:r>
      <w:r>
        <w:rPr>
          <w:rFonts w:hint="eastAsia"/>
          <w:sz w:val="28"/>
          <w:szCs w:val="28"/>
        </w:rPr>
        <w:t>设计标</w:t>
      </w:r>
      <w:r>
        <w:rPr>
          <w:sz w:val="28"/>
          <w:szCs w:val="28"/>
        </w:rPr>
        <w:t>评</w:t>
      </w:r>
      <w:r>
        <w:rPr>
          <w:rFonts w:hint="eastAsia"/>
          <w:sz w:val="28"/>
          <w:szCs w:val="28"/>
        </w:rPr>
        <w:t>分</w:t>
      </w:r>
      <w:r>
        <w:rPr>
          <w:sz w:val="28"/>
          <w:szCs w:val="28"/>
        </w:rPr>
        <w:t>记录表</w:t>
      </w:r>
      <w:r>
        <w:rPr>
          <w:rFonts w:hint="eastAsia"/>
          <w:sz w:val="28"/>
          <w:szCs w:val="28"/>
        </w:rPr>
        <w:t>（适用初步设计完成后施工图设计完成前以深化初步设计投标）</w:t>
      </w:r>
      <w:bookmarkEnd w:id="747"/>
    </w:p>
    <w:p>
      <w:pPr>
        <w:spacing w:line="440" w:lineRule="exact"/>
        <w:jc w:val="center"/>
        <w:rPr>
          <w:rFonts w:hint="eastAsia" w:eastAsia="黑体"/>
          <w:color w:val="000000"/>
          <w:sz w:val="28"/>
          <w:szCs w:val="28"/>
        </w:rPr>
      </w:pPr>
    </w:p>
    <w:p>
      <w:pPr>
        <w:jc w:val="center"/>
        <w:rPr>
          <w:b/>
          <w:color w:val="000000"/>
          <w:sz w:val="28"/>
          <w:szCs w:val="28"/>
        </w:rPr>
      </w:pPr>
      <w:r>
        <w:rPr>
          <w:rFonts w:hint="eastAsia"/>
          <w:b/>
          <w:color w:val="000000"/>
          <w:sz w:val="28"/>
          <w:szCs w:val="28"/>
        </w:rPr>
        <w:t>设计标</w:t>
      </w:r>
      <w:r>
        <w:rPr>
          <w:b/>
          <w:color w:val="000000"/>
          <w:sz w:val="28"/>
          <w:szCs w:val="28"/>
        </w:rPr>
        <w:t>评</w:t>
      </w:r>
      <w:r>
        <w:rPr>
          <w:rFonts w:hint="eastAsia"/>
          <w:b/>
          <w:color w:val="000000"/>
          <w:sz w:val="28"/>
          <w:szCs w:val="28"/>
        </w:rPr>
        <w:t>分</w:t>
      </w:r>
      <w:r>
        <w:rPr>
          <w:b/>
          <w:color w:val="000000"/>
          <w:sz w:val="28"/>
          <w:szCs w:val="28"/>
        </w:rPr>
        <w:t>记录表</w:t>
      </w:r>
      <w:r>
        <w:rPr>
          <w:rFonts w:hint="eastAsia"/>
          <w:b/>
          <w:color w:val="000000"/>
          <w:sz w:val="28"/>
          <w:szCs w:val="28"/>
        </w:rPr>
        <w:t>（适用</w:t>
      </w:r>
      <w:r>
        <w:rPr>
          <w:rFonts w:hint="eastAsia" w:ascii="宋体" w:hAnsi="宋体"/>
          <w:b/>
          <w:color w:val="000000"/>
          <w:sz w:val="28"/>
          <w:szCs w:val="28"/>
        </w:rPr>
        <w:t>初步设计完成后施工图设计完成前</w:t>
      </w:r>
      <w:r>
        <w:rPr>
          <w:rFonts w:hint="eastAsia"/>
          <w:b/>
          <w:color w:val="000000"/>
          <w:sz w:val="28"/>
          <w:szCs w:val="28"/>
        </w:rPr>
        <w:t>以深化初步设计投标）（适用房建项目）</w:t>
      </w:r>
    </w:p>
    <w:p>
      <w:pPr>
        <w:spacing w:after="72" w:afterLines="30" w:line="440" w:lineRule="exact"/>
        <w:rPr>
          <w:color w:val="000000"/>
        </w:rPr>
      </w:pPr>
      <w:r>
        <w:rPr>
          <w:color w:val="000000"/>
        </w:rPr>
        <w:t>工程名称</w:t>
      </w:r>
      <w:r>
        <w:rPr>
          <w:rFonts w:hint="eastAsia"/>
          <w:color w:val="000000"/>
        </w:rPr>
        <w:t>及项目招标编号</w:t>
      </w:r>
      <w:r>
        <w:rPr>
          <w:color w:val="000000"/>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color w:val="000000"/>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3959"/>
        <w:gridCol w:w="1276"/>
        <w:gridCol w:w="1042"/>
        <w:gridCol w:w="1134"/>
        <w:gridCol w:w="1134"/>
        <w:gridCol w:w="113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65" w:hRule="atLeast"/>
          <w:jc w:val="center"/>
        </w:trPr>
        <w:tc>
          <w:tcPr>
            <w:tcW w:w="917" w:type="dxa"/>
            <w:vMerge w:val="restart"/>
            <w:noWrap w:val="0"/>
            <w:vAlign w:val="center"/>
          </w:tcPr>
          <w:p>
            <w:pPr>
              <w:spacing w:line="360" w:lineRule="auto"/>
              <w:jc w:val="center"/>
              <w:rPr>
                <w:color w:val="000000"/>
              </w:rPr>
            </w:pPr>
            <w:r>
              <w:rPr>
                <w:color w:val="000000"/>
              </w:rPr>
              <w:t>序号</w:t>
            </w:r>
          </w:p>
        </w:tc>
        <w:tc>
          <w:tcPr>
            <w:tcW w:w="3959" w:type="dxa"/>
            <w:vMerge w:val="restart"/>
            <w:noWrap w:val="0"/>
            <w:vAlign w:val="center"/>
          </w:tcPr>
          <w:p>
            <w:pPr>
              <w:spacing w:line="360" w:lineRule="auto"/>
              <w:jc w:val="center"/>
              <w:rPr>
                <w:color w:val="000000"/>
              </w:rPr>
            </w:pPr>
            <w:r>
              <w:rPr>
                <w:color w:val="000000"/>
              </w:rPr>
              <w:t>评审因素</w:t>
            </w:r>
          </w:p>
        </w:tc>
        <w:tc>
          <w:tcPr>
            <w:tcW w:w="9122" w:type="dxa"/>
            <w:gridSpan w:val="8"/>
            <w:noWrap w:val="0"/>
            <w:vAlign w:val="center"/>
          </w:tcPr>
          <w:p>
            <w:pPr>
              <w:spacing w:line="360" w:lineRule="auto"/>
              <w:jc w:val="center"/>
              <w:rPr>
                <w:color w:val="000000"/>
              </w:rPr>
            </w:pPr>
            <w:r>
              <w:rPr>
                <w:color w:val="000000"/>
              </w:rPr>
              <w:t>投标人名称</w:t>
            </w:r>
            <w:r>
              <w:rPr>
                <w:rFonts w:hint="eastAsia"/>
                <w:color w:val="000000"/>
              </w:rPr>
              <w:t>（</w:t>
            </w:r>
            <w:r>
              <w:rPr>
                <w:color w:val="000000"/>
              </w:rPr>
              <w:t>或</w:t>
            </w:r>
            <w:r>
              <w:rPr>
                <w:rFonts w:hint="eastAsia"/>
                <w:color w:val="000000"/>
              </w:rPr>
              <w:t>代码</w:t>
            </w:r>
            <w:r>
              <w:rPr>
                <w:color w:val="000000"/>
              </w:rPr>
              <w:t>）及评审意见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6" w:hRule="atLeast"/>
          <w:jc w:val="center"/>
        </w:trPr>
        <w:tc>
          <w:tcPr>
            <w:tcW w:w="917" w:type="dxa"/>
            <w:vMerge w:val="continue"/>
            <w:noWrap w:val="0"/>
            <w:vAlign w:val="center"/>
          </w:tcPr>
          <w:p>
            <w:pPr>
              <w:spacing w:line="360" w:lineRule="auto"/>
              <w:jc w:val="center"/>
              <w:rPr>
                <w:rFonts w:eastAsia="黑体"/>
                <w:color w:val="000000"/>
              </w:rPr>
            </w:pPr>
          </w:p>
        </w:tc>
        <w:tc>
          <w:tcPr>
            <w:tcW w:w="3959" w:type="dxa"/>
            <w:vMerge w:val="continue"/>
            <w:noWrap w:val="0"/>
            <w:vAlign w:val="center"/>
          </w:tcPr>
          <w:p>
            <w:pPr>
              <w:spacing w:line="360" w:lineRule="auto"/>
              <w:jc w:val="center"/>
              <w:rPr>
                <w:color w:val="000000"/>
                <w:kern w:val="0"/>
                <w:szCs w:val="21"/>
              </w:rPr>
            </w:pPr>
          </w:p>
        </w:tc>
        <w:tc>
          <w:tcPr>
            <w:tcW w:w="1276" w:type="dxa"/>
            <w:noWrap w:val="0"/>
            <w:vAlign w:val="center"/>
          </w:tcPr>
          <w:p>
            <w:pPr>
              <w:spacing w:line="360" w:lineRule="auto"/>
              <w:jc w:val="center"/>
              <w:rPr>
                <w:color w:val="000000"/>
              </w:rPr>
            </w:pPr>
          </w:p>
        </w:tc>
        <w:tc>
          <w:tcPr>
            <w:tcW w:w="1042"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917" w:type="dxa"/>
            <w:noWrap w:val="0"/>
            <w:vAlign w:val="center"/>
          </w:tcPr>
          <w:p>
            <w:pPr>
              <w:spacing w:line="240" w:lineRule="exact"/>
              <w:jc w:val="center"/>
              <w:rPr>
                <w:rFonts w:eastAsia="黑体"/>
                <w:color w:val="000000"/>
                <w:sz w:val="18"/>
                <w:szCs w:val="18"/>
              </w:rPr>
            </w:pPr>
            <w:r>
              <w:rPr>
                <w:rFonts w:hint="eastAsia" w:eastAsia="黑体"/>
                <w:color w:val="000000"/>
                <w:sz w:val="18"/>
                <w:szCs w:val="18"/>
              </w:rPr>
              <w:t>1</w:t>
            </w:r>
          </w:p>
        </w:tc>
        <w:tc>
          <w:tcPr>
            <w:tcW w:w="3959" w:type="dxa"/>
            <w:noWrap w:val="0"/>
            <w:vAlign w:val="center"/>
          </w:tcPr>
          <w:p>
            <w:pPr>
              <w:spacing w:line="240" w:lineRule="exact"/>
              <w:rPr>
                <w:rFonts w:hint="eastAsia"/>
                <w:color w:val="000000"/>
                <w:kern w:val="0"/>
                <w:sz w:val="18"/>
                <w:szCs w:val="18"/>
              </w:rPr>
            </w:pPr>
            <w:r>
              <w:rPr>
                <w:rFonts w:hint="eastAsia" w:ascii="宋体" w:hAnsi="宋体"/>
                <w:color w:val="000000"/>
              </w:rPr>
              <w:t>初步设计深化文件的先进性、合理性、实用性、可实施性。</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917" w:type="dxa"/>
            <w:noWrap w:val="0"/>
            <w:vAlign w:val="center"/>
          </w:tcPr>
          <w:p>
            <w:pPr>
              <w:spacing w:line="240" w:lineRule="exact"/>
              <w:jc w:val="center"/>
              <w:rPr>
                <w:rFonts w:eastAsia="黑体"/>
                <w:color w:val="000000"/>
                <w:sz w:val="18"/>
                <w:szCs w:val="18"/>
              </w:rPr>
            </w:pPr>
            <w:r>
              <w:rPr>
                <w:rFonts w:hint="eastAsia" w:eastAsia="黑体"/>
                <w:color w:val="000000"/>
                <w:sz w:val="18"/>
                <w:szCs w:val="18"/>
              </w:rPr>
              <w:t>2</w:t>
            </w:r>
          </w:p>
        </w:tc>
        <w:tc>
          <w:tcPr>
            <w:tcW w:w="3959" w:type="dxa"/>
            <w:noWrap w:val="0"/>
            <w:vAlign w:val="center"/>
          </w:tcPr>
          <w:p>
            <w:pPr>
              <w:widowControl/>
              <w:spacing w:line="240" w:lineRule="exact"/>
              <w:rPr>
                <w:rFonts w:hint="eastAsia" w:ascii="宋体" w:hAnsi="宋体"/>
                <w:color w:val="000000"/>
              </w:rPr>
            </w:pPr>
            <w:r>
              <w:rPr>
                <w:rFonts w:hint="eastAsia" w:ascii="宋体" w:hAnsi="宋体"/>
                <w:color w:val="000000"/>
              </w:rPr>
              <w:t>是否对原初步设计提出合理性建议和深化优化建议。</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917"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3</w:t>
            </w:r>
          </w:p>
        </w:tc>
        <w:tc>
          <w:tcPr>
            <w:tcW w:w="3959" w:type="dxa"/>
            <w:noWrap w:val="0"/>
            <w:vAlign w:val="center"/>
          </w:tcPr>
          <w:p>
            <w:pPr>
              <w:widowControl/>
              <w:spacing w:line="240" w:lineRule="exact"/>
              <w:rPr>
                <w:rFonts w:hint="eastAsia" w:ascii="宋体" w:hAnsi="宋体"/>
                <w:color w:val="000000"/>
              </w:rPr>
            </w:pPr>
            <w:r>
              <w:rPr>
                <w:rFonts w:hint="eastAsia" w:ascii="宋体" w:hAnsi="宋体"/>
                <w:color w:val="000000"/>
              </w:rPr>
              <w:t>是否对关键技术选用和实施有专篇进行论证。</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917" w:type="dxa"/>
            <w:noWrap w:val="0"/>
            <w:vAlign w:val="center"/>
          </w:tcPr>
          <w:p>
            <w:pPr>
              <w:spacing w:line="240" w:lineRule="exact"/>
              <w:jc w:val="center"/>
              <w:rPr>
                <w:rFonts w:hint="eastAsia" w:eastAsia="黑体"/>
                <w:color w:val="000000"/>
                <w:sz w:val="18"/>
                <w:szCs w:val="18"/>
              </w:rPr>
            </w:pPr>
            <w:r>
              <w:rPr>
                <w:rFonts w:hint="eastAsia" w:eastAsia="黑体"/>
                <w:color w:val="000000"/>
                <w:sz w:val="18"/>
                <w:szCs w:val="18"/>
              </w:rPr>
              <w:t>4</w:t>
            </w:r>
          </w:p>
        </w:tc>
        <w:tc>
          <w:tcPr>
            <w:tcW w:w="3959" w:type="dxa"/>
            <w:noWrap w:val="0"/>
            <w:vAlign w:val="center"/>
          </w:tcPr>
          <w:p>
            <w:pPr>
              <w:widowControl/>
              <w:spacing w:line="240" w:lineRule="exact"/>
              <w:rPr>
                <w:rFonts w:hint="eastAsia" w:ascii="宋体" w:hAnsi="宋体"/>
                <w:color w:val="000000"/>
              </w:rPr>
            </w:pPr>
            <w:r>
              <w:rPr>
                <w:rFonts w:hint="eastAsia" w:ascii="宋体" w:hAnsi="宋体"/>
                <w:color w:val="000000"/>
              </w:rPr>
              <w:t>各专业对经济性的控制是否有专项措施，经济性控制良好。</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917" w:type="dxa"/>
            <w:noWrap w:val="0"/>
            <w:vAlign w:val="center"/>
          </w:tcPr>
          <w:p>
            <w:pPr>
              <w:spacing w:line="240" w:lineRule="exact"/>
              <w:jc w:val="center"/>
              <w:rPr>
                <w:rFonts w:eastAsia="黑体"/>
                <w:color w:val="000000"/>
                <w:sz w:val="18"/>
                <w:szCs w:val="18"/>
              </w:rPr>
            </w:pPr>
          </w:p>
        </w:tc>
        <w:tc>
          <w:tcPr>
            <w:tcW w:w="3959" w:type="dxa"/>
            <w:noWrap w:val="0"/>
            <w:vAlign w:val="center"/>
          </w:tcPr>
          <w:p>
            <w:pPr>
              <w:widowControl/>
              <w:spacing w:line="240" w:lineRule="exact"/>
              <w:rPr>
                <w:rFonts w:hint="eastAsia"/>
                <w:color w:val="000000"/>
                <w:sz w:val="18"/>
                <w:szCs w:val="18"/>
              </w:rPr>
            </w:pP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917" w:type="dxa"/>
            <w:noWrap w:val="0"/>
            <w:vAlign w:val="center"/>
          </w:tcPr>
          <w:p>
            <w:pPr>
              <w:spacing w:line="240" w:lineRule="exact"/>
              <w:jc w:val="center"/>
              <w:rPr>
                <w:rFonts w:hint="eastAsia" w:ascii="宋体" w:hAnsi="宋体"/>
                <w:color w:val="000000"/>
                <w:sz w:val="18"/>
                <w:szCs w:val="18"/>
              </w:rPr>
            </w:pPr>
          </w:p>
        </w:tc>
        <w:tc>
          <w:tcPr>
            <w:tcW w:w="3959" w:type="dxa"/>
            <w:noWrap w:val="0"/>
            <w:vAlign w:val="center"/>
          </w:tcPr>
          <w:p>
            <w:pPr>
              <w:widowControl/>
              <w:spacing w:line="240" w:lineRule="exact"/>
              <w:rPr>
                <w:rFonts w:hint="eastAsia"/>
                <w:color w:val="000000"/>
                <w:sz w:val="18"/>
                <w:szCs w:val="18"/>
              </w:rPr>
            </w:pPr>
            <w:r>
              <w:rPr>
                <w:rFonts w:hint="eastAsia" w:ascii="宋体" w:hAnsi="宋体"/>
                <w:color w:val="000000"/>
                <w:kern w:val="0"/>
                <w:sz w:val="18"/>
                <w:szCs w:val="18"/>
              </w:rPr>
              <w:t>…………</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bl>
    <w:p>
      <w:pPr>
        <w:rPr>
          <w:rFonts w:eastAsia="楷体_GB2312"/>
          <w:color w:val="000000"/>
          <w:szCs w:val="21"/>
        </w:rPr>
      </w:pPr>
      <w:r>
        <w:rPr>
          <w:rFonts w:eastAsia="楷体_GB2312"/>
          <w:color w:val="000000"/>
          <w:szCs w:val="21"/>
        </w:rPr>
        <w:t>【</w:t>
      </w:r>
      <w:r>
        <w:rPr>
          <w:rFonts w:eastAsia="楷体_GB2312"/>
          <w:color w:val="000000"/>
        </w:rPr>
        <w:t>备注：本表可根据评分办法的需要进行调整</w:t>
      </w:r>
      <w:r>
        <w:rPr>
          <w:rFonts w:eastAsia="楷体_GB2312"/>
          <w:color w:val="000000"/>
          <w:szCs w:val="21"/>
        </w:rPr>
        <w:t>】</w:t>
      </w:r>
    </w:p>
    <w:p>
      <w:pPr>
        <w:spacing w:line="440" w:lineRule="exact"/>
        <w:rPr>
          <w:rFonts w:hint="eastAsia"/>
          <w:color w:val="000000"/>
        </w:rPr>
      </w:pPr>
      <w:r>
        <w:rPr>
          <w:rFonts w:hint="eastAsia"/>
          <w:color w:val="000000"/>
        </w:rPr>
        <w:t>评委</w:t>
      </w:r>
      <w:r>
        <w:rPr>
          <w:color w:val="000000"/>
        </w:rPr>
        <w:t>签名：</w:t>
      </w:r>
    </w:p>
    <w:p>
      <w:pPr>
        <w:rPr>
          <w:rFonts w:hint="eastAsia"/>
          <w:color w:val="000000"/>
        </w:rPr>
      </w:pPr>
    </w:p>
    <w:p>
      <w:pPr>
        <w:rPr>
          <w:rFonts w:hint="eastAsia"/>
          <w:color w:val="000000"/>
        </w:rPr>
      </w:pPr>
    </w:p>
    <w:p>
      <w:pPr>
        <w:pStyle w:val="4"/>
        <w:spacing w:line="240" w:lineRule="auto"/>
        <w:rPr>
          <w:rFonts w:eastAsia="黑体"/>
          <w:color w:val="000000"/>
          <w:szCs w:val="21"/>
        </w:rPr>
      </w:pPr>
      <w:r>
        <w:rPr>
          <w:rFonts w:eastAsia="黑体"/>
          <w:color w:val="000000"/>
          <w:sz w:val="28"/>
          <w:szCs w:val="28"/>
        </w:rPr>
        <w:br w:type="page"/>
      </w:r>
      <w:bookmarkStart w:id="748" w:name="_Toc59203056"/>
      <w:r>
        <w:rPr>
          <w:sz w:val="28"/>
          <w:szCs w:val="28"/>
        </w:rPr>
        <w:t>附表A-19：</w:t>
      </w:r>
      <w:r>
        <w:rPr>
          <w:rFonts w:hint="eastAsia"/>
          <w:sz w:val="28"/>
          <w:szCs w:val="28"/>
        </w:rPr>
        <w:t>投标人设计标评分计算表</w:t>
      </w:r>
      <w:bookmarkEnd w:id="748"/>
    </w:p>
    <w:p>
      <w:pPr>
        <w:spacing w:line="440" w:lineRule="exact"/>
        <w:jc w:val="center"/>
        <w:rPr>
          <w:rFonts w:eastAsia="黑体"/>
          <w:color w:val="000000"/>
          <w:sz w:val="28"/>
          <w:szCs w:val="28"/>
        </w:rPr>
      </w:pPr>
      <w:r>
        <w:rPr>
          <w:rFonts w:hint="eastAsia" w:ascii="宋体" w:hAnsi="宋体"/>
          <w:b/>
          <w:color w:val="000000"/>
          <w:sz w:val="28"/>
          <w:szCs w:val="28"/>
        </w:rPr>
        <w:t>投标人名称（或代码）投标人设计标评分计算表（适用初步设计完成后施工图设计完成前以深化初步设计投标</w:t>
      </w:r>
      <w:r>
        <w:rPr>
          <w:rFonts w:hint="eastAsia" w:eastAsia="黑体"/>
          <w:color w:val="000000"/>
          <w:sz w:val="28"/>
          <w:szCs w:val="28"/>
        </w:rPr>
        <w:t>）</w:t>
      </w:r>
    </w:p>
    <w:p>
      <w:pPr>
        <w:spacing w:after="72" w:afterLines="30" w:line="440" w:lineRule="exact"/>
        <w:rPr>
          <w:color w:val="000000"/>
        </w:rPr>
      </w:pPr>
      <w:r>
        <w:rPr>
          <w:rFonts w:hint="eastAsia"/>
          <w:color w:val="000000"/>
        </w:rPr>
        <w:t>项目</w:t>
      </w:r>
      <w:r>
        <w:rPr>
          <w:color w:val="000000"/>
        </w:rPr>
        <w:t>名称</w:t>
      </w:r>
      <w:r>
        <w:rPr>
          <w:rFonts w:hint="eastAsia"/>
          <w:color w:val="000000"/>
        </w:rPr>
        <w:t>及项目招标编号</w:t>
      </w:r>
      <w:r>
        <w:rPr>
          <w:color w:val="000000"/>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color w:val="000000"/>
        </w:rPr>
        <w:t xml:space="preserve">        时间：      年      月      日</w:t>
      </w:r>
    </w:p>
    <w:p>
      <w:pPr>
        <w:spacing w:after="72" w:afterLines="30" w:line="440" w:lineRule="exact"/>
        <w:rPr>
          <w:rFonts w:hint="eastAsia"/>
          <w:color w:val="000000"/>
        </w:rPr>
      </w:pP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833"/>
        <w:gridCol w:w="850"/>
        <w:gridCol w:w="851"/>
        <w:gridCol w:w="850"/>
        <w:gridCol w:w="993"/>
        <w:gridCol w:w="850"/>
        <w:gridCol w:w="2015"/>
        <w:gridCol w:w="993"/>
        <w:gridCol w:w="1275"/>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0" w:hRule="atLeast"/>
          <w:jc w:val="center"/>
        </w:trPr>
        <w:tc>
          <w:tcPr>
            <w:tcW w:w="1137" w:type="dxa"/>
            <w:vMerge w:val="restart"/>
            <w:noWrap w:val="0"/>
            <w:vAlign w:val="top"/>
          </w:tcPr>
          <w:p>
            <w:pPr>
              <w:spacing w:line="360" w:lineRule="auto"/>
              <w:jc w:val="center"/>
              <w:rPr>
                <w:color w:val="000000"/>
              </w:rPr>
            </w:pPr>
            <w:r>
              <w:rPr>
                <w:color w:val="000000"/>
              </w:rPr>
              <w:t>序号</w:t>
            </w:r>
          </w:p>
        </w:tc>
        <w:tc>
          <w:tcPr>
            <w:tcW w:w="2833" w:type="dxa"/>
            <w:vMerge w:val="restart"/>
            <w:noWrap w:val="0"/>
            <w:vAlign w:val="center"/>
          </w:tcPr>
          <w:p>
            <w:pPr>
              <w:spacing w:line="360" w:lineRule="auto"/>
              <w:jc w:val="center"/>
              <w:rPr>
                <w:color w:val="000000"/>
                <w:kern w:val="0"/>
                <w:szCs w:val="21"/>
              </w:rPr>
            </w:pPr>
            <w:r>
              <w:rPr>
                <w:color w:val="000000"/>
              </w:rPr>
              <w:t>评审因素</w:t>
            </w:r>
          </w:p>
        </w:tc>
        <w:tc>
          <w:tcPr>
            <w:tcW w:w="4394" w:type="dxa"/>
            <w:gridSpan w:val="5"/>
            <w:noWrap w:val="0"/>
            <w:vAlign w:val="center"/>
          </w:tcPr>
          <w:p>
            <w:pPr>
              <w:spacing w:line="360" w:lineRule="auto"/>
              <w:jc w:val="center"/>
              <w:rPr>
                <w:color w:val="000000"/>
              </w:rPr>
            </w:pPr>
            <w:r>
              <w:rPr>
                <w:rFonts w:hint="eastAsia" w:cs="宋体"/>
                <w:color w:val="000000"/>
                <w:szCs w:val="21"/>
                <w:lang w:bidi="ar"/>
              </w:rPr>
              <w:t>评委姓名</w:t>
            </w:r>
          </w:p>
        </w:tc>
        <w:tc>
          <w:tcPr>
            <w:tcW w:w="2015" w:type="dxa"/>
            <w:vMerge w:val="restart"/>
            <w:noWrap w:val="0"/>
            <w:vAlign w:val="center"/>
          </w:tcPr>
          <w:p>
            <w:pPr>
              <w:spacing w:line="360" w:lineRule="auto"/>
              <w:jc w:val="center"/>
              <w:rPr>
                <w:color w:val="000000"/>
              </w:rPr>
            </w:pPr>
            <w:r>
              <w:rPr>
                <w:rFonts w:hint="eastAsia" w:cs="宋体"/>
                <w:color w:val="000000"/>
                <w:szCs w:val="21"/>
                <w:lang w:bidi="ar"/>
              </w:rPr>
              <w:t>评分基准值</w:t>
            </w:r>
          </w:p>
        </w:tc>
        <w:tc>
          <w:tcPr>
            <w:tcW w:w="993" w:type="dxa"/>
            <w:vMerge w:val="restart"/>
            <w:noWrap w:val="0"/>
            <w:vAlign w:val="center"/>
          </w:tcPr>
          <w:p>
            <w:pPr>
              <w:spacing w:line="360" w:lineRule="auto"/>
              <w:jc w:val="center"/>
              <w:rPr>
                <w:rFonts w:hint="eastAsia" w:cs="宋体"/>
                <w:color w:val="000000"/>
                <w:szCs w:val="21"/>
                <w:lang w:bidi="ar"/>
              </w:rPr>
            </w:pPr>
            <w:r>
              <w:rPr>
                <w:rFonts w:hint="eastAsia" w:cs="宋体"/>
                <w:color w:val="000000"/>
                <w:szCs w:val="21"/>
                <w:lang w:bidi="ar"/>
              </w:rPr>
              <w:t>各评委</w:t>
            </w:r>
            <w:r>
              <w:rPr>
                <w:rStyle w:val="97"/>
                <w:rFonts w:hint="eastAsia"/>
                <w:color w:val="000000"/>
                <w:szCs w:val="21"/>
              </w:rPr>
              <w:t>有效</w:t>
            </w:r>
            <w:r>
              <w:rPr>
                <w:rFonts w:hint="eastAsia" w:cs="宋体"/>
                <w:color w:val="000000"/>
                <w:szCs w:val="21"/>
                <w:lang w:bidi="ar"/>
              </w:rPr>
              <w:t>评分合计</w:t>
            </w:r>
          </w:p>
        </w:tc>
        <w:tc>
          <w:tcPr>
            <w:tcW w:w="1275" w:type="dxa"/>
            <w:vMerge w:val="restart"/>
            <w:noWrap w:val="0"/>
            <w:vAlign w:val="top"/>
          </w:tcPr>
          <w:p>
            <w:pPr>
              <w:spacing w:line="360" w:lineRule="auto"/>
              <w:jc w:val="center"/>
              <w:rPr>
                <w:color w:val="000000"/>
              </w:rPr>
            </w:pPr>
            <w:r>
              <w:rPr>
                <w:rStyle w:val="97"/>
                <w:rFonts w:hint="eastAsia"/>
                <w:color w:val="000000"/>
                <w:szCs w:val="21"/>
              </w:rPr>
              <w:t>有效</w:t>
            </w:r>
            <w:r>
              <w:rPr>
                <w:rFonts w:hint="eastAsia" w:cs="宋体"/>
                <w:color w:val="000000"/>
                <w:szCs w:val="21"/>
                <w:lang w:bidi="ar"/>
              </w:rPr>
              <w:t>评分人数</w:t>
            </w:r>
          </w:p>
        </w:tc>
        <w:tc>
          <w:tcPr>
            <w:tcW w:w="962" w:type="dxa"/>
            <w:vMerge w:val="restart"/>
            <w:noWrap w:val="0"/>
            <w:vAlign w:val="top"/>
          </w:tcPr>
          <w:p>
            <w:pPr>
              <w:spacing w:line="360" w:lineRule="auto"/>
              <w:jc w:val="center"/>
              <w:rPr>
                <w:color w:val="000000"/>
              </w:rPr>
            </w:pPr>
            <w:r>
              <w:rPr>
                <w:rFonts w:hint="eastAsia" w:eastAsia="楷体_GB2312"/>
                <w:color w:val="000000"/>
                <w:szCs w:val="21"/>
              </w:rPr>
              <w:t>该单</w:t>
            </w:r>
            <w:r>
              <w:rPr>
                <w:rFonts w:eastAsia="楷体_GB2312"/>
                <w:color w:val="000000"/>
                <w:szCs w:val="21"/>
              </w:rPr>
              <w:t>项</w:t>
            </w:r>
            <w:r>
              <w:rPr>
                <w:rFonts w:hint="eastAsia" w:eastAsia="楷体_GB2312"/>
                <w:color w:val="000000"/>
                <w:szCs w:val="21"/>
              </w:rPr>
              <w:t>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4" w:hRule="atLeast"/>
          <w:jc w:val="center"/>
        </w:trPr>
        <w:tc>
          <w:tcPr>
            <w:tcW w:w="1137" w:type="dxa"/>
            <w:vMerge w:val="continue"/>
            <w:noWrap w:val="0"/>
            <w:vAlign w:val="top"/>
          </w:tcPr>
          <w:p>
            <w:pPr>
              <w:spacing w:line="360" w:lineRule="auto"/>
              <w:jc w:val="center"/>
              <w:rPr>
                <w:color w:val="000000"/>
                <w:kern w:val="0"/>
                <w:szCs w:val="21"/>
              </w:rPr>
            </w:pPr>
          </w:p>
        </w:tc>
        <w:tc>
          <w:tcPr>
            <w:tcW w:w="2833" w:type="dxa"/>
            <w:vMerge w:val="continue"/>
            <w:noWrap w:val="0"/>
            <w:vAlign w:val="center"/>
          </w:tcPr>
          <w:p>
            <w:pPr>
              <w:spacing w:line="360" w:lineRule="auto"/>
              <w:jc w:val="center"/>
              <w:rPr>
                <w:color w:val="000000"/>
                <w:kern w:val="0"/>
                <w:szCs w:val="21"/>
              </w:rPr>
            </w:pPr>
          </w:p>
        </w:tc>
        <w:tc>
          <w:tcPr>
            <w:tcW w:w="850" w:type="dxa"/>
            <w:noWrap w:val="0"/>
            <w:vAlign w:val="center"/>
          </w:tcPr>
          <w:p>
            <w:pPr>
              <w:spacing w:line="360" w:lineRule="auto"/>
              <w:jc w:val="center"/>
              <w:rPr>
                <w:color w:val="000000"/>
              </w:rPr>
            </w:pPr>
            <w:r>
              <w:rPr>
                <w:rFonts w:hint="eastAsia"/>
                <w:color w:val="000000"/>
              </w:rPr>
              <w:t>1</w:t>
            </w:r>
          </w:p>
        </w:tc>
        <w:tc>
          <w:tcPr>
            <w:tcW w:w="851" w:type="dxa"/>
            <w:noWrap w:val="0"/>
            <w:vAlign w:val="center"/>
          </w:tcPr>
          <w:p>
            <w:pPr>
              <w:spacing w:line="360" w:lineRule="auto"/>
              <w:jc w:val="center"/>
              <w:rPr>
                <w:color w:val="000000"/>
              </w:rPr>
            </w:pPr>
            <w:r>
              <w:rPr>
                <w:rFonts w:hint="eastAsia"/>
                <w:color w:val="000000"/>
              </w:rPr>
              <w:t>2</w:t>
            </w:r>
          </w:p>
        </w:tc>
        <w:tc>
          <w:tcPr>
            <w:tcW w:w="850" w:type="dxa"/>
            <w:noWrap w:val="0"/>
            <w:vAlign w:val="center"/>
          </w:tcPr>
          <w:p>
            <w:pPr>
              <w:spacing w:line="360" w:lineRule="auto"/>
              <w:jc w:val="center"/>
              <w:rPr>
                <w:color w:val="000000"/>
              </w:rPr>
            </w:pPr>
            <w:r>
              <w:rPr>
                <w:rFonts w:hint="eastAsia"/>
                <w:color w:val="000000"/>
              </w:rPr>
              <w:t>3</w:t>
            </w:r>
          </w:p>
        </w:tc>
        <w:tc>
          <w:tcPr>
            <w:tcW w:w="993" w:type="dxa"/>
            <w:noWrap w:val="0"/>
            <w:vAlign w:val="center"/>
          </w:tcPr>
          <w:p>
            <w:pPr>
              <w:spacing w:line="360" w:lineRule="auto"/>
              <w:jc w:val="center"/>
              <w:rPr>
                <w:color w:val="000000"/>
              </w:rPr>
            </w:pPr>
            <w:r>
              <w:rPr>
                <w:rFonts w:hint="eastAsia"/>
                <w:color w:val="000000"/>
              </w:rPr>
              <w:t>4</w:t>
            </w:r>
          </w:p>
        </w:tc>
        <w:tc>
          <w:tcPr>
            <w:tcW w:w="850" w:type="dxa"/>
            <w:noWrap w:val="0"/>
            <w:vAlign w:val="center"/>
          </w:tcPr>
          <w:p>
            <w:pPr>
              <w:spacing w:line="360" w:lineRule="auto"/>
              <w:jc w:val="center"/>
              <w:rPr>
                <w:color w:val="000000"/>
              </w:rPr>
            </w:pPr>
            <w:r>
              <w:rPr>
                <w:rFonts w:hint="eastAsia"/>
                <w:color w:val="000000"/>
              </w:rPr>
              <w:t>5</w:t>
            </w:r>
          </w:p>
        </w:tc>
        <w:tc>
          <w:tcPr>
            <w:tcW w:w="2015" w:type="dxa"/>
            <w:vMerge w:val="continue"/>
            <w:noWrap w:val="0"/>
            <w:vAlign w:val="center"/>
          </w:tcPr>
          <w:p>
            <w:pPr>
              <w:spacing w:line="360" w:lineRule="auto"/>
              <w:jc w:val="center"/>
              <w:rPr>
                <w:rFonts w:hint="eastAsia" w:cs="宋体"/>
                <w:color w:val="000000"/>
                <w:szCs w:val="21"/>
                <w:lang w:bidi="ar"/>
              </w:rPr>
            </w:pPr>
          </w:p>
        </w:tc>
        <w:tc>
          <w:tcPr>
            <w:tcW w:w="993" w:type="dxa"/>
            <w:vMerge w:val="continue"/>
            <w:noWrap w:val="0"/>
            <w:vAlign w:val="center"/>
          </w:tcPr>
          <w:p>
            <w:pPr>
              <w:spacing w:line="360" w:lineRule="auto"/>
              <w:jc w:val="center"/>
              <w:rPr>
                <w:rFonts w:hint="eastAsia"/>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7" w:hRule="atLeast"/>
          <w:jc w:val="center"/>
        </w:trPr>
        <w:tc>
          <w:tcPr>
            <w:tcW w:w="1137" w:type="dxa"/>
            <w:vMerge w:val="restart"/>
            <w:noWrap w:val="0"/>
            <w:vAlign w:val="top"/>
          </w:tcPr>
          <w:p>
            <w:pPr>
              <w:spacing w:line="360" w:lineRule="auto"/>
              <w:jc w:val="center"/>
              <w:rPr>
                <w:rFonts w:hint="eastAsia"/>
                <w:color w:val="000000"/>
                <w:kern w:val="0"/>
                <w:szCs w:val="21"/>
              </w:rPr>
            </w:pPr>
            <w:r>
              <w:rPr>
                <w:rFonts w:hint="eastAsia"/>
                <w:color w:val="000000"/>
                <w:kern w:val="0"/>
                <w:szCs w:val="21"/>
              </w:rPr>
              <w:t>1</w:t>
            </w:r>
          </w:p>
        </w:tc>
        <w:tc>
          <w:tcPr>
            <w:tcW w:w="2833" w:type="dxa"/>
            <w:vMerge w:val="restart"/>
            <w:noWrap w:val="0"/>
            <w:vAlign w:val="center"/>
          </w:tcPr>
          <w:p>
            <w:pPr>
              <w:spacing w:line="360" w:lineRule="auto"/>
              <w:jc w:val="left"/>
              <w:rPr>
                <w:color w:val="000000"/>
              </w:rPr>
            </w:pPr>
            <w:r>
              <w:rPr>
                <w:rFonts w:hint="eastAsia" w:ascii="宋体" w:hAnsi="宋体"/>
                <w:color w:val="000000"/>
              </w:rPr>
              <w:t>初步设计深化文件的先进性、合理性、实用性、可实施性。</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993"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2015"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6" w:hRule="atLeast"/>
          <w:jc w:val="center"/>
        </w:trPr>
        <w:tc>
          <w:tcPr>
            <w:tcW w:w="1137" w:type="dxa"/>
            <w:vMerge w:val="continue"/>
            <w:noWrap w:val="0"/>
            <w:vAlign w:val="top"/>
          </w:tcPr>
          <w:p>
            <w:pPr>
              <w:spacing w:line="360" w:lineRule="auto"/>
              <w:jc w:val="center"/>
              <w:rPr>
                <w:rFonts w:hint="eastAsia"/>
                <w:color w:val="000000"/>
                <w:kern w:val="0"/>
                <w:szCs w:val="21"/>
              </w:rPr>
            </w:pPr>
          </w:p>
        </w:tc>
        <w:tc>
          <w:tcPr>
            <w:tcW w:w="2833" w:type="dxa"/>
            <w:vMerge w:val="continue"/>
            <w:noWrap w:val="0"/>
            <w:vAlign w:val="center"/>
          </w:tcPr>
          <w:p>
            <w:pPr>
              <w:spacing w:line="360" w:lineRule="auto"/>
              <w:jc w:val="left"/>
              <w:rPr>
                <w:rFonts w:hint="eastAsia"/>
                <w:color w:val="000000"/>
                <w:kern w:val="0"/>
                <w:szCs w:val="21"/>
              </w:rPr>
            </w:pP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993"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2015"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37" w:type="dxa"/>
            <w:vMerge w:val="restart"/>
            <w:noWrap w:val="0"/>
            <w:vAlign w:val="top"/>
          </w:tcPr>
          <w:p>
            <w:pPr>
              <w:spacing w:line="360" w:lineRule="auto"/>
              <w:jc w:val="center"/>
              <w:rPr>
                <w:rFonts w:hint="eastAsia"/>
                <w:color w:val="000000"/>
                <w:kern w:val="0"/>
                <w:szCs w:val="21"/>
              </w:rPr>
            </w:pPr>
            <w:r>
              <w:rPr>
                <w:rFonts w:hint="eastAsia"/>
                <w:color w:val="000000"/>
                <w:kern w:val="0"/>
                <w:szCs w:val="21"/>
              </w:rPr>
              <w:t>2</w:t>
            </w:r>
          </w:p>
        </w:tc>
        <w:tc>
          <w:tcPr>
            <w:tcW w:w="2833" w:type="dxa"/>
            <w:vMerge w:val="restart"/>
            <w:noWrap w:val="0"/>
            <w:vAlign w:val="center"/>
          </w:tcPr>
          <w:p>
            <w:pPr>
              <w:spacing w:line="360" w:lineRule="auto"/>
              <w:jc w:val="left"/>
              <w:rPr>
                <w:color w:val="000000"/>
              </w:rPr>
            </w:pPr>
            <w:r>
              <w:rPr>
                <w:rFonts w:hint="eastAsia" w:ascii="宋体" w:hAnsi="宋体"/>
                <w:color w:val="000000"/>
              </w:rPr>
              <w:t>是否对原初步设计提出合理性建议和深化优化建议。</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993"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2015"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37" w:type="dxa"/>
            <w:vMerge w:val="continue"/>
            <w:noWrap w:val="0"/>
            <w:vAlign w:val="top"/>
          </w:tcPr>
          <w:p>
            <w:pPr>
              <w:spacing w:line="360" w:lineRule="auto"/>
              <w:jc w:val="center"/>
              <w:rPr>
                <w:rFonts w:hint="eastAsia"/>
                <w:color w:val="000000"/>
                <w:kern w:val="0"/>
                <w:szCs w:val="21"/>
              </w:rPr>
            </w:pPr>
          </w:p>
        </w:tc>
        <w:tc>
          <w:tcPr>
            <w:tcW w:w="2833" w:type="dxa"/>
            <w:vMerge w:val="continue"/>
            <w:noWrap w:val="0"/>
            <w:vAlign w:val="center"/>
          </w:tcPr>
          <w:p>
            <w:pPr>
              <w:spacing w:line="360" w:lineRule="auto"/>
              <w:jc w:val="left"/>
              <w:rPr>
                <w:rFonts w:hint="eastAsia"/>
                <w:color w:val="000000"/>
                <w:kern w:val="0"/>
                <w:szCs w:val="21"/>
              </w:rPr>
            </w:pP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993"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2015"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37" w:type="dxa"/>
            <w:vMerge w:val="restart"/>
            <w:noWrap w:val="0"/>
            <w:vAlign w:val="top"/>
          </w:tcPr>
          <w:p>
            <w:pPr>
              <w:spacing w:line="360" w:lineRule="auto"/>
              <w:jc w:val="center"/>
              <w:rPr>
                <w:rFonts w:hint="eastAsia"/>
                <w:color w:val="000000"/>
                <w:kern w:val="0"/>
                <w:szCs w:val="21"/>
              </w:rPr>
            </w:pPr>
            <w:r>
              <w:rPr>
                <w:rFonts w:hint="eastAsia"/>
                <w:color w:val="000000"/>
                <w:kern w:val="0"/>
                <w:szCs w:val="21"/>
              </w:rPr>
              <w:t>3</w:t>
            </w:r>
          </w:p>
        </w:tc>
        <w:tc>
          <w:tcPr>
            <w:tcW w:w="2833" w:type="dxa"/>
            <w:vMerge w:val="restart"/>
            <w:noWrap w:val="0"/>
            <w:vAlign w:val="center"/>
          </w:tcPr>
          <w:p>
            <w:pPr>
              <w:spacing w:line="360" w:lineRule="auto"/>
              <w:jc w:val="left"/>
              <w:rPr>
                <w:rFonts w:hint="eastAsia"/>
                <w:color w:val="000000"/>
                <w:kern w:val="0"/>
                <w:szCs w:val="21"/>
              </w:rPr>
            </w:pPr>
            <w:r>
              <w:rPr>
                <w:rFonts w:hint="eastAsia" w:ascii="宋体" w:hAnsi="宋体"/>
                <w:color w:val="000000"/>
              </w:rPr>
              <w:t>是否对关键技术选用和实施有专篇进行论证。</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993"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2015"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37" w:type="dxa"/>
            <w:vMerge w:val="continue"/>
            <w:noWrap w:val="0"/>
            <w:vAlign w:val="top"/>
          </w:tcPr>
          <w:p>
            <w:pPr>
              <w:spacing w:line="360" w:lineRule="auto"/>
              <w:jc w:val="center"/>
              <w:rPr>
                <w:rFonts w:hint="eastAsia"/>
                <w:color w:val="000000"/>
                <w:kern w:val="0"/>
                <w:szCs w:val="21"/>
              </w:rPr>
            </w:pPr>
          </w:p>
        </w:tc>
        <w:tc>
          <w:tcPr>
            <w:tcW w:w="2833" w:type="dxa"/>
            <w:vMerge w:val="continue"/>
            <w:noWrap w:val="0"/>
            <w:vAlign w:val="center"/>
          </w:tcPr>
          <w:p>
            <w:pPr>
              <w:spacing w:line="360" w:lineRule="auto"/>
              <w:jc w:val="left"/>
              <w:rPr>
                <w:rFonts w:hint="eastAsia"/>
                <w:color w:val="000000"/>
                <w:kern w:val="0"/>
                <w:szCs w:val="21"/>
              </w:rPr>
            </w:pP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993"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2015"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37" w:type="dxa"/>
            <w:vMerge w:val="restart"/>
            <w:noWrap w:val="0"/>
            <w:vAlign w:val="top"/>
          </w:tcPr>
          <w:p>
            <w:pPr>
              <w:spacing w:line="360" w:lineRule="auto"/>
              <w:jc w:val="center"/>
              <w:rPr>
                <w:rFonts w:hint="eastAsia"/>
                <w:color w:val="000000"/>
                <w:kern w:val="0"/>
                <w:szCs w:val="21"/>
              </w:rPr>
            </w:pPr>
            <w:r>
              <w:rPr>
                <w:rFonts w:hint="eastAsia"/>
                <w:color w:val="000000"/>
                <w:kern w:val="0"/>
                <w:szCs w:val="21"/>
              </w:rPr>
              <w:t>4</w:t>
            </w:r>
          </w:p>
        </w:tc>
        <w:tc>
          <w:tcPr>
            <w:tcW w:w="2833" w:type="dxa"/>
            <w:vMerge w:val="restart"/>
            <w:noWrap w:val="0"/>
            <w:vAlign w:val="center"/>
          </w:tcPr>
          <w:p>
            <w:pPr>
              <w:spacing w:line="360" w:lineRule="auto"/>
              <w:jc w:val="left"/>
              <w:rPr>
                <w:rFonts w:hint="eastAsia"/>
                <w:color w:val="000000"/>
                <w:kern w:val="0"/>
                <w:szCs w:val="21"/>
              </w:rPr>
            </w:pPr>
            <w:r>
              <w:rPr>
                <w:rFonts w:hint="eastAsia" w:ascii="宋体" w:hAnsi="宋体"/>
                <w:color w:val="000000"/>
              </w:rPr>
              <w:t>各专业对经济性的控制是否有专项措施，经济性控制良好。</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993"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2015"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37" w:type="dxa"/>
            <w:vMerge w:val="continue"/>
            <w:noWrap w:val="0"/>
            <w:vAlign w:val="top"/>
          </w:tcPr>
          <w:p>
            <w:pPr>
              <w:spacing w:line="360" w:lineRule="auto"/>
              <w:jc w:val="left"/>
              <w:rPr>
                <w:rFonts w:hint="eastAsia"/>
                <w:color w:val="000000"/>
                <w:kern w:val="0"/>
                <w:szCs w:val="21"/>
              </w:rPr>
            </w:pPr>
          </w:p>
        </w:tc>
        <w:tc>
          <w:tcPr>
            <w:tcW w:w="2833" w:type="dxa"/>
            <w:vMerge w:val="continue"/>
            <w:noWrap w:val="0"/>
            <w:vAlign w:val="center"/>
          </w:tcPr>
          <w:p>
            <w:pPr>
              <w:spacing w:line="360" w:lineRule="auto"/>
              <w:jc w:val="left"/>
              <w:rPr>
                <w:rFonts w:hint="eastAsia"/>
                <w:color w:val="000000"/>
                <w:kern w:val="0"/>
                <w:szCs w:val="21"/>
              </w:rPr>
            </w:pP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993"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2015"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3" w:hRule="atLeast"/>
          <w:jc w:val="center"/>
        </w:trPr>
        <w:tc>
          <w:tcPr>
            <w:tcW w:w="1137" w:type="dxa"/>
            <w:noWrap w:val="0"/>
            <w:vAlign w:val="top"/>
          </w:tcPr>
          <w:p>
            <w:pPr>
              <w:spacing w:line="360" w:lineRule="auto"/>
              <w:jc w:val="left"/>
              <w:rPr>
                <w:color w:val="000000"/>
                <w:kern w:val="0"/>
                <w:szCs w:val="21"/>
              </w:rPr>
            </w:pPr>
          </w:p>
        </w:tc>
        <w:tc>
          <w:tcPr>
            <w:tcW w:w="2833" w:type="dxa"/>
            <w:noWrap w:val="0"/>
            <w:vAlign w:val="center"/>
          </w:tcPr>
          <w:p>
            <w:pPr>
              <w:spacing w:line="360" w:lineRule="auto"/>
              <w:jc w:val="left"/>
              <w:rPr>
                <w:rFonts w:hint="eastAsia"/>
                <w:color w:val="000000"/>
                <w:kern w:val="0"/>
                <w:szCs w:val="21"/>
              </w:rPr>
            </w:pPr>
            <w:r>
              <w:rPr>
                <w:color w:val="000000"/>
                <w:kern w:val="0"/>
                <w:szCs w:val="21"/>
              </w:rPr>
              <w:t>.........</w:t>
            </w:r>
          </w:p>
        </w:tc>
        <w:tc>
          <w:tcPr>
            <w:tcW w:w="850" w:type="dxa"/>
            <w:noWrap w:val="0"/>
            <w:vAlign w:val="center"/>
          </w:tcPr>
          <w:p>
            <w:pPr>
              <w:spacing w:line="360" w:lineRule="auto"/>
              <w:jc w:val="center"/>
              <w:rPr>
                <w:color w:val="000000"/>
              </w:rPr>
            </w:pPr>
          </w:p>
        </w:tc>
        <w:tc>
          <w:tcPr>
            <w:tcW w:w="851" w:type="dxa"/>
            <w:noWrap w:val="0"/>
            <w:vAlign w:val="center"/>
          </w:tcPr>
          <w:p>
            <w:pPr>
              <w:spacing w:line="360" w:lineRule="auto"/>
              <w:jc w:val="center"/>
              <w:rPr>
                <w:color w:val="000000"/>
              </w:rPr>
            </w:pPr>
          </w:p>
        </w:tc>
        <w:tc>
          <w:tcPr>
            <w:tcW w:w="850"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850" w:type="dxa"/>
            <w:noWrap w:val="0"/>
            <w:vAlign w:val="center"/>
          </w:tcPr>
          <w:p>
            <w:pPr>
              <w:spacing w:line="360" w:lineRule="auto"/>
              <w:jc w:val="center"/>
              <w:rPr>
                <w:color w:val="000000"/>
              </w:rPr>
            </w:pPr>
          </w:p>
        </w:tc>
        <w:tc>
          <w:tcPr>
            <w:tcW w:w="2015"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3" w:hRule="atLeast"/>
          <w:jc w:val="center"/>
        </w:trPr>
        <w:tc>
          <w:tcPr>
            <w:tcW w:w="3970" w:type="dxa"/>
            <w:gridSpan w:val="2"/>
            <w:noWrap w:val="0"/>
            <w:vAlign w:val="top"/>
          </w:tcPr>
          <w:p>
            <w:pPr>
              <w:spacing w:line="360" w:lineRule="auto"/>
              <w:jc w:val="left"/>
              <w:rPr>
                <w:color w:val="000000"/>
                <w:kern w:val="0"/>
                <w:szCs w:val="21"/>
              </w:rPr>
            </w:pPr>
            <w:r>
              <w:rPr>
                <w:rFonts w:hint="eastAsia"/>
                <w:color w:val="000000"/>
                <w:kern w:val="0"/>
                <w:szCs w:val="21"/>
              </w:rPr>
              <w:t>设计标总评分结果</w:t>
            </w:r>
          </w:p>
        </w:tc>
        <w:tc>
          <w:tcPr>
            <w:tcW w:w="2551" w:type="dxa"/>
            <w:gridSpan w:val="3"/>
            <w:noWrap w:val="0"/>
            <w:vAlign w:val="center"/>
          </w:tcPr>
          <w:p>
            <w:pPr>
              <w:spacing w:line="360" w:lineRule="auto"/>
              <w:jc w:val="center"/>
              <w:rPr>
                <w:color w:val="000000"/>
              </w:rPr>
            </w:pPr>
          </w:p>
        </w:tc>
        <w:tc>
          <w:tcPr>
            <w:tcW w:w="1843" w:type="dxa"/>
            <w:gridSpan w:val="2"/>
            <w:noWrap w:val="0"/>
            <w:vAlign w:val="center"/>
          </w:tcPr>
          <w:p>
            <w:pPr>
              <w:spacing w:line="360" w:lineRule="auto"/>
              <w:jc w:val="center"/>
              <w:rPr>
                <w:color w:val="000000"/>
              </w:rPr>
            </w:pPr>
            <w:r>
              <w:rPr>
                <w:rFonts w:hint="eastAsia"/>
                <w:color w:val="000000"/>
              </w:rPr>
              <w:t>是否通过评审</w:t>
            </w:r>
          </w:p>
        </w:tc>
        <w:tc>
          <w:tcPr>
            <w:tcW w:w="5245" w:type="dxa"/>
            <w:gridSpan w:val="4"/>
            <w:noWrap w:val="0"/>
            <w:vAlign w:val="center"/>
          </w:tcPr>
          <w:p>
            <w:pPr>
              <w:spacing w:line="360" w:lineRule="auto"/>
              <w:jc w:val="center"/>
              <w:rPr>
                <w:color w:val="000000"/>
              </w:rPr>
            </w:pPr>
          </w:p>
        </w:tc>
      </w:tr>
    </w:tbl>
    <w:p>
      <w:pPr>
        <w:rPr>
          <w:rFonts w:hint="eastAsia" w:eastAsia="楷体_GB2312"/>
          <w:color w:val="000000"/>
          <w:szCs w:val="21"/>
        </w:rPr>
      </w:pPr>
    </w:p>
    <w:p>
      <w:pPr>
        <w:spacing w:after="240" w:afterLines="100"/>
        <w:rPr>
          <w:color w:val="000000"/>
        </w:rPr>
      </w:pPr>
      <w:r>
        <w:rPr>
          <w:rFonts w:hint="eastAsia" w:eastAsia="楷体_GB2312"/>
          <w:color w:val="000000"/>
          <w:szCs w:val="21"/>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p>
    <w:p>
      <w:pPr>
        <w:spacing w:line="440" w:lineRule="exact"/>
        <w:rPr>
          <w:color w:val="000000"/>
        </w:rPr>
      </w:pPr>
      <w:r>
        <w:rPr>
          <w:rFonts w:hint="eastAsia"/>
          <w:color w:val="000000"/>
        </w:rPr>
        <w:t>设计标评审</w:t>
      </w:r>
      <w:r>
        <w:rPr>
          <w:color w:val="000000"/>
        </w:rPr>
        <w:t>全体</w:t>
      </w:r>
      <w:r>
        <w:rPr>
          <w:rFonts w:hint="eastAsia"/>
          <w:color w:val="000000"/>
        </w:rPr>
        <w:t>评委</w:t>
      </w:r>
      <w:r>
        <w:rPr>
          <w:color w:val="000000"/>
        </w:rPr>
        <w:t>签名：                                                         日期：        年     月     日</w:t>
      </w:r>
    </w:p>
    <w:p>
      <w:pPr>
        <w:pStyle w:val="4"/>
        <w:spacing w:line="240" w:lineRule="auto"/>
        <w:rPr>
          <w:rFonts w:hint="eastAsia"/>
          <w:sz w:val="28"/>
          <w:szCs w:val="28"/>
        </w:rPr>
      </w:pPr>
      <w:bookmarkStart w:id="749" w:name="_Toc59203057"/>
      <w:r>
        <w:rPr>
          <w:sz w:val="28"/>
          <w:szCs w:val="28"/>
        </w:rPr>
        <w:t>附表A-</w:t>
      </w:r>
      <w:r>
        <w:rPr>
          <w:rFonts w:hint="eastAsia"/>
          <w:sz w:val="28"/>
          <w:szCs w:val="28"/>
        </w:rPr>
        <w:t>1</w:t>
      </w:r>
      <w:r>
        <w:rPr>
          <w:sz w:val="28"/>
          <w:szCs w:val="28"/>
        </w:rPr>
        <w:t>8：</w:t>
      </w:r>
      <w:r>
        <w:rPr>
          <w:rFonts w:hint="eastAsia"/>
          <w:sz w:val="28"/>
          <w:szCs w:val="28"/>
        </w:rPr>
        <w:t>设计标</w:t>
      </w:r>
      <w:r>
        <w:rPr>
          <w:sz w:val="28"/>
          <w:szCs w:val="28"/>
        </w:rPr>
        <w:t>评</w:t>
      </w:r>
      <w:r>
        <w:rPr>
          <w:rFonts w:hint="eastAsia"/>
          <w:sz w:val="28"/>
          <w:szCs w:val="28"/>
        </w:rPr>
        <w:t>分</w:t>
      </w:r>
      <w:r>
        <w:rPr>
          <w:sz w:val="28"/>
          <w:szCs w:val="28"/>
        </w:rPr>
        <w:t>记录表</w:t>
      </w:r>
      <w:r>
        <w:rPr>
          <w:rFonts w:hint="eastAsia"/>
          <w:sz w:val="28"/>
          <w:szCs w:val="28"/>
        </w:rPr>
        <w:t>（适用初步设计完成后施工图设计完成前以深化初步设计投标）</w:t>
      </w:r>
      <w:bookmarkEnd w:id="749"/>
    </w:p>
    <w:p>
      <w:pPr>
        <w:spacing w:line="440" w:lineRule="exact"/>
        <w:jc w:val="center"/>
        <w:rPr>
          <w:rFonts w:hint="eastAsia" w:eastAsia="黑体"/>
          <w:color w:val="000000"/>
          <w:sz w:val="28"/>
          <w:szCs w:val="28"/>
        </w:rPr>
      </w:pPr>
    </w:p>
    <w:p>
      <w:pPr>
        <w:jc w:val="center"/>
        <w:rPr>
          <w:b/>
          <w:color w:val="000000"/>
          <w:sz w:val="28"/>
          <w:szCs w:val="28"/>
        </w:rPr>
      </w:pPr>
      <w:r>
        <w:rPr>
          <w:rFonts w:hint="eastAsia"/>
          <w:b/>
          <w:color w:val="000000"/>
          <w:sz w:val="28"/>
          <w:szCs w:val="28"/>
        </w:rPr>
        <w:t>设计标</w:t>
      </w:r>
      <w:r>
        <w:rPr>
          <w:b/>
          <w:color w:val="000000"/>
          <w:sz w:val="28"/>
          <w:szCs w:val="28"/>
        </w:rPr>
        <w:t>评</w:t>
      </w:r>
      <w:r>
        <w:rPr>
          <w:rFonts w:hint="eastAsia"/>
          <w:b/>
          <w:color w:val="000000"/>
          <w:sz w:val="28"/>
          <w:szCs w:val="28"/>
        </w:rPr>
        <w:t>分</w:t>
      </w:r>
      <w:r>
        <w:rPr>
          <w:b/>
          <w:color w:val="000000"/>
          <w:sz w:val="28"/>
          <w:szCs w:val="28"/>
        </w:rPr>
        <w:t>记录表</w:t>
      </w:r>
      <w:r>
        <w:rPr>
          <w:rFonts w:hint="eastAsia"/>
          <w:b/>
          <w:color w:val="000000"/>
          <w:sz w:val="28"/>
          <w:szCs w:val="28"/>
        </w:rPr>
        <w:t>（适用</w:t>
      </w:r>
      <w:r>
        <w:rPr>
          <w:rFonts w:hint="eastAsia" w:ascii="宋体" w:hAnsi="宋体"/>
          <w:b/>
          <w:color w:val="000000"/>
          <w:sz w:val="28"/>
          <w:szCs w:val="28"/>
        </w:rPr>
        <w:t>初步设计完成后施工图设计完成前</w:t>
      </w:r>
      <w:r>
        <w:rPr>
          <w:rFonts w:hint="eastAsia"/>
          <w:b/>
          <w:color w:val="000000"/>
          <w:sz w:val="28"/>
          <w:szCs w:val="28"/>
        </w:rPr>
        <w:t>以深化初步设计投标）（适用市政项目）</w:t>
      </w:r>
    </w:p>
    <w:p>
      <w:pPr>
        <w:spacing w:after="72" w:afterLines="30" w:line="440" w:lineRule="exact"/>
        <w:rPr>
          <w:color w:val="000000"/>
        </w:rPr>
      </w:pPr>
      <w:r>
        <w:rPr>
          <w:color w:val="000000"/>
        </w:rPr>
        <w:t>工程名称</w:t>
      </w:r>
      <w:r>
        <w:rPr>
          <w:rFonts w:hint="eastAsia"/>
          <w:color w:val="000000"/>
        </w:rPr>
        <w:t>及项目招标编号</w:t>
      </w:r>
      <w:r>
        <w:rPr>
          <w:color w:val="000000"/>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color w:val="000000"/>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3959"/>
        <w:gridCol w:w="1276"/>
        <w:gridCol w:w="1042"/>
        <w:gridCol w:w="1134"/>
        <w:gridCol w:w="1134"/>
        <w:gridCol w:w="113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65" w:hRule="atLeast"/>
          <w:jc w:val="center"/>
        </w:trPr>
        <w:tc>
          <w:tcPr>
            <w:tcW w:w="917" w:type="dxa"/>
            <w:vMerge w:val="restart"/>
            <w:noWrap w:val="0"/>
            <w:vAlign w:val="center"/>
          </w:tcPr>
          <w:p>
            <w:pPr>
              <w:spacing w:line="360" w:lineRule="auto"/>
              <w:jc w:val="center"/>
              <w:rPr>
                <w:color w:val="000000"/>
              </w:rPr>
            </w:pPr>
            <w:r>
              <w:rPr>
                <w:color w:val="000000"/>
              </w:rPr>
              <w:t>序号</w:t>
            </w:r>
          </w:p>
        </w:tc>
        <w:tc>
          <w:tcPr>
            <w:tcW w:w="3959" w:type="dxa"/>
            <w:vMerge w:val="restart"/>
            <w:noWrap w:val="0"/>
            <w:vAlign w:val="center"/>
          </w:tcPr>
          <w:p>
            <w:pPr>
              <w:spacing w:line="360" w:lineRule="auto"/>
              <w:jc w:val="center"/>
              <w:rPr>
                <w:color w:val="000000"/>
              </w:rPr>
            </w:pPr>
            <w:r>
              <w:rPr>
                <w:color w:val="000000"/>
              </w:rPr>
              <w:t>评审因素</w:t>
            </w:r>
          </w:p>
        </w:tc>
        <w:tc>
          <w:tcPr>
            <w:tcW w:w="9122" w:type="dxa"/>
            <w:gridSpan w:val="8"/>
            <w:noWrap w:val="0"/>
            <w:vAlign w:val="center"/>
          </w:tcPr>
          <w:p>
            <w:pPr>
              <w:spacing w:line="360" w:lineRule="auto"/>
              <w:jc w:val="center"/>
              <w:rPr>
                <w:color w:val="000000"/>
              </w:rPr>
            </w:pPr>
            <w:r>
              <w:rPr>
                <w:color w:val="000000"/>
              </w:rPr>
              <w:t>投标人名称</w:t>
            </w:r>
            <w:r>
              <w:rPr>
                <w:rFonts w:hint="eastAsia"/>
                <w:color w:val="000000"/>
              </w:rPr>
              <w:t>（</w:t>
            </w:r>
            <w:r>
              <w:rPr>
                <w:color w:val="000000"/>
              </w:rPr>
              <w:t>或</w:t>
            </w:r>
            <w:r>
              <w:rPr>
                <w:rFonts w:hint="eastAsia"/>
                <w:color w:val="000000"/>
              </w:rPr>
              <w:t>代码</w:t>
            </w:r>
            <w:r>
              <w:rPr>
                <w:color w:val="000000"/>
              </w:rPr>
              <w:t>）及评审意见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6" w:hRule="atLeast"/>
          <w:jc w:val="center"/>
        </w:trPr>
        <w:tc>
          <w:tcPr>
            <w:tcW w:w="917" w:type="dxa"/>
            <w:vMerge w:val="continue"/>
            <w:noWrap w:val="0"/>
            <w:vAlign w:val="center"/>
          </w:tcPr>
          <w:p>
            <w:pPr>
              <w:spacing w:line="360" w:lineRule="auto"/>
              <w:jc w:val="center"/>
              <w:rPr>
                <w:rFonts w:eastAsia="黑体"/>
                <w:color w:val="000000"/>
              </w:rPr>
            </w:pPr>
          </w:p>
        </w:tc>
        <w:tc>
          <w:tcPr>
            <w:tcW w:w="3959" w:type="dxa"/>
            <w:vMerge w:val="continue"/>
            <w:noWrap w:val="0"/>
            <w:vAlign w:val="center"/>
          </w:tcPr>
          <w:p>
            <w:pPr>
              <w:spacing w:line="360" w:lineRule="auto"/>
              <w:jc w:val="center"/>
              <w:rPr>
                <w:color w:val="000000"/>
                <w:kern w:val="0"/>
                <w:szCs w:val="21"/>
              </w:rPr>
            </w:pPr>
          </w:p>
        </w:tc>
        <w:tc>
          <w:tcPr>
            <w:tcW w:w="1276" w:type="dxa"/>
            <w:noWrap w:val="0"/>
            <w:vAlign w:val="center"/>
          </w:tcPr>
          <w:p>
            <w:pPr>
              <w:spacing w:line="360" w:lineRule="auto"/>
              <w:jc w:val="center"/>
              <w:rPr>
                <w:color w:val="000000"/>
              </w:rPr>
            </w:pPr>
          </w:p>
        </w:tc>
        <w:tc>
          <w:tcPr>
            <w:tcW w:w="1042"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c>
          <w:tcPr>
            <w:tcW w:w="1134" w:type="dxa"/>
            <w:noWrap w:val="0"/>
            <w:vAlign w:val="center"/>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917" w:type="dxa"/>
            <w:noWrap w:val="0"/>
            <w:vAlign w:val="center"/>
          </w:tcPr>
          <w:p>
            <w:pPr>
              <w:spacing w:line="240" w:lineRule="exact"/>
              <w:jc w:val="center"/>
              <w:rPr>
                <w:rFonts w:eastAsia="黑体"/>
                <w:color w:val="000000"/>
                <w:sz w:val="18"/>
                <w:szCs w:val="18"/>
              </w:rPr>
            </w:pPr>
            <w:r>
              <w:rPr>
                <w:rFonts w:hint="eastAsia" w:eastAsia="黑体"/>
                <w:color w:val="000000"/>
                <w:sz w:val="18"/>
                <w:szCs w:val="18"/>
              </w:rPr>
              <w:t>1</w:t>
            </w:r>
          </w:p>
        </w:tc>
        <w:tc>
          <w:tcPr>
            <w:tcW w:w="3959" w:type="dxa"/>
            <w:noWrap w:val="0"/>
            <w:vAlign w:val="center"/>
          </w:tcPr>
          <w:p>
            <w:pPr>
              <w:spacing w:line="240" w:lineRule="exact"/>
              <w:rPr>
                <w:rFonts w:hint="eastAsia"/>
                <w:color w:val="000000"/>
                <w:kern w:val="0"/>
                <w:sz w:val="18"/>
                <w:szCs w:val="18"/>
              </w:rPr>
            </w:pPr>
            <w:r>
              <w:rPr>
                <w:rFonts w:hint="eastAsia" w:ascii="宋体" w:hAnsi="宋体"/>
                <w:bCs/>
                <w:color w:val="000000"/>
                <w:szCs w:val="21"/>
              </w:rPr>
              <w:t>设计说明结合招标文件要求，体现必要设计图纸内容，内容至少包括：相关的设计依据及规范、经济技术指标等。</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917" w:type="dxa"/>
            <w:noWrap w:val="0"/>
            <w:vAlign w:val="center"/>
          </w:tcPr>
          <w:p>
            <w:pPr>
              <w:spacing w:line="240" w:lineRule="exact"/>
              <w:jc w:val="center"/>
              <w:rPr>
                <w:rFonts w:eastAsia="黑体"/>
                <w:color w:val="000000"/>
                <w:sz w:val="18"/>
                <w:szCs w:val="18"/>
              </w:rPr>
            </w:pPr>
            <w:r>
              <w:rPr>
                <w:rFonts w:hint="eastAsia" w:eastAsia="黑体"/>
                <w:color w:val="000000"/>
                <w:sz w:val="18"/>
                <w:szCs w:val="18"/>
              </w:rPr>
              <w:t>2</w:t>
            </w:r>
          </w:p>
        </w:tc>
        <w:tc>
          <w:tcPr>
            <w:tcW w:w="3959" w:type="dxa"/>
            <w:noWrap w:val="0"/>
            <w:vAlign w:val="center"/>
          </w:tcPr>
          <w:p>
            <w:pPr>
              <w:widowControl/>
              <w:spacing w:line="240" w:lineRule="exact"/>
              <w:rPr>
                <w:rFonts w:hint="eastAsia" w:ascii="宋体" w:hAnsi="宋体"/>
                <w:color w:val="000000"/>
              </w:rPr>
            </w:pPr>
            <w:r>
              <w:rPr>
                <w:rFonts w:hint="eastAsia" w:ascii="宋体" w:hAnsi="宋体"/>
                <w:bCs/>
                <w:color w:val="000000"/>
                <w:szCs w:val="21"/>
              </w:rPr>
              <w:t>根据城市规划、建设标准、设计规范从设计依据、设计说明、工程方案等方面综合描述说明，总体设计思路非常清晰、非常完整，提供方案优缺点对比分析；设计图纸完整性，专业技术指标是否合理，整体内容是否符合相关要求。</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917" w:type="dxa"/>
            <w:noWrap w:val="0"/>
            <w:vAlign w:val="center"/>
          </w:tcPr>
          <w:p>
            <w:pPr>
              <w:spacing w:line="240" w:lineRule="exact"/>
              <w:jc w:val="center"/>
              <w:rPr>
                <w:rFonts w:eastAsia="黑体"/>
                <w:color w:val="000000"/>
                <w:sz w:val="18"/>
                <w:szCs w:val="18"/>
              </w:rPr>
            </w:pPr>
          </w:p>
        </w:tc>
        <w:tc>
          <w:tcPr>
            <w:tcW w:w="3959" w:type="dxa"/>
            <w:noWrap w:val="0"/>
            <w:vAlign w:val="center"/>
          </w:tcPr>
          <w:p>
            <w:pPr>
              <w:widowControl/>
              <w:spacing w:line="240" w:lineRule="exact"/>
              <w:rPr>
                <w:rFonts w:hint="eastAsia"/>
                <w:color w:val="000000"/>
                <w:sz w:val="18"/>
                <w:szCs w:val="18"/>
              </w:rPr>
            </w:pP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7" w:hRule="atLeast"/>
          <w:jc w:val="center"/>
        </w:trPr>
        <w:tc>
          <w:tcPr>
            <w:tcW w:w="917" w:type="dxa"/>
            <w:noWrap w:val="0"/>
            <w:vAlign w:val="center"/>
          </w:tcPr>
          <w:p>
            <w:pPr>
              <w:spacing w:line="240" w:lineRule="exact"/>
              <w:jc w:val="center"/>
              <w:rPr>
                <w:rFonts w:hint="eastAsia" w:ascii="宋体" w:hAnsi="宋体"/>
                <w:color w:val="000000"/>
                <w:sz w:val="18"/>
                <w:szCs w:val="18"/>
              </w:rPr>
            </w:pPr>
          </w:p>
        </w:tc>
        <w:tc>
          <w:tcPr>
            <w:tcW w:w="3959" w:type="dxa"/>
            <w:noWrap w:val="0"/>
            <w:vAlign w:val="center"/>
          </w:tcPr>
          <w:p>
            <w:pPr>
              <w:widowControl/>
              <w:spacing w:line="240" w:lineRule="exact"/>
              <w:rPr>
                <w:rFonts w:hint="eastAsia"/>
                <w:color w:val="000000"/>
                <w:sz w:val="18"/>
                <w:szCs w:val="18"/>
              </w:rPr>
            </w:pPr>
            <w:r>
              <w:rPr>
                <w:rFonts w:hint="eastAsia" w:ascii="宋体" w:hAnsi="宋体"/>
                <w:color w:val="000000"/>
                <w:kern w:val="0"/>
                <w:sz w:val="18"/>
                <w:szCs w:val="18"/>
              </w:rPr>
              <w:t>…………</w:t>
            </w:r>
          </w:p>
        </w:tc>
        <w:tc>
          <w:tcPr>
            <w:tcW w:w="1276" w:type="dxa"/>
            <w:noWrap w:val="0"/>
            <w:vAlign w:val="center"/>
          </w:tcPr>
          <w:p>
            <w:pPr>
              <w:spacing w:line="240" w:lineRule="exact"/>
              <w:jc w:val="center"/>
              <w:rPr>
                <w:color w:val="000000"/>
                <w:sz w:val="18"/>
                <w:szCs w:val="18"/>
              </w:rPr>
            </w:pPr>
          </w:p>
        </w:tc>
        <w:tc>
          <w:tcPr>
            <w:tcW w:w="1042"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c>
          <w:tcPr>
            <w:tcW w:w="1134" w:type="dxa"/>
            <w:noWrap w:val="0"/>
            <w:vAlign w:val="center"/>
          </w:tcPr>
          <w:p>
            <w:pPr>
              <w:spacing w:line="240" w:lineRule="exact"/>
              <w:jc w:val="center"/>
              <w:rPr>
                <w:color w:val="000000"/>
                <w:sz w:val="18"/>
                <w:szCs w:val="18"/>
              </w:rPr>
            </w:pPr>
          </w:p>
        </w:tc>
      </w:tr>
    </w:tbl>
    <w:p>
      <w:pPr>
        <w:rPr>
          <w:rFonts w:eastAsia="楷体_GB2312"/>
          <w:color w:val="000000"/>
          <w:szCs w:val="21"/>
        </w:rPr>
      </w:pPr>
      <w:r>
        <w:rPr>
          <w:rFonts w:eastAsia="楷体_GB2312"/>
          <w:color w:val="000000"/>
          <w:szCs w:val="21"/>
        </w:rPr>
        <w:t>【</w:t>
      </w:r>
      <w:r>
        <w:rPr>
          <w:rFonts w:eastAsia="楷体_GB2312"/>
          <w:color w:val="000000"/>
        </w:rPr>
        <w:t>备注：本表可根据评分办法的需要进行调整</w:t>
      </w:r>
      <w:r>
        <w:rPr>
          <w:rFonts w:eastAsia="楷体_GB2312"/>
          <w:color w:val="000000"/>
          <w:szCs w:val="21"/>
        </w:rPr>
        <w:t>】</w:t>
      </w:r>
    </w:p>
    <w:p>
      <w:pPr>
        <w:spacing w:line="440" w:lineRule="exact"/>
        <w:rPr>
          <w:rFonts w:hint="eastAsia"/>
          <w:color w:val="000000"/>
        </w:rPr>
      </w:pPr>
      <w:r>
        <w:rPr>
          <w:rFonts w:hint="eastAsia"/>
          <w:color w:val="000000"/>
        </w:rPr>
        <w:t>评委</w:t>
      </w:r>
      <w:r>
        <w:rPr>
          <w:color w:val="000000"/>
        </w:rPr>
        <w:t>签名：</w:t>
      </w:r>
    </w:p>
    <w:p>
      <w:pPr>
        <w:rPr>
          <w:rFonts w:hint="eastAsia"/>
          <w:color w:val="000000"/>
        </w:rPr>
      </w:pPr>
    </w:p>
    <w:p>
      <w:pPr>
        <w:rPr>
          <w:rFonts w:hint="eastAsia"/>
          <w:color w:val="000000"/>
        </w:rPr>
      </w:pPr>
    </w:p>
    <w:p>
      <w:pPr>
        <w:pStyle w:val="4"/>
        <w:spacing w:line="240" w:lineRule="auto"/>
        <w:rPr>
          <w:rFonts w:eastAsia="黑体"/>
          <w:color w:val="000000"/>
          <w:szCs w:val="21"/>
        </w:rPr>
      </w:pPr>
      <w:r>
        <w:rPr>
          <w:rFonts w:eastAsia="黑体"/>
          <w:color w:val="000000"/>
          <w:sz w:val="28"/>
          <w:szCs w:val="28"/>
        </w:rPr>
        <w:br w:type="page"/>
      </w:r>
      <w:bookmarkStart w:id="750" w:name="_Toc59203058"/>
      <w:r>
        <w:rPr>
          <w:sz w:val="28"/>
          <w:szCs w:val="28"/>
        </w:rPr>
        <w:t>附表A-19：</w:t>
      </w:r>
      <w:r>
        <w:rPr>
          <w:rFonts w:hint="eastAsia"/>
          <w:sz w:val="28"/>
          <w:szCs w:val="28"/>
        </w:rPr>
        <w:t>投标人设计标评分计算表</w:t>
      </w:r>
      <w:bookmarkEnd w:id="750"/>
    </w:p>
    <w:p>
      <w:pPr>
        <w:spacing w:line="440" w:lineRule="exact"/>
        <w:jc w:val="center"/>
        <w:rPr>
          <w:rFonts w:eastAsia="黑体"/>
          <w:color w:val="000000"/>
          <w:sz w:val="28"/>
          <w:szCs w:val="28"/>
        </w:rPr>
      </w:pPr>
      <w:r>
        <w:rPr>
          <w:rFonts w:hint="eastAsia" w:ascii="宋体" w:hAnsi="宋体"/>
          <w:b/>
          <w:color w:val="000000"/>
          <w:sz w:val="28"/>
          <w:szCs w:val="28"/>
        </w:rPr>
        <w:t>投标人名称（或代码）投标人设计标评分计算表（适用初步设计完成后施工图设计完成前以深化初步设计投标</w:t>
      </w:r>
      <w:r>
        <w:rPr>
          <w:rFonts w:hint="eastAsia" w:eastAsia="黑体"/>
          <w:color w:val="000000"/>
          <w:sz w:val="28"/>
          <w:szCs w:val="28"/>
        </w:rPr>
        <w:t>）（适用市政项目）</w:t>
      </w:r>
    </w:p>
    <w:p>
      <w:pPr>
        <w:spacing w:after="72" w:afterLines="30" w:line="440" w:lineRule="exact"/>
        <w:rPr>
          <w:color w:val="000000"/>
        </w:rPr>
      </w:pPr>
      <w:r>
        <w:rPr>
          <w:rFonts w:hint="eastAsia"/>
          <w:color w:val="000000"/>
        </w:rPr>
        <w:t>项目</w:t>
      </w:r>
      <w:r>
        <w:rPr>
          <w:color w:val="000000"/>
        </w:rPr>
        <w:t>名称</w:t>
      </w:r>
      <w:r>
        <w:rPr>
          <w:rFonts w:hint="eastAsia"/>
          <w:color w:val="000000"/>
        </w:rPr>
        <w:t>及项目招标编号</w:t>
      </w:r>
      <w:r>
        <w:rPr>
          <w:color w:val="000000"/>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color w:val="000000"/>
        </w:rPr>
        <w:t xml:space="preserve">        时间：      年      月      日</w:t>
      </w:r>
    </w:p>
    <w:p>
      <w:pPr>
        <w:spacing w:after="72" w:afterLines="30" w:line="440" w:lineRule="exact"/>
        <w:rPr>
          <w:rFonts w:hint="eastAsia"/>
          <w:color w:val="000000"/>
        </w:rPr>
      </w:pP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833"/>
        <w:gridCol w:w="850"/>
        <w:gridCol w:w="851"/>
        <w:gridCol w:w="850"/>
        <w:gridCol w:w="993"/>
        <w:gridCol w:w="850"/>
        <w:gridCol w:w="2015"/>
        <w:gridCol w:w="993"/>
        <w:gridCol w:w="1275"/>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0" w:hRule="atLeast"/>
          <w:jc w:val="center"/>
        </w:trPr>
        <w:tc>
          <w:tcPr>
            <w:tcW w:w="1137" w:type="dxa"/>
            <w:vMerge w:val="restart"/>
            <w:noWrap w:val="0"/>
            <w:vAlign w:val="top"/>
          </w:tcPr>
          <w:p>
            <w:pPr>
              <w:spacing w:line="360" w:lineRule="auto"/>
              <w:jc w:val="center"/>
              <w:rPr>
                <w:color w:val="000000"/>
              </w:rPr>
            </w:pPr>
            <w:r>
              <w:rPr>
                <w:color w:val="000000"/>
              </w:rPr>
              <w:t>序号</w:t>
            </w:r>
          </w:p>
        </w:tc>
        <w:tc>
          <w:tcPr>
            <w:tcW w:w="2833" w:type="dxa"/>
            <w:vMerge w:val="restart"/>
            <w:noWrap w:val="0"/>
            <w:vAlign w:val="center"/>
          </w:tcPr>
          <w:p>
            <w:pPr>
              <w:spacing w:line="360" w:lineRule="auto"/>
              <w:jc w:val="center"/>
              <w:rPr>
                <w:color w:val="000000"/>
                <w:kern w:val="0"/>
                <w:szCs w:val="21"/>
              </w:rPr>
            </w:pPr>
            <w:r>
              <w:rPr>
                <w:color w:val="000000"/>
              </w:rPr>
              <w:t>评审因素</w:t>
            </w:r>
          </w:p>
        </w:tc>
        <w:tc>
          <w:tcPr>
            <w:tcW w:w="4394" w:type="dxa"/>
            <w:gridSpan w:val="5"/>
            <w:noWrap w:val="0"/>
            <w:vAlign w:val="center"/>
          </w:tcPr>
          <w:p>
            <w:pPr>
              <w:spacing w:line="360" w:lineRule="auto"/>
              <w:jc w:val="center"/>
              <w:rPr>
                <w:color w:val="000000"/>
              </w:rPr>
            </w:pPr>
            <w:r>
              <w:rPr>
                <w:rFonts w:hint="eastAsia" w:cs="宋体"/>
                <w:color w:val="000000"/>
                <w:szCs w:val="21"/>
                <w:lang w:bidi="ar"/>
              </w:rPr>
              <w:t>评委姓名</w:t>
            </w:r>
          </w:p>
        </w:tc>
        <w:tc>
          <w:tcPr>
            <w:tcW w:w="2015" w:type="dxa"/>
            <w:vMerge w:val="restart"/>
            <w:noWrap w:val="0"/>
            <w:vAlign w:val="center"/>
          </w:tcPr>
          <w:p>
            <w:pPr>
              <w:spacing w:line="360" w:lineRule="auto"/>
              <w:jc w:val="center"/>
              <w:rPr>
                <w:color w:val="000000"/>
              </w:rPr>
            </w:pPr>
            <w:r>
              <w:rPr>
                <w:rFonts w:hint="eastAsia" w:cs="宋体"/>
                <w:color w:val="000000"/>
                <w:szCs w:val="21"/>
                <w:lang w:bidi="ar"/>
              </w:rPr>
              <w:t>评分基准值</w:t>
            </w:r>
          </w:p>
        </w:tc>
        <w:tc>
          <w:tcPr>
            <w:tcW w:w="993" w:type="dxa"/>
            <w:vMerge w:val="restart"/>
            <w:noWrap w:val="0"/>
            <w:vAlign w:val="center"/>
          </w:tcPr>
          <w:p>
            <w:pPr>
              <w:spacing w:line="360" w:lineRule="auto"/>
              <w:jc w:val="center"/>
              <w:rPr>
                <w:rFonts w:hint="eastAsia" w:cs="宋体"/>
                <w:color w:val="000000"/>
                <w:szCs w:val="21"/>
                <w:lang w:bidi="ar"/>
              </w:rPr>
            </w:pPr>
            <w:r>
              <w:rPr>
                <w:rFonts w:hint="eastAsia" w:cs="宋体"/>
                <w:color w:val="000000"/>
                <w:szCs w:val="21"/>
                <w:lang w:bidi="ar"/>
              </w:rPr>
              <w:t>各评委</w:t>
            </w:r>
            <w:r>
              <w:rPr>
                <w:rStyle w:val="97"/>
                <w:rFonts w:hint="eastAsia"/>
                <w:color w:val="000000"/>
                <w:szCs w:val="21"/>
              </w:rPr>
              <w:t>有效</w:t>
            </w:r>
            <w:r>
              <w:rPr>
                <w:rFonts w:hint="eastAsia" w:cs="宋体"/>
                <w:color w:val="000000"/>
                <w:szCs w:val="21"/>
                <w:lang w:bidi="ar"/>
              </w:rPr>
              <w:t>评分合计</w:t>
            </w:r>
          </w:p>
        </w:tc>
        <w:tc>
          <w:tcPr>
            <w:tcW w:w="1275" w:type="dxa"/>
            <w:vMerge w:val="restart"/>
            <w:noWrap w:val="0"/>
            <w:vAlign w:val="top"/>
          </w:tcPr>
          <w:p>
            <w:pPr>
              <w:spacing w:line="360" w:lineRule="auto"/>
              <w:jc w:val="center"/>
              <w:rPr>
                <w:color w:val="000000"/>
              </w:rPr>
            </w:pPr>
            <w:r>
              <w:rPr>
                <w:rStyle w:val="97"/>
                <w:rFonts w:hint="eastAsia"/>
                <w:color w:val="000000"/>
                <w:szCs w:val="21"/>
              </w:rPr>
              <w:t>有效</w:t>
            </w:r>
            <w:r>
              <w:rPr>
                <w:rFonts w:hint="eastAsia" w:cs="宋体"/>
                <w:color w:val="000000"/>
                <w:szCs w:val="21"/>
                <w:lang w:bidi="ar"/>
              </w:rPr>
              <w:t>评分人数</w:t>
            </w:r>
          </w:p>
        </w:tc>
        <w:tc>
          <w:tcPr>
            <w:tcW w:w="962" w:type="dxa"/>
            <w:vMerge w:val="restart"/>
            <w:noWrap w:val="0"/>
            <w:vAlign w:val="top"/>
          </w:tcPr>
          <w:p>
            <w:pPr>
              <w:spacing w:line="360" w:lineRule="auto"/>
              <w:jc w:val="center"/>
              <w:rPr>
                <w:color w:val="000000"/>
              </w:rPr>
            </w:pPr>
            <w:r>
              <w:rPr>
                <w:rFonts w:hint="eastAsia" w:eastAsia="楷体_GB2312"/>
                <w:color w:val="000000"/>
                <w:szCs w:val="21"/>
              </w:rPr>
              <w:t>该单</w:t>
            </w:r>
            <w:r>
              <w:rPr>
                <w:rFonts w:eastAsia="楷体_GB2312"/>
                <w:color w:val="000000"/>
                <w:szCs w:val="21"/>
              </w:rPr>
              <w:t>项</w:t>
            </w:r>
            <w:r>
              <w:rPr>
                <w:rFonts w:hint="eastAsia" w:eastAsia="楷体_GB2312"/>
                <w:color w:val="000000"/>
                <w:szCs w:val="21"/>
              </w:rPr>
              <w:t>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4" w:hRule="atLeast"/>
          <w:jc w:val="center"/>
        </w:trPr>
        <w:tc>
          <w:tcPr>
            <w:tcW w:w="1137" w:type="dxa"/>
            <w:vMerge w:val="continue"/>
            <w:noWrap w:val="0"/>
            <w:vAlign w:val="top"/>
          </w:tcPr>
          <w:p>
            <w:pPr>
              <w:spacing w:line="360" w:lineRule="auto"/>
              <w:jc w:val="center"/>
              <w:rPr>
                <w:color w:val="000000"/>
                <w:kern w:val="0"/>
                <w:szCs w:val="21"/>
              </w:rPr>
            </w:pPr>
          </w:p>
        </w:tc>
        <w:tc>
          <w:tcPr>
            <w:tcW w:w="2833" w:type="dxa"/>
            <w:vMerge w:val="continue"/>
            <w:noWrap w:val="0"/>
            <w:vAlign w:val="center"/>
          </w:tcPr>
          <w:p>
            <w:pPr>
              <w:spacing w:line="360" w:lineRule="auto"/>
              <w:jc w:val="center"/>
              <w:rPr>
                <w:color w:val="000000"/>
                <w:kern w:val="0"/>
                <w:szCs w:val="21"/>
              </w:rPr>
            </w:pPr>
          </w:p>
        </w:tc>
        <w:tc>
          <w:tcPr>
            <w:tcW w:w="850" w:type="dxa"/>
            <w:noWrap w:val="0"/>
            <w:vAlign w:val="center"/>
          </w:tcPr>
          <w:p>
            <w:pPr>
              <w:spacing w:line="360" w:lineRule="auto"/>
              <w:jc w:val="center"/>
              <w:rPr>
                <w:color w:val="000000"/>
              </w:rPr>
            </w:pPr>
            <w:r>
              <w:rPr>
                <w:rFonts w:hint="eastAsia"/>
                <w:color w:val="000000"/>
              </w:rPr>
              <w:t>1</w:t>
            </w:r>
          </w:p>
        </w:tc>
        <w:tc>
          <w:tcPr>
            <w:tcW w:w="851" w:type="dxa"/>
            <w:noWrap w:val="0"/>
            <w:vAlign w:val="center"/>
          </w:tcPr>
          <w:p>
            <w:pPr>
              <w:spacing w:line="360" w:lineRule="auto"/>
              <w:jc w:val="center"/>
              <w:rPr>
                <w:color w:val="000000"/>
              </w:rPr>
            </w:pPr>
            <w:r>
              <w:rPr>
                <w:rFonts w:hint="eastAsia"/>
                <w:color w:val="000000"/>
              </w:rPr>
              <w:t>2</w:t>
            </w:r>
          </w:p>
        </w:tc>
        <w:tc>
          <w:tcPr>
            <w:tcW w:w="850" w:type="dxa"/>
            <w:noWrap w:val="0"/>
            <w:vAlign w:val="center"/>
          </w:tcPr>
          <w:p>
            <w:pPr>
              <w:spacing w:line="360" w:lineRule="auto"/>
              <w:jc w:val="center"/>
              <w:rPr>
                <w:color w:val="000000"/>
              </w:rPr>
            </w:pPr>
            <w:r>
              <w:rPr>
                <w:rFonts w:hint="eastAsia"/>
                <w:color w:val="000000"/>
              </w:rPr>
              <w:t>3</w:t>
            </w:r>
          </w:p>
        </w:tc>
        <w:tc>
          <w:tcPr>
            <w:tcW w:w="993" w:type="dxa"/>
            <w:noWrap w:val="0"/>
            <w:vAlign w:val="center"/>
          </w:tcPr>
          <w:p>
            <w:pPr>
              <w:spacing w:line="360" w:lineRule="auto"/>
              <w:jc w:val="center"/>
              <w:rPr>
                <w:color w:val="000000"/>
              </w:rPr>
            </w:pPr>
            <w:r>
              <w:rPr>
                <w:rFonts w:hint="eastAsia"/>
                <w:color w:val="000000"/>
              </w:rPr>
              <w:t>4</w:t>
            </w:r>
          </w:p>
        </w:tc>
        <w:tc>
          <w:tcPr>
            <w:tcW w:w="850" w:type="dxa"/>
            <w:noWrap w:val="0"/>
            <w:vAlign w:val="center"/>
          </w:tcPr>
          <w:p>
            <w:pPr>
              <w:spacing w:line="360" w:lineRule="auto"/>
              <w:jc w:val="center"/>
              <w:rPr>
                <w:color w:val="000000"/>
              </w:rPr>
            </w:pPr>
            <w:r>
              <w:rPr>
                <w:rFonts w:hint="eastAsia"/>
                <w:color w:val="000000"/>
              </w:rPr>
              <w:t>5</w:t>
            </w:r>
          </w:p>
        </w:tc>
        <w:tc>
          <w:tcPr>
            <w:tcW w:w="2015" w:type="dxa"/>
            <w:vMerge w:val="continue"/>
            <w:noWrap w:val="0"/>
            <w:vAlign w:val="center"/>
          </w:tcPr>
          <w:p>
            <w:pPr>
              <w:spacing w:line="360" w:lineRule="auto"/>
              <w:jc w:val="center"/>
              <w:rPr>
                <w:rFonts w:hint="eastAsia" w:cs="宋体"/>
                <w:color w:val="000000"/>
                <w:szCs w:val="21"/>
                <w:lang w:bidi="ar"/>
              </w:rPr>
            </w:pPr>
          </w:p>
        </w:tc>
        <w:tc>
          <w:tcPr>
            <w:tcW w:w="993" w:type="dxa"/>
            <w:vMerge w:val="continue"/>
            <w:noWrap w:val="0"/>
            <w:vAlign w:val="center"/>
          </w:tcPr>
          <w:p>
            <w:pPr>
              <w:spacing w:line="360" w:lineRule="auto"/>
              <w:jc w:val="center"/>
              <w:rPr>
                <w:rFonts w:hint="eastAsia"/>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7" w:hRule="atLeast"/>
          <w:jc w:val="center"/>
        </w:trPr>
        <w:tc>
          <w:tcPr>
            <w:tcW w:w="1137" w:type="dxa"/>
            <w:vMerge w:val="restart"/>
            <w:noWrap w:val="0"/>
            <w:vAlign w:val="top"/>
          </w:tcPr>
          <w:p>
            <w:pPr>
              <w:spacing w:line="360" w:lineRule="auto"/>
              <w:jc w:val="center"/>
              <w:rPr>
                <w:rFonts w:hint="eastAsia"/>
                <w:color w:val="000000"/>
                <w:kern w:val="0"/>
                <w:szCs w:val="21"/>
              </w:rPr>
            </w:pPr>
            <w:r>
              <w:rPr>
                <w:rFonts w:hint="eastAsia"/>
                <w:color w:val="000000"/>
                <w:kern w:val="0"/>
                <w:szCs w:val="21"/>
              </w:rPr>
              <w:t>1</w:t>
            </w:r>
          </w:p>
        </w:tc>
        <w:tc>
          <w:tcPr>
            <w:tcW w:w="2833" w:type="dxa"/>
            <w:vMerge w:val="restart"/>
            <w:noWrap w:val="0"/>
            <w:vAlign w:val="center"/>
          </w:tcPr>
          <w:p>
            <w:pPr>
              <w:spacing w:line="360" w:lineRule="auto"/>
              <w:jc w:val="left"/>
              <w:rPr>
                <w:color w:val="000000"/>
              </w:rPr>
            </w:pPr>
            <w:r>
              <w:rPr>
                <w:rFonts w:hint="eastAsia" w:ascii="宋体" w:hAnsi="宋体"/>
                <w:bCs/>
                <w:color w:val="000000"/>
                <w:szCs w:val="21"/>
              </w:rPr>
              <w:t>设计说明结合招标文件要求，体现必要设计图纸内容，内容至少包括：相关的设计依据及规范、经济技术指标等。</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993"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2015"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6" w:hRule="atLeast"/>
          <w:jc w:val="center"/>
        </w:trPr>
        <w:tc>
          <w:tcPr>
            <w:tcW w:w="1137" w:type="dxa"/>
            <w:vMerge w:val="continue"/>
            <w:noWrap w:val="0"/>
            <w:vAlign w:val="top"/>
          </w:tcPr>
          <w:p>
            <w:pPr>
              <w:spacing w:line="360" w:lineRule="auto"/>
              <w:jc w:val="center"/>
              <w:rPr>
                <w:rFonts w:hint="eastAsia"/>
                <w:color w:val="000000"/>
                <w:kern w:val="0"/>
                <w:szCs w:val="21"/>
              </w:rPr>
            </w:pPr>
          </w:p>
        </w:tc>
        <w:tc>
          <w:tcPr>
            <w:tcW w:w="2833" w:type="dxa"/>
            <w:vMerge w:val="continue"/>
            <w:noWrap w:val="0"/>
            <w:vAlign w:val="center"/>
          </w:tcPr>
          <w:p>
            <w:pPr>
              <w:spacing w:line="360" w:lineRule="auto"/>
              <w:jc w:val="left"/>
              <w:rPr>
                <w:rFonts w:hint="eastAsia"/>
                <w:color w:val="000000"/>
                <w:kern w:val="0"/>
                <w:szCs w:val="21"/>
              </w:rPr>
            </w:pP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993"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2015"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37" w:type="dxa"/>
            <w:vMerge w:val="restart"/>
            <w:noWrap w:val="0"/>
            <w:vAlign w:val="top"/>
          </w:tcPr>
          <w:p>
            <w:pPr>
              <w:spacing w:line="360" w:lineRule="auto"/>
              <w:jc w:val="center"/>
              <w:rPr>
                <w:rFonts w:hint="eastAsia"/>
                <w:color w:val="000000"/>
                <w:kern w:val="0"/>
                <w:szCs w:val="21"/>
              </w:rPr>
            </w:pPr>
            <w:r>
              <w:rPr>
                <w:rFonts w:hint="eastAsia"/>
                <w:color w:val="000000"/>
                <w:kern w:val="0"/>
                <w:szCs w:val="21"/>
              </w:rPr>
              <w:t>2</w:t>
            </w:r>
          </w:p>
        </w:tc>
        <w:tc>
          <w:tcPr>
            <w:tcW w:w="2833" w:type="dxa"/>
            <w:vMerge w:val="restart"/>
            <w:noWrap w:val="0"/>
            <w:vAlign w:val="center"/>
          </w:tcPr>
          <w:p>
            <w:pPr>
              <w:spacing w:line="360" w:lineRule="auto"/>
              <w:jc w:val="left"/>
              <w:rPr>
                <w:color w:val="000000"/>
              </w:rPr>
            </w:pPr>
            <w:r>
              <w:rPr>
                <w:rFonts w:hint="eastAsia" w:ascii="宋体" w:hAnsi="宋体"/>
                <w:bCs/>
                <w:color w:val="000000"/>
                <w:szCs w:val="21"/>
              </w:rPr>
              <w:t>根据城市规划、建设标准、设计规范从设计依据、设计说明、工程方案等方面综合描述说明，总体设计思路非常清晰、非常完整，提供方案优缺点对比分析；设计图纸完整性，专业技术指标是否合理，整体内容是否符合相关要求。</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851"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993" w:type="dxa"/>
            <w:noWrap w:val="0"/>
            <w:vAlign w:val="center"/>
          </w:tcPr>
          <w:p>
            <w:pPr>
              <w:spacing w:line="360" w:lineRule="auto"/>
              <w:jc w:val="center"/>
              <w:rPr>
                <w:rFonts w:hint="eastAsia"/>
                <w:color w:val="000000"/>
              </w:rPr>
            </w:pPr>
            <w:r>
              <w:rPr>
                <w:rFonts w:hint="eastAsia"/>
                <w:color w:val="000000"/>
              </w:rPr>
              <w:t>分值</w:t>
            </w:r>
          </w:p>
        </w:tc>
        <w:tc>
          <w:tcPr>
            <w:tcW w:w="850" w:type="dxa"/>
            <w:noWrap w:val="0"/>
            <w:vAlign w:val="center"/>
          </w:tcPr>
          <w:p>
            <w:pPr>
              <w:spacing w:line="360" w:lineRule="auto"/>
              <w:jc w:val="center"/>
              <w:rPr>
                <w:rFonts w:hint="eastAsia"/>
                <w:color w:val="000000"/>
              </w:rPr>
            </w:pPr>
            <w:r>
              <w:rPr>
                <w:rFonts w:hint="eastAsia"/>
                <w:color w:val="000000"/>
              </w:rPr>
              <w:t>分值</w:t>
            </w:r>
          </w:p>
        </w:tc>
        <w:tc>
          <w:tcPr>
            <w:tcW w:w="2015" w:type="dxa"/>
            <w:vMerge w:val="restart"/>
            <w:noWrap w:val="0"/>
            <w:vAlign w:val="center"/>
          </w:tcPr>
          <w:p>
            <w:pPr>
              <w:spacing w:line="360" w:lineRule="auto"/>
              <w:jc w:val="center"/>
              <w:rPr>
                <w:color w:val="000000"/>
              </w:rPr>
            </w:pPr>
          </w:p>
        </w:tc>
        <w:tc>
          <w:tcPr>
            <w:tcW w:w="993" w:type="dxa"/>
            <w:vMerge w:val="restart"/>
            <w:noWrap w:val="0"/>
            <w:vAlign w:val="center"/>
          </w:tcPr>
          <w:p>
            <w:pPr>
              <w:spacing w:line="360" w:lineRule="auto"/>
              <w:jc w:val="center"/>
              <w:rPr>
                <w:color w:val="000000"/>
              </w:rPr>
            </w:pPr>
          </w:p>
        </w:tc>
        <w:tc>
          <w:tcPr>
            <w:tcW w:w="1275" w:type="dxa"/>
            <w:vMerge w:val="restart"/>
            <w:noWrap w:val="0"/>
            <w:vAlign w:val="top"/>
          </w:tcPr>
          <w:p>
            <w:pPr>
              <w:spacing w:line="360" w:lineRule="auto"/>
              <w:jc w:val="center"/>
              <w:rPr>
                <w:color w:val="000000"/>
              </w:rPr>
            </w:pPr>
          </w:p>
        </w:tc>
        <w:tc>
          <w:tcPr>
            <w:tcW w:w="962" w:type="dxa"/>
            <w:vMerge w:val="restart"/>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jc w:val="center"/>
        </w:trPr>
        <w:tc>
          <w:tcPr>
            <w:tcW w:w="1137" w:type="dxa"/>
            <w:vMerge w:val="continue"/>
            <w:noWrap w:val="0"/>
            <w:vAlign w:val="top"/>
          </w:tcPr>
          <w:p>
            <w:pPr>
              <w:spacing w:line="360" w:lineRule="auto"/>
              <w:jc w:val="center"/>
              <w:rPr>
                <w:rFonts w:hint="eastAsia"/>
                <w:color w:val="000000"/>
                <w:kern w:val="0"/>
                <w:szCs w:val="21"/>
              </w:rPr>
            </w:pPr>
          </w:p>
        </w:tc>
        <w:tc>
          <w:tcPr>
            <w:tcW w:w="2833" w:type="dxa"/>
            <w:vMerge w:val="continue"/>
            <w:noWrap w:val="0"/>
            <w:vAlign w:val="center"/>
          </w:tcPr>
          <w:p>
            <w:pPr>
              <w:spacing w:line="360" w:lineRule="auto"/>
              <w:jc w:val="left"/>
              <w:rPr>
                <w:rFonts w:hint="eastAsia"/>
                <w:color w:val="000000"/>
                <w:kern w:val="0"/>
                <w:szCs w:val="21"/>
              </w:rPr>
            </w:pP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851"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993" w:type="dxa"/>
            <w:noWrap w:val="0"/>
            <w:vAlign w:val="center"/>
          </w:tcPr>
          <w:p>
            <w:pPr>
              <w:spacing w:line="360" w:lineRule="auto"/>
              <w:jc w:val="center"/>
              <w:rPr>
                <w:rFonts w:hint="eastAsia"/>
                <w:color w:val="000000"/>
              </w:rPr>
            </w:pPr>
            <w:r>
              <w:rPr>
                <w:rFonts w:hint="eastAsia"/>
                <w:color w:val="000000"/>
              </w:rPr>
              <w:t>偏差率%</w:t>
            </w:r>
          </w:p>
        </w:tc>
        <w:tc>
          <w:tcPr>
            <w:tcW w:w="850" w:type="dxa"/>
            <w:noWrap w:val="0"/>
            <w:vAlign w:val="center"/>
          </w:tcPr>
          <w:p>
            <w:pPr>
              <w:spacing w:line="360" w:lineRule="auto"/>
              <w:jc w:val="center"/>
              <w:rPr>
                <w:rFonts w:hint="eastAsia"/>
                <w:color w:val="000000"/>
              </w:rPr>
            </w:pPr>
            <w:r>
              <w:rPr>
                <w:rFonts w:hint="eastAsia"/>
                <w:color w:val="000000"/>
              </w:rPr>
              <w:t>偏差率%</w:t>
            </w:r>
          </w:p>
        </w:tc>
        <w:tc>
          <w:tcPr>
            <w:tcW w:w="2015" w:type="dxa"/>
            <w:vMerge w:val="continue"/>
            <w:noWrap w:val="0"/>
            <w:vAlign w:val="center"/>
          </w:tcPr>
          <w:p>
            <w:pPr>
              <w:spacing w:line="360" w:lineRule="auto"/>
              <w:jc w:val="center"/>
              <w:rPr>
                <w:color w:val="000000"/>
              </w:rPr>
            </w:pPr>
          </w:p>
        </w:tc>
        <w:tc>
          <w:tcPr>
            <w:tcW w:w="993" w:type="dxa"/>
            <w:vMerge w:val="continue"/>
            <w:noWrap w:val="0"/>
            <w:vAlign w:val="center"/>
          </w:tcPr>
          <w:p>
            <w:pPr>
              <w:spacing w:line="360" w:lineRule="auto"/>
              <w:jc w:val="center"/>
              <w:rPr>
                <w:color w:val="000000"/>
              </w:rPr>
            </w:pPr>
          </w:p>
        </w:tc>
        <w:tc>
          <w:tcPr>
            <w:tcW w:w="1275" w:type="dxa"/>
            <w:vMerge w:val="continue"/>
            <w:noWrap w:val="0"/>
            <w:vAlign w:val="top"/>
          </w:tcPr>
          <w:p>
            <w:pPr>
              <w:spacing w:line="360" w:lineRule="auto"/>
              <w:jc w:val="center"/>
              <w:rPr>
                <w:color w:val="000000"/>
              </w:rPr>
            </w:pPr>
          </w:p>
        </w:tc>
        <w:tc>
          <w:tcPr>
            <w:tcW w:w="962" w:type="dxa"/>
            <w:vMerge w:val="continue"/>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3" w:hRule="atLeast"/>
          <w:jc w:val="center"/>
        </w:trPr>
        <w:tc>
          <w:tcPr>
            <w:tcW w:w="1137" w:type="dxa"/>
            <w:noWrap w:val="0"/>
            <w:vAlign w:val="top"/>
          </w:tcPr>
          <w:p>
            <w:pPr>
              <w:spacing w:line="360" w:lineRule="auto"/>
              <w:jc w:val="left"/>
              <w:rPr>
                <w:color w:val="000000"/>
                <w:kern w:val="0"/>
                <w:szCs w:val="21"/>
              </w:rPr>
            </w:pPr>
          </w:p>
        </w:tc>
        <w:tc>
          <w:tcPr>
            <w:tcW w:w="2833" w:type="dxa"/>
            <w:noWrap w:val="0"/>
            <w:vAlign w:val="center"/>
          </w:tcPr>
          <w:p>
            <w:pPr>
              <w:spacing w:line="360" w:lineRule="auto"/>
              <w:jc w:val="left"/>
              <w:rPr>
                <w:rFonts w:hint="eastAsia"/>
                <w:color w:val="000000"/>
                <w:kern w:val="0"/>
                <w:szCs w:val="21"/>
              </w:rPr>
            </w:pPr>
            <w:r>
              <w:rPr>
                <w:color w:val="000000"/>
                <w:kern w:val="0"/>
                <w:szCs w:val="21"/>
              </w:rPr>
              <w:t>.........</w:t>
            </w:r>
          </w:p>
        </w:tc>
        <w:tc>
          <w:tcPr>
            <w:tcW w:w="850" w:type="dxa"/>
            <w:noWrap w:val="0"/>
            <w:vAlign w:val="center"/>
          </w:tcPr>
          <w:p>
            <w:pPr>
              <w:spacing w:line="360" w:lineRule="auto"/>
              <w:jc w:val="center"/>
              <w:rPr>
                <w:color w:val="000000"/>
              </w:rPr>
            </w:pPr>
          </w:p>
        </w:tc>
        <w:tc>
          <w:tcPr>
            <w:tcW w:w="851" w:type="dxa"/>
            <w:noWrap w:val="0"/>
            <w:vAlign w:val="center"/>
          </w:tcPr>
          <w:p>
            <w:pPr>
              <w:spacing w:line="360" w:lineRule="auto"/>
              <w:jc w:val="center"/>
              <w:rPr>
                <w:color w:val="000000"/>
              </w:rPr>
            </w:pPr>
          </w:p>
        </w:tc>
        <w:tc>
          <w:tcPr>
            <w:tcW w:w="850"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850" w:type="dxa"/>
            <w:noWrap w:val="0"/>
            <w:vAlign w:val="center"/>
          </w:tcPr>
          <w:p>
            <w:pPr>
              <w:spacing w:line="360" w:lineRule="auto"/>
              <w:jc w:val="center"/>
              <w:rPr>
                <w:color w:val="000000"/>
              </w:rPr>
            </w:pPr>
          </w:p>
        </w:tc>
        <w:tc>
          <w:tcPr>
            <w:tcW w:w="2015" w:type="dxa"/>
            <w:noWrap w:val="0"/>
            <w:vAlign w:val="center"/>
          </w:tcPr>
          <w:p>
            <w:pPr>
              <w:spacing w:line="360" w:lineRule="auto"/>
              <w:jc w:val="center"/>
              <w:rPr>
                <w:color w:val="000000"/>
              </w:rPr>
            </w:pPr>
          </w:p>
        </w:tc>
        <w:tc>
          <w:tcPr>
            <w:tcW w:w="993" w:type="dxa"/>
            <w:noWrap w:val="0"/>
            <w:vAlign w:val="center"/>
          </w:tcPr>
          <w:p>
            <w:pPr>
              <w:spacing w:line="360" w:lineRule="auto"/>
              <w:jc w:val="center"/>
              <w:rPr>
                <w:color w:val="000000"/>
              </w:rPr>
            </w:pPr>
          </w:p>
        </w:tc>
        <w:tc>
          <w:tcPr>
            <w:tcW w:w="1275" w:type="dxa"/>
            <w:noWrap w:val="0"/>
            <w:vAlign w:val="top"/>
          </w:tcPr>
          <w:p>
            <w:pPr>
              <w:spacing w:line="360" w:lineRule="auto"/>
              <w:jc w:val="center"/>
              <w:rPr>
                <w:color w:val="000000"/>
              </w:rPr>
            </w:pPr>
          </w:p>
        </w:tc>
        <w:tc>
          <w:tcPr>
            <w:tcW w:w="962" w:type="dxa"/>
            <w:noWrap w:val="0"/>
            <w:vAlign w:val="top"/>
          </w:tcPr>
          <w:p>
            <w:pPr>
              <w:spacing w:line="360" w:lineRule="auto"/>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3" w:hRule="atLeast"/>
          <w:jc w:val="center"/>
        </w:trPr>
        <w:tc>
          <w:tcPr>
            <w:tcW w:w="3970" w:type="dxa"/>
            <w:gridSpan w:val="2"/>
            <w:noWrap w:val="0"/>
            <w:vAlign w:val="top"/>
          </w:tcPr>
          <w:p>
            <w:pPr>
              <w:spacing w:line="360" w:lineRule="auto"/>
              <w:jc w:val="left"/>
              <w:rPr>
                <w:color w:val="000000"/>
                <w:kern w:val="0"/>
                <w:szCs w:val="21"/>
              </w:rPr>
            </w:pPr>
            <w:r>
              <w:rPr>
                <w:rFonts w:hint="eastAsia"/>
                <w:color w:val="000000"/>
                <w:kern w:val="0"/>
                <w:szCs w:val="21"/>
              </w:rPr>
              <w:t>设计标总评分结果</w:t>
            </w:r>
          </w:p>
        </w:tc>
        <w:tc>
          <w:tcPr>
            <w:tcW w:w="2551" w:type="dxa"/>
            <w:gridSpan w:val="3"/>
            <w:noWrap w:val="0"/>
            <w:vAlign w:val="center"/>
          </w:tcPr>
          <w:p>
            <w:pPr>
              <w:spacing w:line="360" w:lineRule="auto"/>
              <w:jc w:val="center"/>
              <w:rPr>
                <w:color w:val="000000"/>
              </w:rPr>
            </w:pPr>
          </w:p>
        </w:tc>
        <w:tc>
          <w:tcPr>
            <w:tcW w:w="1843" w:type="dxa"/>
            <w:gridSpan w:val="2"/>
            <w:noWrap w:val="0"/>
            <w:vAlign w:val="center"/>
          </w:tcPr>
          <w:p>
            <w:pPr>
              <w:spacing w:line="360" w:lineRule="auto"/>
              <w:jc w:val="center"/>
              <w:rPr>
                <w:color w:val="000000"/>
              </w:rPr>
            </w:pPr>
            <w:r>
              <w:rPr>
                <w:rFonts w:hint="eastAsia"/>
                <w:color w:val="000000"/>
              </w:rPr>
              <w:t>是否通过评审</w:t>
            </w:r>
          </w:p>
        </w:tc>
        <w:tc>
          <w:tcPr>
            <w:tcW w:w="5245" w:type="dxa"/>
            <w:gridSpan w:val="4"/>
            <w:noWrap w:val="0"/>
            <w:vAlign w:val="center"/>
          </w:tcPr>
          <w:p>
            <w:pPr>
              <w:spacing w:line="360" w:lineRule="auto"/>
              <w:jc w:val="center"/>
              <w:rPr>
                <w:color w:val="000000"/>
              </w:rPr>
            </w:pPr>
          </w:p>
        </w:tc>
      </w:tr>
    </w:tbl>
    <w:p>
      <w:pPr>
        <w:rPr>
          <w:rFonts w:hint="eastAsia" w:eastAsia="楷体_GB2312"/>
          <w:color w:val="000000"/>
          <w:szCs w:val="21"/>
        </w:rPr>
      </w:pPr>
    </w:p>
    <w:p>
      <w:pPr>
        <w:spacing w:after="240" w:afterLines="100"/>
        <w:rPr>
          <w:color w:val="000000"/>
        </w:rPr>
      </w:pPr>
      <w:r>
        <w:rPr>
          <w:rFonts w:hint="eastAsia" w:eastAsia="楷体_GB2312"/>
          <w:color w:val="000000"/>
          <w:szCs w:val="21"/>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p>
    <w:p>
      <w:pPr>
        <w:spacing w:line="440" w:lineRule="exact"/>
        <w:rPr>
          <w:color w:val="000000"/>
        </w:rPr>
      </w:pPr>
      <w:r>
        <w:rPr>
          <w:rFonts w:hint="eastAsia"/>
          <w:color w:val="000000"/>
        </w:rPr>
        <w:t>设计标评审</w:t>
      </w:r>
      <w:r>
        <w:rPr>
          <w:color w:val="000000"/>
        </w:rPr>
        <w:t>全体</w:t>
      </w:r>
      <w:r>
        <w:rPr>
          <w:rFonts w:hint="eastAsia"/>
          <w:color w:val="000000"/>
        </w:rPr>
        <w:t>评委</w:t>
      </w:r>
      <w:r>
        <w:rPr>
          <w:color w:val="000000"/>
        </w:rPr>
        <w:t>签名：                                                         日期：        年     月     日</w:t>
      </w:r>
    </w:p>
    <w:p>
      <w:pPr>
        <w:spacing w:line="440" w:lineRule="exact"/>
        <w:rPr>
          <w:rFonts w:hint="eastAsia"/>
          <w:color w:val="000000"/>
        </w:rPr>
      </w:pPr>
    </w:p>
    <w:p>
      <w:pPr>
        <w:rPr>
          <w:rFonts w:eastAsia="黑体"/>
          <w:color w:val="000000"/>
          <w:szCs w:val="21"/>
        </w:rPr>
      </w:pPr>
    </w:p>
    <w:p>
      <w:pPr>
        <w:pStyle w:val="4"/>
        <w:spacing w:line="240" w:lineRule="auto"/>
        <w:rPr>
          <w:sz w:val="28"/>
          <w:szCs w:val="28"/>
        </w:rPr>
      </w:pPr>
      <w:bookmarkStart w:id="751" w:name="_Toc59203059"/>
      <w:r>
        <w:rPr>
          <w:sz w:val="28"/>
          <w:szCs w:val="28"/>
        </w:rPr>
        <w:t>附表A-20：评标结果汇总表</w:t>
      </w:r>
      <w:bookmarkEnd w:id="751"/>
    </w:p>
    <w:p>
      <w:pPr>
        <w:jc w:val="center"/>
        <w:rPr>
          <w:b/>
          <w:color w:val="000000"/>
          <w:sz w:val="28"/>
          <w:szCs w:val="28"/>
        </w:rPr>
      </w:pPr>
      <w:r>
        <w:rPr>
          <w:b/>
          <w:color w:val="000000"/>
          <w:sz w:val="28"/>
          <w:szCs w:val="28"/>
        </w:rPr>
        <w:t>评标结果汇总表</w:t>
      </w:r>
    </w:p>
    <w:p>
      <w:pPr>
        <w:spacing w:after="72" w:afterLines="30" w:line="440" w:lineRule="exact"/>
        <w:rPr>
          <w:color w:val="000000"/>
        </w:rPr>
      </w:pPr>
      <w:r>
        <w:rPr>
          <w:color w:val="000000"/>
        </w:rPr>
        <w:t>工程名称</w:t>
      </w:r>
      <w:r>
        <w:rPr>
          <w:rFonts w:hint="eastAsia"/>
          <w:color w:val="000000"/>
        </w:rPr>
        <w:t>及项目招标编号</w:t>
      </w:r>
      <w:r>
        <w:rPr>
          <w:color w:val="000000"/>
        </w:rPr>
        <w:t>：：</w:t>
      </w:r>
      <w:r>
        <w:rPr>
          <w:color w:val="000000"/>
          <w:u w:val="single"/>
        </w:rPr>
        <w:t xml:space="preserve">       </w:t>
      </w:r>
      <w:r>
        <w:rPr>
          <w:rFonts w:hint="eastAsia"/>
          <w:color w:val="000000"/>
          <w:u w:val="single"/>
        </w:rPr>
        <w:t xml:space="preserve">                              </w:t>
      </w:r>
      <w:r>
        <w:rPr>
          <w:color w:val="000000"/>
          <w:u w:val="single"/>
        </w:rPr>
        <w:t xml:space="preserve">      </w:t>
      </w:r>
      <w:r>
        <w:rPr>
          <w:rFonts w:hint="eastAsia"/>
          <w:color w:val="000000"/>
        </w:rPr>
        <w:t>（</w:t>
      </w:r>
      <w:r>
        <w:rPr>
          <w:color w:val="000000"/>
        </w:rPr>
        <w:t>项目名称</w:t>
      </w:r>
      <w:r>
        <w:rPr>
          <w:rFonts w:hint="eastAsia"/>
          <w:color w:val="000000"/>
        </w:rPr>
        <w:t>）</w:t>
      </w:r>
      <w:r>
        <w:rPr>
          <w:color w:val="000000"/>
        </w:rPr>
        <w:t xml:space="preserve">                    时间：      年      月      日</w:t>
      </w:r>
      <w:r>
        <w:rPr>
          <w:color w:val="000000"/>
          <w:sz w:val="10"/>
          <w:szCs w:val="10"/>
        </w:rPr>
        <w:t xml:space="preserve"> </w:t>
      </w:r>
    </w:p>
    <w:tbl>
      <w:tblPr>
        <w:tblStyle w:val="8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284"/>
        <w:gridCol w:w="878"/>
        <w:gridCol w:w="1337"/>
        <w:gridCol w:w="1460"/>
        <w:gridCol w:w="7"/>
        <w:gridCol w:w="1467"/>
        <w:gridCol w:w="1727"/>
        <w:gridCol w:w="1337"/>
        <w:gridCol w:w="1077"/>
        <w:gridCol w:w="947"/>
        <w:gridCol w:w="947"/>
        <w:gridCol w:w="846"/>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79" w:hRule="atLeast"/>
        </w:trPr>
        <w:tc>
          <w:tcPr>
            <w:tcW w:w="556" w:type="dxa"/>
            <w:vMerge w:val="restart"/>
            <w:noWrap w:val="0"/>
            <w:vAlign w:val="center"/>
          </w:tcPr>
          <w:p>
            <w:pPr>
              <w:jc w:val="center"/>
              <w:rPr>
                <w:color w:val="000000"/>
                <w:szCs w:val="21"/>
              </w:rPr>
            </w:pPr>
            <w:r>
              <w:rPr>
                <w:color w:val="000000"/>
                <w:szCs w:val="21"/>
              </w:rPr>
              <w:t>序号</w:t>
            </w:r>
          </w:p>
        </w:tc>
        <w:tc>
          <w:tcPr>
            <w:tcW w:w="1284" w:type="dxa"/>
            <w:vMerge w:val="restart"/>
            <w:noWrap w:val="0"/>
            <w:vAlign w:val="center"/>
          </w:tcPr>
          <w:p>
            <w:pPr>
              <w:jc w:val="center"/>
              <w:rPr>
                <w:color w:val="000000"/>
                <w:szCs w:val="21"/>
              </w:rPr>
            </w:pPr>
            <w:r>
              <w:rPr>
                <w:color w:val="000000"/>
                <w:szCs w:val="21"/>
              </w:rPr>
              <w:t>投标人名称</w:t>
            </w:r>
          </w:p>
        </w:tc>
        <w:tc>
          <w:tcPr>
            <w:tcW w:w="878" w:type="dxa"/>
            <w:vMerge w:val="restart"/>
            <w:noWrap w:val="0"/>
            <w:vAlign w:val="center"/>
          </w:tcPr>
          <w:p>
            <w:pPr>
              <w:jc w:val="center"/>
              <w:rPr>
                <w:color w:val="000000"/>
                <w:szCs w:val="21"/>
              </w:rPr>
            </w:pPr>
            <w:r>
              <w:rPr>
                <w:color w:val="000000"/>
                <w:szCs w:val="21"/>
              </w:rPr>
              <w:t>投标</w:t>
            </w:r>
          </w:p>
          <w:p>
            <w:pPr>
              <w:jc w:val="center"/>
              <w:rPr>
                <w:color w:val="000000"/>
                <w:szCs w:val="21"/>
              </w:rPr>
            </w:pPr>
            <w:r>
              <w:rPr>
                <w:color w:val="000000"/>
                <w:szCs w:val="21"/>
              </w:rPr>
              <w:t>报价</w:t>
            </w:r>
          </w:p>
        </w:tc>
        <w:tc>
          <w:tcPr>
            <w:tcW w:w="4271" w:type="dxa"/>
            <w:gridSpan w:val="4"/>
            <w:noWrap w:val="0"/>
            <w:vAlign w:val="center"/>
          </w:tcPr>
          <w:p>
            <w:pPr>
              <w:jc w:val="center"/>
              <w:rPr>
                <w:color w:val="000000"/>
                <w:szCs w:val="21"/>
              </w:rPr>
            </w:pPr>
            <w:r>
              <w:rPr>
                <w:color w:val="000000"/>
                <w:szCs w:val="21"/>
              </w:rPr>
              <w:t>初步评审</w:t>
            </w:r>
          </w:p>
        </w:tc>
        <w:tc>
          <w:tcPr>
            <w:tcW w:w="6035" w:type="dxa"/>
            <w:gridSpan w:val="5"/>
            <w:noWrap w:val="0"/>
            <w:vAlign w:val="top"/>
          </w:tcPr>
          <w:p>
            <w:pPr>
              <w:jc w:val="center"/>
              <w:rPr>
                <w:color w:val="000000"/>
                <w:szCs w:val="21"/>
              </w:rPr>
            </w:pPr>
            <w:r>
              <w:rPr>
                <w:color w:val="000000"/>
                <w:szCs w:val="21"/>
              </w:rPr>
              <w:t>详细评审</w:t>
            </w:r>
          </w:p>
        </w:tc>
        <w:tc>
          <w:tcPr>
            <w:tcW w:w="846" w:type="dxa"/>
            <w:vMerge w:val="restart"/>
            <w:noWrap w:val="0"/>
            <w:vAlign w:val="center"/>
          </w:tcPr>
          <w:p>
            <w:pPr>
              <w:jc w:val="center"/>
              <w:rPr>
                <w:rFonts w:hint="eastAsia"/>
                <w:color w:val="000000"/>
                <w:szCs w:val="21"/>
              </w:rPr>
            </w:pPr>
            <w:r>
              <w:rPr>
                <w:rFonts w:hint="eastAsia"/>
                <w:color w:val="000000"/>
                <w:szCs w:val="21"/>
              </w:rPr>
              <w:t>总得分</w:t>
            </w:r>
          </w:p>
        </w:tc>
        <w:tc>
          <w:tcPr>
            <w:tcW w:w="710" w:type="dxa"/>
            <w:vMerge w:val="restart"/>
            <w:noWrap w:val="0"/>
            <w:vAlign w:val="center"/>
          </w:tcPr>
          <w:p>
            <w:pPr>
              <w:jc w:val="center"/>
              <w:rPr>
                <w:rFonts w:hint="eastAsia"/>
                <w:color w:val="000000"/>
                <w:szCs w:val="21"/>
              </w:rPr>
            </w:pPr>
            <w:r>
              <w:rPr>
                <w:rFonts w:hint="eastAsia"/>
                <w:color w:val="000000"/>
                <w:szCs w:val="21"/>
              </w:rPr>
              <w:t>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02" w:hRule="atLeast"/>
        </w:trPr>
        <w:tc>
          <w:tcPr>
            <w:tcW w:w="556" w:type="dxa"/>
            <w:vMerge w:val="continue"/>
            <w:noWrap w:val="0"/>
            <w:vAlign w:val="center"/>
          </w:tcPr>
          <w:p>
            <w:pPr>
              <w:jc w:val="center"/>
              <w:rPr>
                <w:color w:val="000000"/>
                <w:szCs w:val="21"/>
              </w:rPr>
            </w:pPr>
          </w:p>
        </w:tc>
        <w:tc>
          <w:tcPr>
            <w:tcW w:w="1284" w:type="dxa"/>
            <w:vMerge w:val="continue"/>
            <w:noWrap w:val="0"/>
            <w:vAlign w:val="center"/>
          </w:tcPr>
          <w:p>
            <w:pPr>
              <w:jc w:val="center"/>
              <w:rPr>
                <w:color w:val="000000"/>
                <w:szCs w:val="21"/>
              </w:rPr>
            </w:pPr>
          </w:p>
        </w:tc>
        <w:tc>
          <w:tcPr>
            <w:tcW w:w="878" w:type="dxa"/>
            <w:vMerge w:val="continue"/>
            <w:noWrap w:val="0"/>
            <w:vAlign w:val="center"/>
          </w:tcPr>
          <w:p>
            <w:pPr>
              <w:jc w:val="center"/>
              <w:rPr>
                <w:color w:val="000000"/>
                <w:szCs w:val="21"/>
              </w:rPr>
            </w:pPr>
          </w:p>
        </w:tc>
        <w:tc>
          <w:tcPr>
            <w:tcW w:w="1337" w:type="dxa"/>
            <w:noWrap w:val="0"/>
            <w:vAlign w:val="center"/>
          </w:tcPr>
          <w:p>
            <w:pPr>
              <w:jc w:val="center"/>
              <w:rPr>
                <w:color w:val="000000"/>
                <w:szCs w:val="21"/>
              </w:rPr>
            </w:pPr>
            <w:r>
              <w:rPr>
                <w:rFonts w:hint="eastAsia"/>
                <w:color w:val="000000"/>
                <w:szCs w:val="21"/>
              </w:rPr>
              <w:t>资格评审是否</w:t>
            </w:r>
            <w:r>
              <w:rPr>
                <w:color w:val="000000"/>
                <w:szCs w:val="21"/>
              </w:rPr>
              <w:t>合格</w:t>
            </w:r>
          </w:p>
        </w:tc>
        <w:tc>
          <w:tcPr>
            <w:tcW w:w="1467" w:type="dxa"/>
            <w:gridSpan w:val="2"/>
            <w:noWrap w:val="0"/>
            <w:vAlign w:val="center"/>
          </w:tcPr>
          <w:p>
            <w:pPr>
              <w:jc w:val="center"/>
              <w:rPr>
                <w:color w:val="000000"/>
                <w:szCs w:val="21"/>
              </w:rPr>
            </w:pPr>
            <w:r>
              <w:rPr>
                <w:rFonts w:hint="eastAsia"/>
                <w:color w:val="000000"/>
                <w:szCs w:val="21"/>
              </w:rPr>
              <w:t>形式性评审是否</w:t>
            </w:r>
            <w:r>
              <w:rPr>
                <w:color w:val="000000"/>
                <w:szCs w:val="21"/>
              </w:rPr>
              <w:t>合格</w:t>
            </w:r>
          </w:p>
        </w:tc>
        <w:tc>
          <w:tcPr>
            <w:tcW w:w="1467" w:type="dxa"/>
            <w:noWrap w:val="0"/>
            <w:vAlign w:val="center"/>
          </w:tcPr>
          <w:p>
            <w:pPr>
              <w:jc w:val="center"/>
              <w:rPr>
                <w:color w:val="000000"/>
                <w:szCs w:val="21"/>
              </w:rPr>
            </w:pPr>
            <w:r>
              <w:rPr>
                <w:rFonts w:hint="eastAsia"/>
                <w:color w:val="000000"/>
                <w:szCs w:val="21"/>
              </w:rPr>
              <w:t>响应性评审是否合格</w:t>
            </w:r>
          </w:p>
        </w:tc>
        <w:tc>
          <w:tcPr>
            <w:tcW w:w="1727" w:type="dxa"/>
            <w:noWrap w:val="0"/>
            <w:vAlign w:val="center"/>
          </w:tcPr>
          <w:p>
            <w:pPr>
              <w:jc w:val="center"/>
              <w:rPr>
                <w:color w:val="000000"/>
                <w:szCs w:val="21"/>
              </w:rPr>
            </w:pPr>
            <w:r>
              <w:rPr>
                <w:rFonts w:hint="eastAsia"/>
                <w:color w:val="000000"/>
                <w:szCs w:val="21"/>
              </w:rPr>
              <w:t>工程总承包工作大纲</w:t>
            </w:r>
            <w:r>
              <w:rPr>
                <w:color w:val="000000"/>
                <w:szCs w:val="21"/>
              </w:rPr>
              <w:t>得分</w:t>
            </w:r>
          </w:p>
        </w:tc>
        <w:tc>
          <w:tcPr>
            <w:tcW w:w="1337" w:type="dxa"/>
            <w:noWrap w:val="0"/>
            <w:vAlign w:val="center"/>
          </w:tcPr>
          <w:p>
            <w:pPr>
              <w:jc w:val="center"/>
              <w:rPr>
                <w:rFonts w:hint="eastAsia"/>
                <w:color w:val="000000"/>
                <w:szCs w:val="21"/>
              </w:rPr>
            </w:pPr>
            <w:r>
              <w:rPr>
                <w:rFonts w:hint="eastAsia"/>
                <w:color w:val="000000"/>
                <w:szCs w:val="21"/>
              </w:rPr>
              <w:t>施工组织设计得分</w:t>
            </w:r>
          </w:p>
        </w:tc>
        <w:tc>
          <w:tcPr>
            <w:tcW w:w="1077" w:type="dxa"/>
            <w:noWrap w:val="0"/>
            <w:vAlign w:val="center"/>
          </w:tcPr>
          <w:p>
            <w:pPr>
              <w:jc w:val="center"/>
              <w:rPr>
                <w:rFonts w:hint="eastAsia"/>
                <w:color w:val="000000"/>
                <w:szCs w:val="21"/>
              </w:rPr>
            </w:pPr>
            <w:r>
              <w:rPr>
                <w:rFonts w:hint="eastAsia"/>
                <w:color w:val="000000"/>
                <w:szCs w:val="21"/>
              </w:rPr>
              <w:t>资信业绩得分</w:t>
            </w:r>
          </w:p>
        </w:tc>
        <w:tc>
          <w:tcPr>
            <w:tcW w:w="947" w:type="dxa"/>
            <w:noWrap w:val="0"/>
            <w:vAlign w:val="center"/>
          </w:tcPr>
          <w:p>
            <w:pPr>
              <w:jc w:val="center"/>
              <w:rPr>
                <w:rFonts w:hint="eastAsia"/>
                <w:color w:val="000000"/>
                <w:szCs w:val="21"/>
              </w:rPr>
            </w:pPr>
            <w:r>
              <w:rPr>
                <w:rFonts w:hint="eastAsia"/>
                <w:color w:val="000000"/>
                <w:szCs w:val="21"/>
              </w:rPr>
              <w:t>商务标得分</w:t>
            </w:r>
          </w:p>
        </w:tc>
        <w:tc>
          <w:tcPr>
            <w:tcW w:w="947" w:type="dxa"/>
            <w:noWrap w:val="0"/>
            <w:vAlign w:val="center"/>
          </w:tcPr>
          <w:p>
            <w:pPr>
              <w:jc w:val="center"/>
              <w:rPr>
                <w:rFonts w:hint="eastAsia"/>
                <w:color w:val="000000"/>
                <w:szCs w:val="21"/>
              </w:rPr>
            </w:pPr>
            <w:r>
              <w:rPr>
                <w:rFonts w:hint="eastAsia"/>
                <w:color w:val="000000"/>
                <w:szCs w:val="21"/>
              </w:rPr>
              <w:t>设计标得分</w:t>
            </w:r>
          </w:p>
        </w:tc>
        <w:tc>
          <w:tcPr>
            <w:tcW w:w="846" w:type="dxa"/>
            <w:vMerge w:val="continue"/>
            <w:noWrap w:val="0"/>
            <w:vAlign w:val="center"/>
          </w:tcPr>
          <w:p>
            <w:pPr>
              <w:jc w:val="center"/>
              <w:rPr>
                <w:color w:val="000000"/>
                <w:szCs w:val="21"/>
              </w:rPr>
            </w:pPr>
          </w:p>
        </w:tc>
        <w:tc>
          <w:tcPr>
            <w:tcW w:w="710" w:type="dxa"/>
            <w:vMerge w:val="continue"/>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4" w:hRule="atLeast"/>
        </w:trPr>
        <w:tc>
          <w:tcPr>
            <w:tcW w:w="556" w:type="dxa"/>
            <w:noWrap w:val="0"/>
            <w:vAlign w:val="center"/>
          </w:tcPr>
          <w:p>
            <w:pPr>
              <w:jc w:val="center"/>
              <w:rPr>
                <w:rFonts w:eastAsia="黑体"/>
                <w:color w:val="000000"/>
                <w:szCs w:val="21"/>
              </w:rPr>
            </w:pPr>
            <w:r>
              <w:rPr>
                <w:rFonts w:eastAsia="黑体"/>
                <w:color w:val="000000"/>
                <w:szCs w:val="21"/>
              </w:rPr>
              <w:t>1</w:t>
            </w:r>
          </w:p>
        </w:tc>
        <w:tc>
          <w:tcPr>
            <w:tcW w:w="1284" w:type="dxa"/>
            <w:noWrap w:val="0"/>
            <w:vAlign w:val="center"/>
          </w:tcPr>
          <w:p>
            <w:pPr>
              <w:jc w:val="center"/>
              <w:rPr>
                <w:color w:val="000000"/>
                <w:szCs w:val="21"/>
              </w:rPr>
            </w:pPr>
          </w:p>
        </w:tc>
        <w:tc>
          <w:tcPr>
            <w:tcW w:w="878" w:type="dxa"/>
            <w:noWrap w:val="0"/>
            <w:vAlign w:val="center"/>
          </w:tcPr>
          <w:p>
            <w:pPr>
              <w:jc w:val="center"/>
              <w:rPr>
                <w:color w:val="000000"/>
                <w:szCs w:val="21"/>
              </w:rPr>
            </w:pPr>
          </w:p>
        </w:tc>
        <w:tc>
          <w:tcPr>
            <w:tcW w:w="1337" w:type="dxa"/>
            <w:noWrap w:val="0"/>
            <w:vAlign w:val="center"/>
          </w:tcPr>
          <w:p>
            <w:pPr>
              <w:jc w:val="center"/>
              <w:rPr>
                <w:color w:val="000000"/>
                <w:szCs w:val="21"/>
              </w:rPr>
            </w:pPr>
          </w:p>
        </w:tc>
        <w:tc>
          <w:tcPr>
            <w:tcW w:w="1467" w:type="dxa"/>
            <w:gridSpan w:val="2"/>
            <w:noWrap w:val="0"/>
            <w:vAlign w:val="center"/>
          </w:tcPr>
          <w:p>
            <w:pPr>
              <w:jc w:val="center"/>
              <w:rPr>
                <w:color w:val="000000"/>
                <w:szCs w:val="21"/>
              </w:rPr>
            </w:pPr>
          </w:p>
        </w:tc>
        <w:tc>
          <w:tcPr>
            <w:tcW w:w="1467" w:type="dxa"/>
            <w:noWrap w:val="0"/>
            <w:vAlign w:val="center"/>
          </w:tcPr>
          <w:p>
            <w:pPr>
              <w:jc w:val="center"/>
              <w:rPr>
                <w:color w:val="000000"/>
                <w:szCs w:val="21"/>
              </w:rPr>
            </w:pPr>
          </w:p>
        </w:tc>
        <w:tc>
          <w:tcPr>
            <w:tcW w:w="1727" w:type="dxa"/>
            <w:noWrap w:val="0"/>
            <w:vAlign w:val="center"/>
          </w:tcPr>
          <w:p>
            <w:pPr>
              <w:jc w:val="center"/>
              <w:rPr>
                <w:color w:val="000000"/>
                <w:szCs w:val="21"/>
              </w:rPr>
            </w:pPr>
          </w:p>
        </w:tc>
        <w:tc>
          <w:tcPr>
            <w:tcW w:w="1337" w:type="dxa"/>
            <w:noWrap w:val="0"/>
            <w:vAlign w:val="top"/>
          </w:tcPr>
          <w:p>
            <w:pPr>
              <w:jc w:val="center"/>
              <w:rPr>
                <w:color w:val="000000"/>
                <w:szCs w:val="21"/>
              </w:rPr>
            </w:pPr>
          </w:p>
        </w:tc>
        <w:tc>
          <w:tcPr>
            <w:tcW w:w="1077" w:type="dxa"/>
            <w:noWrap w:val="0"/>
            <w:vAlign w:val="top"/>
          </w:tcPr>
          <w:p>
            <w:pPr>
              <w:jc w:val="center"/>
              <w:rPr>
                <w:color w:val="000000"/>
                <w:szCs w:val="21"/>
              </w:rPr>
            </w:pPr>
          </w:p>
        </w:tc>
        <w:tc>
          <w:tcPr>
            <w:tcW w:w="947" w:type="dxa"/>
            <w:noWrap w:val="0"/>
            <w:vAlign w:val="center"/>
          </w:tcPr>
          <w:p>
            <w:pPr>
              <w:jc w:val="center"/>
              <w:rPr>
                <w:color w:val="000000"/>
                <w:szCs w:val="21"/>
              </w:rPr>
            </w:pPr>
          </w:p>
        </w:tc>
        <w:tc>
          <w:tcPr>
            <w:tcW w:w="947" w:type="dxa"/>
            <w:noWrap w:val="0"/>
            <w:vAlign w:val="center"/>
          </w:tcPr>
          <w:p>
            <w:pPr>
              <w:jc w:val="center"/>
              <w:rPr>
                <w:color w:val="000000"/>
                <w:szCs w:val="21"/>
              </w:rPr>
            </w:pPr>
          </w:p>
        </w:tc>
        <w:tc>
          <w:tcPr>
            <w:tcW w:w="846" w:type="dxa"/>
            <w:noWrap w:val="0"/>
            <w:vAlign w:val="center"/>
          </w:tcPr>
          <w:p>
            <w:pPr>
              <w:jc w:val="center"/>
              <w:rPr>
                <w:color w:val="000000"/>
                <w:szCs w:val="21"/>
              </w:rPr>
            </w:pPr>
          </w:p>
        </w:tc>
        <w:tc>
          <w:tcPr>
            <w:tcW w:w="710"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4" w:hRule="atLeast"/>
        </w:trPr>
        <w:tc>
          <w:tcPr>
            <w:tcW w:w="556" w:type="dxa"/>
            <w:noWrap w:val="0"/>
            <w:vAlign w:val="center"/>
          </w:tcPr>
          <w:p>
            <w:pPr>
              <w:jc w:val="center"/>
              <w:rPr>
                <w:rFonts w:eastAsia="黑体"/>
                <w:color w:val="000000"/>
                <w:szCs w:val="21"/>
              </w:rPr>
            </w:pPr>
            <w:r>
              <w:rPr>
                <w:rFonts w:eastAsia="黑体"/>
                <w:color w:val="000000"/>
                <w:szCs w:val="21"/>
              </w:rPr>
              <w:t>2</w:t>
            </w:r>
          </w:p>
        </w:tc>
        <w:tc>
          <w:tcPr>
            <w:tcW w:w="1284" w:type="dxa"/>
            <w:noWrap w:val="0"/>
            <w:vAlign w:val="center"/>
          </w:tcPr>
          <w:p>
            <w:pPr>
              <w:jc w:val="center"/>
              <w:rPr>
                <w:color w:val="000000"/>
                <w:szCs w:val="21"/>
              </w:rPr>
            </w:pPr>
          </w:p>
        </w:tc>
        <w:tc>
          <w:tcPr>
            <w:tcW w:w="878" w:type="dxa"/>
            <w:noWrap w:val="0"/>
            <w:vAlign w:val="center"/>
          </w:tcPr>
          <w:p>
            <w:pPr>
              <w:jc w:val="center"/>
              <w:rPr>
                <w:color w:val="000000"/>
                <w:szCs w:val="21"/>
              </w:rPr>
            </w:pPr>
          </w:p>
        </w:tc>
        <w:tc>
          <w:tcPr>
            <w:tcW w:w="1337" w:type="dxa"/>
            <w:noWrap w:val="0"/>
            <w:vAlign w:val="center"/>
          </w:tcPr>
          <w:p>
            <w:pPr>
              <w:jc w:val="center"/>
              <w:rPr>
                <w:color w:val="000000"/>
                <w:szCs w:val="21"/>
              </w:rPr>
            </w:pPr>
          </w:p>
        </w:tc>
        <w:tc>
          <w:tcPr>
            <w:tcW w:w="1467" w:type="dxa"/>
            <w:gridSpan w:val="2"/>
            <w:noWrap w:val="0"/>
            <w:vAlign w:val="center"/>
          </w:tcPr>
          <w:p>
            <w:pPr>
              <w:jc w:val="center"/>
              <w:rPr>
                <w:color w:val="000000"/>
                <w:szCs w:val="21"/>
              </w:rPr>
            </w:pPr>
          </w:p>
        </w:tc>
        <w:tc>
          <w:tcPr>
            <w:tcW w:w="1467" w:type="dxa"/>
            <w:noWrap w:val="0"/>
            <w:vAlign w:val="center"/>
          </w:tcPr>
          <w:p>
            <w:pPr>
              <w:jc w:val="center"/>
              <w:rPr>
                <w:color w:val="000000"/>
                <w:szCs w:val="21"/>
              </w:rPr>
            </w:pPr>
          </w:p>
        </w:tc>
        <w:tc>
          <w:tcPr>
            <w:tcW w:w="1727" w:type="dxa"/>
            <w:noWrap w:val="0"/>
            <w:vAlign w:val="center"/>
          </w:tcPr>
          <w:p>
            <w:pPr>
              <w:jc w:val="center"/>
              <w:rPr>
                <w:color w:val="000000"/>
                <w:szCs w:val="21"/>
              </w:rPr>
            </w:pPr>
          </w:p>
        </w:tc>
        <w:tc>
          <w:tcPr>
            <w:tcW w:w="1337" w:type="dxa"/>
            <w:noWrap w:val="0"/>
            <w:vAlign w:val="top"/>
          </w:tcPr>
          <w:p>
            <w:pPr>
              <w:jc w:val="center"/>
              <w:rPr>
                <w:color w:val="000000"/>
                <w:szCs w:val="21"/>
              </w:rPr>
            </w:pPr>
          </w:p>
        </w:tc>
        <w:tc>
          <w:tcPr>
            <w:tcW w:w="1077" w:type="dxa"/>
            <w:noWrap w:val="0"/>
            <w:vAlign w:val="top"/>
          </w:tcPr>
          <w:p>
            <w:pPr>
              <w:jc w:val="center"/>
              <w:rPr>
                <w:color w:val="000000"/>
                <w:szCs w:val="21"/>
              </w:rPr>
            </w:pPr>
          </w:p>
        </w:tc>
        <w:tc>
          <w:tcPr>
            <w:tcW w:w="947" w:type="dxa"/>
            <w:noWrap w:val="0"/>
            <w:vAlign w:val="center"/>
          </w:tcPr>
          <w:p>
            <w:pPr>
              <w:jc w:val="center"/>
              <w:rPr>
                <w:color w:val="000000"/>
                <w:szCs w:val="21"/>
              </w:rPr>
            </w:pPr>
          </w:p>
        </w:tc>
        <w:tc>
          <w:tcPr>
            <w:tcW w:w="947" w:type="dxa"/>
            <w:noWrap w:val="0"/>
            <w:vAlign w:val="center"/>
          </w:tcPr>
          <w:p>
            <w:pPr>
              <w:jc w:val="center"/>
              <w:rPr>
                <w:color w:val="000000"/>
                <w:szCs w:val="21"/>
              </w:rPr>
            </w:pPr>
          </w:p>
        </w:tc>
        <w:tc>
          <w:tcPr>
            <w:tcW w:w="846" w:type="dxa"/>
            <w:noWrap w:val="0"/>
            <w:vAlign w:val="center"/>
          </w:tcPr>
          <w:p>
            <w:pPr>
              <w:jc w:val="center"/>
              <w:rPr>
                <w:color w:val="000000"/>
                <w:szCs w:val="21"/>
              </w:rPr>
            </w:pPr>
          </w:p>
        </w:tc>
        <w:tc>
          <w:tcPr>
            <w:tcW w:w="710"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4" w:hRule="atLeast"/>
        </w:trPr>
        <w:tc>
          <w:tcPr>
            <w:tcW w:w="556" w:type="dxa"/>
            <w:noWrap w:val="0"/>
            <w:vAlign w:val="center"/>
          </w:tcPr>
          <w:p>
            <w:pPr>
              <w:jc w:val="center"/>
              <w:rPr>
                <w:rFonts w:eastAsia="黑体"/>
                <w:color w:val="000000"/>
                <w:szCs w:val="21"/>
              </w:rPr>
            </w:pPr>
            <w:r>
              <w:rPr>
                <w:rFonts w:eastAsia="黑体"/>
                <w:color w:val="000000"/>
                <w:szCs w:val="21"/>
              </w:rPr>
              <w:t>3</w:t>
            </w:r>
          </w:p>
        </w:tc>
        <w:tc>
          <w:tcPr>
            <w:tcW w:w="1284" w:type="dxa"/>
            <w:noWrap w:val="0"/>
            <w:vAlign w:val="center"/>
          </w:tcPr>
          <w:p>
            <w:pPr>
              <w:jc w:val="center"/>
              <w:rPr>
                <w:color w:val="000000"/>
                <w:szCs w:val="21"/>
              </w:rPr>
            </w:pPr>
          </w:p>
        </w:tc>
        <w:tc>
          <w:tcPr>
            <w:tcW w:w="878" w:type="dxa"/>
            <w:noWrap w:val="0"/>
            <w:vAlign w:val="center"/>
          </w:tcPr>
          <w:p>
            <w:pPr>
              <w:jc w:val="center"/>
              <w:rPr>
                <w:color w:val="000000"/>
                <w:szCs w:val="21"/>
              </w:rPr>
            </w:pPr>
          </w:p>
        </w:tc>
        <w:tc>
          <w:tcPr>
            <w:tcW w:w="1337" w:type="dxa"/>
            <w:noWrap w:val="0"/>
            <w:vAlign w:val="center"/>
          </w:tcPr>
          <w:p>
            <w:pPr>
              <w:jc w:val="center"/>
              <w:rPr>
                <w:color w:val="000000"/>
                <w:szCs w:val="21"/>
              </w:rPr>
            </w:pPr>
          </w:p>
        </w:tc>
        <w:tc>
          <w:tcPr>
            <w:tcW w:w="1467" w:type="dxa"/>
            <w:gridSpan w:val="2"/>
            <w:noWrap w:val="0"/>
            <w:vAlign w:val="center"/>
          </w:tcPr>
          <w:p>
            <w:pPr>
              <w:jc w:val="center"/>
              <w:rPr>
                <w:color w:val="000000"/>
                <w:szCs w:val="21"/>
              </w:rPr>
            </w:pPr>
          </w:p>
        </w:tc>
        <w:tc>
          <w:tcPr>
            <w:tcW w:w="1467" w:type="dxa"/>
            <w:noWrap w:val="0"/>
            <w:vAlign w:val="center"/>
          </w:tcPr>
          <w:p>
            <w:pPr>
              <w:jc w:val="center"/>
              <w:rPr>
                <w:color w:val="000000"/>
                <w:szCs w:val="21"/>
              </w:rPr>
            </w:pPr>
          </w:p>
        </w:tc>
        <w:tc>
          <w:tcPr>
            <w:tcW w:w="1727" w:type="dxa"/>
            <w:noWrap w:val="0"/>
            <w:vAlign w:val="center"/>
          </w:tcPr>
          <w:p>
            <w:pPr>
              <w:jc w:val="center"/>
              <w:rPr>
                <w:color w:val="000000"/>
                <w:szCs w:val="21"/>
              </w:rPr>
            </w:pPr>
          </w:p>
        </w:tc>
        <w:tc>
          <w:tcPr>
            <w:tcW w:w="1337" w:type="dxa"/>
            <w:noWrap w:val="0"/>
            <w:vAlign w:val="top"/>
          </w:tcPr>
          <w:p>
            <w:pPr>
              <w:jc w:val="center"/>
              <w:rPr>
                <w:color w:val="000000"/>
                <w:szCs w:val="21"/>
              </w:rPr>
            </w:pPr>
          </w:p>
        </w:tc>
        <w:tc>
          <w:tcPr>
            <w:tcW w:w="1077" w:type="dxa"/>
            <w:noWrap w:val="0"/>
            <w:vAlign w:val="top"/>
          </w:tcPr>
          <w:p>
            <w:pPr>
              <w:jc w:val="center"/>
              <w:rPr>
                <w:color w:val="000000"/>
                <w:szCs w:val="21"/>
              </w:rPr>
            </w:pPr>
          </w:p>
        </w:tc>
        <w:tc>
          <w:tcPr>
            <w:tcW w:w="947" w:type="dxa"/>
            <w:noWrap w:val="0"/>
            <w:vAlign w:val="center"/>
          </w:tcPr>
          <w:p>
            <w:pPr>
              <w:jc w:val="center"/>
              <w:rPr>
                <w:color w:val="000000"/>
                <w:szCs w:val="21"/>
              </w:rPr>
            </w:pPr>
          </w:p>
        </w:tc>
        <w:tc>
          <w:tcPr>
            <w:tcW w:w="947" w:type="dxa"/>
            <w:noWrap w:val="0"/>
            <w:vAlign w:val="center"/>
          </w:tcPr>
          <w:p>
            <w:pPr>
              <w:jc w:val="center"/>
              <w:rPr>
                <w:color w:val="000000"/>
                <w:szCs w:val="21"/>
              </w:rPr>
            </w:pPr>
          </w:p>
        </w:tc>
        <w:tc>
          <w:tcPr>
            <w:tcW w:w="846" w:type="dxa"/>
            <w:noWrap w:val="0"/>
            <w:vAlign w:val="center"/>
          </w:tcPr>
          <w:p>
            <w:pPr>
              <w:jc w:val="center"/>
              <w:rPr>
                <w:color w:val="000000"/>
                <w:szCs w:val="21"/>
              </w:rPr>
            </w:pPr>
          </w:p>
        </w:tc>
        <w:tc>
          <w:tcPr>
            <w:tcW w:w="710"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4" w:hRule="atLeast"/>
        </w:trPr>
        <w:tc>
          <w:tcPr>
            <w:tcW w:w="556" w:type="dxa"/>
            <w:noWrap w:val="0"/>
            <w:vAlign w:val="center"/>
          </w:tcPr>
          <w:p>
            <w:pPr>
              <w:jc w:val="center"/>
              <w:rPr>
                <w:rFonts w:eastAsia="黑体"/>
                <w:color w:val="000000"/>
                <w:szCs w:val="21"/>
              </w:rPr>
            </w:pPr>
            <w:r>
              <w:rPr>
                <w:rFonts w:eastAsia="黑体"/>
                <w:color w:val="000000"/>
                <w:szCs w:val="21"/>
              </w:rPr>
              <w:t>4</w:t>
            </w:r>
          </w:p>
        </w:tc>
        <w:tc>
          <w:tcPr>
            <w:tcW w:w="1284" w:type="dxa"/>
            <w:noWrap w:val="0"/>
            <w:vAlign w:val="center"/>
          </w:tcPr>
          <w:p>
            <w:pPr>
              <w:jc w:val="center"/>
              <w:rPr>
                <w:color w:val="000000"/>
                <w:szCs w:val="21"/>
              </w:rPr>
            </w:pPr>
          </w:p>
        </w:tc>
        <w:tc>
          <w:tcPr>
            <w:tcW w:w="878" w:type="dxa"/>
            <w:noWrap w:val="0"/>
            <w:vAlign w:val="center"/>
          </w:tcPr>
          <w:p>
            <w:pPr>
              <w:jc w:val="center"/>
              <w:rPr>
                <w:color w:val="000000"/>
                <w:szCs w:val="21"/>
              </w:rPr>
            </w:pPr>
          </w:p>
        </w:tc>
        <w:tc>
          <w:tcPr>
            <w:tcW w:w="1337" w:type="dxa"/>
            <w:noWrap w:val="0"/>
            <w:vAlign w:val="center"/>
          </w:tcPr>
          <w:p>
            <w:pPr>
              <w:jc w:val="center"/>
              <w:rPr>
                <w:color w:val="000000"/>
                <w:szCs w:val="21"/>
              </w:rPr>
            </w:pPr>
          </w:p>
        </w:tc>
        <w:tc>
          <w:tcPr>
            <w:tcW w:w="1467" w:type="dxa"/>
            <w:gridSpan w:val="2"/>
            <w:noWrap w:val="0"/>
            <w:vAlign w:val="center"/>
          </w:tcPr>
          <w:p>
            <w:pPr>
              <w:jc w:val="center"/>
              <w:rPr>
                <w:color w:val="000000"/>
                <w:szCs w:val="21"/>
              </w:rPr>
            </w:pPr>
          </w:p>
        </w:tc>
        <w:tc>
          <w:tcPr>
            <w:tcW w:w="1467" w:type="dxa"/>
            <w:noWrap w:val="0"/>
            <w:vAlign w:val="center"/>
          </w:tcPr>
          <w:p>
            <w:pPr>
              <w:jc w:val="center"/>
              <w:rPr>
                <w:color w:val="000000"/>
                <w:szCs w:val="21"/>
              </w:rPr>
            </w:pPr>
          </w:p>
        </w:tc>
        <w:tc>
          <w:tcPr>
            <w:tcW w:w="1727" w:type="dxa"/>
            <w:noWrap w:val="0"/>
            <w:vAlign w:val="center"/>
          </w:tcPr>
          <w:p>
            <w:pPr>
              <w:jc w:val="center"/>
              <w:rPr>
                <w:color w:val="000000"/>
                <w:szCs w:val="21"/>
              </w:rPr>
            </w:pPr>
          </w:p>
        </w:tc>
        <w:tc>
          <w:tcPr>
            <w:tcW w:w="1337" w:type="dxa"/>
            <w:noWrap w:val="0"/>
            <w:vAlign w:val="top"/>
          </w:tcPr>
          <w:p>
            <w:pPr>
              <w:jc w:val="center"/>
              <w:rPr>
                <w:color w:val="000000"/>
                <w:szCs w:val="21"/>
              </w:rPr>
            </w:pPr>
          </w:p>
        </w:tc>
        <w:tc>
          <w:tcPr>
            <w:tcW w:w="1077" w:type="dxa"/>
            <w:noWrap w:val="0"/>
            <w:vAlign w:val="top"/>
          </w:tcPr>
          <w:p>
            <w:pPr>
              <w:jc w:val="center"/>
              <w:rPr>
                <w:color w:val="000000"/>
                <w:szCs w:val="21"/>
              </w:rPr>
            </w:pPr>
          </w:p>
        </w:tc>
        <w:tc>
          <w:tcPr>
            <w:tcW w:w="947" w:type="dxa"/>
            <w:noWrap w:val="0"/>
            <w:vAlign w:val="center"/>
          </w:tcPr>
          <w:p>
            <w:pPr>
              <w:jc w:val="center"/>
              <w:rPr>
                <w:color w:val="000000"/>
                <w:szCs w:val="21"/>
              </w:rPr>
            </w:pPr>
          </w:p>
        </w:tc>
        <w:tc>
          <w:tcPr>
            <w:tcW w:w="947" w:type="dxa"/>
            <w:noWrap w:val="0"/>
            <w:vAlign w:val="center"/>
          </w:tcPr>
          <w:p>
            <w:pPr>
              <w:jc w:val="center"/>
              <w:rPr>
                <w:color w:val="000000"/>
                <w:szCs w:val="21"/>
              </w:rPr>
            </w:pPr>
          </w:p>
        </w:tc>
        <w:tc>
          <w:tcPr>
            <w:tcW w:w="846" w:type="dxa"/>
            <w:noWrap w:val="0"/>
            <w:vAlign w:val="center"/>
          </w:tcPr>
          <w:p>
            <w:pPr>
              <w:jc w:val="center"/>
              <w:rPr>
                <w:color w:val="000000"/>
                <w:szCs w:val="21"/>
              </w:rPr>
            </w:pPr>
          </w:p>
        </w:tc>
        <w:tc>
          <w:tcPr>
            <w:tcW w:w="710"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4" w:hRule="atLeast"/>
        </w:trPr>
        <w:tc>
          <w:tcPr>
            <w:tcW w:w="556" w:type="dxa"/>
            <w:noWrap w:val="0"/>
            <w:vAlign w:val="center"/>
          </w:tcPr>
          <w:p>
            <w:pPr>
              <w:jc w:val="center"/>
              <w:rPr>
                <w:rFonts w:eastAsia="黑体"/>
                <w:color w:val="000000"/>
                <w:szCs w:val="21"/>
              </w:rPr>
            </w:pPr>
            <w:r>
              <w:rPr>
                <w:rFonts w:eastAsia="黑体"/>
                <w:color w:val="000000"/>
                <w:szCs w:val="21"/>
              </w:rPr>
              <w:t>5</w:t>
            </w:r>
          </w:p>
        </w:tc>
        <w:tc>
          <w:tcPr>
            <w:tcW w:w="1284" w:type="dxa"/>
            <w:noWrap w:val="0"/>
            <w:vAlign w:val="center"/>
          </w:tcPr>
          <w:p>
            <w:pPr>
              <w:jc w:val="center"/>
              <w:rPr>
                <w:color w:val="000000"/>
                <w:szCs w:val="21"/>
              </w:rPr>
            </w:pPr>
          </w:p>
        </w:tc>
        <w:tc>
          <w:tcPr>
            <w:tcW w:w="878" w:type="dxa"/>
            <w:noWrap w:val="0"/>
            <w:vAlign w:val="center"/>
          </w:tcPr>
          <w:p>
            <w:pPr>
              <w:jc w:val="center"/>
              <w:rPr>
                <w:color w:val="000000"/>
                <w:szCs w:val="21"/>
              </w:rPr>
            </w:pPr>
          </w:p>
        </w:tc>
        <w:tc>
          <w:tcPr>
            <w:tcW w:w="1337" w:type="dxa"/>
            <w:noWrap w:val="0"/>
            <w:vAlign w:val="center"/>
          </w:tcPr>
          <w:p>
            <w:pPr>
              <w:jc w:val="center"/>
              <w:rPr>
                <w:color w:val="000000"/>
                <w:szCs w:val="21"/>
              </w:rPr>
            </w:pPr>
          </w:p>
        </w:tc>
        <w:tc>
          <w:tcPr>
            <w:tcW w:w="1467" w:type="dxa"/>
            <w:gridSpan w:val="2"/>
            <w:noWrap w:val="0"/>
            <w:vAlign w:val="center"/>
          </w:tcPr>
          <w:p>
            <w:pPr>
              <w:jc w:val="center"/>
              <w:rPr>
                <w:color w:val="000000"/>
                <w:szCs w:val="21"/>
              </w:rPr>
            </w:pPr>
          </w:p>
        </w:tc>
        <w:tc>
          <w:tcPr>
            <w:tcW w:w="1467" w:type="dxa"/>
            <w:noWrap w:val="0"/>
            <w:vAlign w:val="center"/>
          </w:tcPr>
          <w:p>
            <w:pPr>
              <w:jc w:val="center"/>
              <w:rPr>
                <w:color w:val="000000"/>
                <w:szCs w:val="21"/>
              </w:rPr>
            </w:pPr>
          </w:p>
        </w:tc>
        <w:tc>
          <w:tcPr>
            <w:tcW w:w="1727" w:type="dxa"/>
            <w:noWrap w:val="0"/>
            <w:vAlign w:val="center"/>
          </w:tcPr>
          <w:p>
            <w:pPr>
              <w:jc w:val="center"/>
              <w:rPr>
                <w:color w:val="000000"/>
                <w:szCs w:val="21"/>
              </w:rPr>
            </w:pPr>
          </w:p>
        </w:tc>
        <w:tc>
          <w:tcPr>
            <w:tcW w:w="1337" w:type="dxa"/>
            <w:noWrap w:val="0"/>
            <w:vAlign w:val="top"/>
          </w:tcPr>
          <w:p>
            <w:pPr>
              <w:jc w:val="center"/>
              <w:rPr>
                <w:color w:val="000000"/>
                <w:szCs w:val="21"/>
              </w:rPr>
            </w:pPr>
          </w:p>
        </w:tc>
        <w:tc>
          <w:tcPr>
            <w:tcW w:w="1077" w:type="dxa"/>
            <w:noWrap w:val="0"/>
            <w:vAlign w:val="top"/>
          </w:tcPr>
          <w:p>
            <w:pPr>
              <w:jc w:val="center"/>
              <w:rPr>
                <w:color w:val="000000"/>
                <w:szCs w:val="21"/>
              </w:rPr>
            </w:pPr>
          </w:p>
        </w:tc>
        <w:tc>
          <w:tcPr>
            <w:tcW w:w="947" w:type="dxa"/>
            <w:noWrap w:val="0"/>
            <w:vAlign w:val="center"/>
          </w:tcPr>
          <w:p>
            <w:pPr>
              <w:jc w:val="center"/>
              <w:rPr>
                <w:color w:val="000000"/>
                <w:szCs w:val="21"/>
              </w:rPr>
            </w:pPr>
          </w:p>
        </w:tc>
        <w:tc>
          <w:tcPr>
            <w:tcW w:w="947" w:type="dxa"/>
            <w:noWrap w:val="0"/>
            <w:vAlign w:val="center"/>
          </w:tcPr>
          <w:p>
            <w:pPr>
              <w:jc w:val="center"/>
              <w:rPr>
                <w:color w:val="000000"/>
                <w:szCs w:val="21"/>
              </w:rPr>
            </w:pPr>
          </w:p>
        </w:tc>
        <w:tc>
          <w:tcPr>
            <w:tcW w:w="846" w:type="dxa"/>
            <w:noWrap w:val="0"/>
            <w:vAlign w:val="center"/>
          </w:tcPr>
          <w:p>
            <w:pPr>
              <w:jc w:val="center"/>
              <w:rPr>
                <w:color w:val="000000"/>
                <w:szCs w:val="21"/>
              </w:rPr>
            </w:pPr>
          </w:p>
        </w:tc>
        <w:tc>
          <w:tcPr>
            <w:tcW w:w="710"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4" w:hRule="atLeast"/>
        </w:trPr>
        <w:tc>
          <w:tcPr>
            <w:tcW w:w="556" w:type="dxa"/>
            <w:noWrap w:val="0"/>
            <w:vAlign w:val="center"/>
          </w:tcPr>
          <w:p>
            <w:pPr>
              <w:jc w:val="center"/>
              <w:rPr>
                <w:rFonts w:eastAsia="黑体"/>
                <w:color w:val="000000"/>
                <w:szCs w:val="21"/>
              </w:rPr>
            </w:pPr>
            <w:r>
              <w:rPr>
                <w:rFonts w:eastAsia="黑体"/>
                <w:color w:val="000000"/>
                <w:szCs w:val="21"/>
              </w:rPr>
              <w:t>6</w:t>
            </w:r>
          </w:p>
        </w:tc>
        <w:tc>
          <w:tcPr>
            <w:tcW w:w="1284" w:type="dxa"/>
            <w:noWrap w:val="0"/>
            <w:vAlign w:val="center"/>
          </w:tcPr>
          <w:p>
            <w:pPr>
              <w:jc w:val="center"/>
              <w:rPr>
                <w:color w:val="000000"/>
                <w:szCs w:val="21"/>
              </w:rPr>
            </w:pPr>
          </w:p>
        </w:tc>
        <w:tc>
          <w:tcPr>
            <w:tcW w:w="878" w:type="dxa"/>
            <w:noWrap w:val="0"/>
            <w:vAlign w:val="center"/>
          </w:tcPr>
          <w:p>
            <w:pPr>
              <w:jc w:val="center"/>
              <w:rPr>
                <w:color w:val="000000"/>
                <w:szCs w:val="21"/>
              </w:rPr>
            </w:pPr>
          </w:p>
        </w:tc>
        <w:tc>
          <w:tcPr>
            <w:tcW w:w="1337" w:type="dxa"/>
            <w:noWrap w:val="0"/>
            <w:vAlign w:val="center"/>
          </w:tcPr>
          <w:p>
            <w:pPr>
              <w:jc w:val="center"/>
              <w:rPr>
                <w:color w:val="000000"/>
                <w:szCs w:val="21"/>
              </w:rPr>
            </w:pPr>
          </w:p>
        </w:tc>
        <w:tc>
          <w:tcPr>
            <w:tcW w:w="1467" w:type="dxa"/>
            <w:gridSpan w:val="2"/>
            <w:noWrap w:val="0"/>
            <w:vAlign w:val="center"/>
          </w:tcPr>
          <w:p>
            <w:pPr>
              <w:jc w:val="center"/>
              <w:rPr>
                <w:color w:val="000000"/>
                <w:szCs w:val="21"/>
              </w:rPr>
            </w:pPr>
          </w:p>
        </w:tc>
        <w:tc>
          <w:tcPr>
            <w:tcW w:w="1467" w:type="dxa"/>
            <w:noWrap w:val="0"/>
            <w:vAlign w:val="center"/>
          </w:tcPr>
          <w:p>
            <w:pPr>
              <w:jc w:val="center"/>
              <w:rPr>
                <w:color w:val="000000"/>
                <w:szCs w:val="21"/>
              </w:rPr>
            </w:pPr>
          </w:p>
        </w:tc>
        <w:tc>
          <w:tcPr>
            <w:tcW w:w="1727" w:type="dxa"/>
            <w:noWrap w:val="0"/>
            <w:vAlign w:val="center"/>
          </w:tcPr>
          <w:p>
            <w:pPr>
              <w:jc w:val="center"/>
              <w:rPr>
                <w:color w:val="000000"/>
                <w:szCs w:val="21"/>
              </w:rPr>
            </w:pPr>
          </w:p>
        </w:tc>
        <w:tc>
          <w:tcPr>
            <w:tcW w:w="1337" w:type="dxa"/>
            <w:noWrap w:val="0"/>
            <w:vAlign w:val="top"/>
          </w:tcPr>
          <w:p>
            <w:pPr>
              <w:jc w:val="center"/>
              <w:rPr>
                <w:color w:val="000000"/>
                <w:szCs w:val="21"/>
              </w:rPr>
            </w:pPr>
          </w:p>
        </w:tc>
        <w:tc>
          <w:tcPr>
            <w:tcW w:w="1077" w:type="dxa"/>
            <w:noWrap w:val="0"/>
            <w:vAlign w:val="top"/>
          </w:tcPr>
          <w:p>
            <w:pPr>
              <w:jc w:val="center"/>
              <w:rPr>
                <w:color w:val="000000"/>
                <w:szCs w:val="21"/>
              </w:rPr>
            </w:pPr>
          </w:p>
        </w:tc>
        <w:tc>
          <w:tcPr>
            <w:tcW w:w="947" w:type="dxa"/>
            <w:noWrap w:val="0"/>
            <w:vAlign w:val="center"/>
          </w:tcPr>
          <w:p>
            <w:pPr>
              <w:jc w:val="center"/>
              <w:rPr>
                <w:color w:val="000000"/>
                <w:szCs w:val="21"/>
              </w:rPr>
            </w:pPr>
          </w:p>
        </w:tc>
        <w:tc>
          <w:tcPr>
            <w:tcW w:w="947" w:type="dxa"/>
            <w:noWrap w:val="0"/>
            <w:vAlign w:val="center"/>
          </w:tcPr>
          <w:p>
            <w:pPr>
              <w:jc w:val="center"/>
              <w:rPr>
                <w:color w:val="000000"/>
                <w:szCs w:val="21"/>
              </w:rPr>
            </w:pPr>
          </w:p>
        </w:tc>
        <w:tc>
          <w:tcPr>
            <w:tcW w:w="846" w:type="dxa"/>
            <w:noWrap w:val="0"/>
            <w:vAlign w:val="center"/>
          </w:tcPr>
          <w:p>
            <w:pPr>
              <w:jc w:val="center"/>
              <w:rPr>
                <w:color w:val="000000"/>
                <w:szCs w:val="21"/>
              </w:rPr>
            </w:pPr>
          </w:p>
        </w:tc>
        <w:tc>
          <w:tcPr>
            <w:tcW w:w="710"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4" w:hRule="atLeast"/>
        </w:trPr>
        <w:tc>
          <w:tcPr>
            <w:tcW w:w="556" w:type="dxa"/>
            <w:noWrap w:val="0"/>
            <w:vAlign w:val="center"/>
          </w:tcPr>
          <w:p>
            <w:pPr>
              <w:jc w:val="center"/>
              <w:rPr>
                <w:rFonts w:eastAsia="黑体"/>
                <w:color w:val="000000"/>
                <w:szCs w:val="21"/>
              </w:rPr>
            </w:pPr>
            <w:r>
              <w:rPr>
                <w:rFonts w:eastAsia="黑体"/>
                <w:color w:val="000000"/>
                <w:szCs w:val="21"/>
              </w:rPr>
              <w:t>7</w:t>
            </w:r>
          </w:p>
        </w:tc>
        <w:tc>
          <w:tcPr>
            <w:tcW w:w="1284" w:type="dxa"/>
            <w:noWrap w:val="0"/>
            <w:vAlign w:val="center"/>
          </w:tcPr>
          <w:p>
            <w:pPr>
              <w:jc w:val="center"/>
              <w:rPr>
                <w:color w:val="000000"/>
                <w:szCs w:val="21"/>
              </w:rPr>
            </w:pPr>
          </w:p>
        </w:tc>
        <w:tc>
          <w:tcPr>
            <w:tcW w:w="878" w:type="dxa"/>
            <w:noWrap w:val="0"/>
            <w:vAlign w:val="center"/>
          </w:tcPr>
          <w:p>
            <w:pPr>
              <w:jc w:val="center"/>
              <w:rPr>
                <w:color w:val="000000"/>
                <w:szCs w:val="21"/>
              </w:rPr>
            </w:pPr>
          </w:p>
        </w:tc>
        <w:tc>
          <w:tcPr>
            <w:tcW w:w="1337" w:type="dxa"/>
            <w:noWrap w:val="0"/>
            <w:vAlign w:val="center"/>
          </w:tcPr>
          <w:p>
            <w:pPr>
              <w:jc w:val="center"/>
              <w:rPr>
                <w:color w:val="000000"/>
                <w:szCs w:val="21"/>
              </w:rPr>
            </w:pPr>
          </w:p>
        </w:tc>
        <w:tc>
          <w:tcPr>
            <w:tcW w:w="1467" w:type="dxa"/>
            <w:gridSpan w:val="2"/>
            <w:noWrap w:val="0"/>
            <w:vAlign w:val="center"/>
          </w:tcPr>
          <w:p>
            <w:pPr>
              <w:jc w:val="center"/>
              <w:rPr>
                <w:color w:val="000000"/>
                <w:szCs w:val="21"/>
              </w:rPr>
            </w:pPr>
          </w:p>
        </w:tc>
        <w:tc>
          <w:tcPr>
            <w:tcW w:w="1467" w:type="dxa"/>
            <w:noWrap w:val="0"/>
            <w:vAlign w:val="center"/>
          </w:tcPr>
          <w:p>
            <w:pPr>
              <w:jc w:val="center"/>
              <w:rPr>
                <w:color w:val="000000"/>
                <w:szCs w:val="21"/>
              </w:rPr>
            </w:pPr>
          </w:p>
        </w:tc>
        <w:tc>
          <w:tcPr>
            <w:tcW w:w="1727" w:type="dxa"/>
            <w:noWrap w:val="0"/>
            <w:vAlign w:val="center"/>
          </w:tcPr>
          <w:p>
            <w:pPr>
              <w:jc w:val="center"/>
              <w:rPr>
                <w:color w:val="000000"/>
                <w:szCs w:val="21"/>
              </w:rPr>
            </w:pPr>
          </w:p>
        </w:tc>
        <w:tc>
          <w:tcPr>
            <w:tcW w:w="1337" w:type="dxa"/>
            <w:noWrap w:val="0"/>
            <w:vAlign w:val="top"/>
          </w:tcPr>
          <w:p>
            <w:pPr>
              <w:jc w:val="center"/>
              <w:rPr>
                <w:color w:val="000000"/>
                <w:szCs w:val="21"/>
              </w:rPr>
            </w:pPr>
          </w:p>
        </w:tc>
        <w:tc>
          <w:tcPr>
            <w:tcW w:w="1077" w:type="dxa"/>
            <w:noWrap w:val="0"/>
            <w:vAlign w:val="top"/>
          </w:tcPr>
          <w:p>
            <w:pPr>
              <w:jc w:val="center"/>
              <w:rPr>
                <w:color w:val="000000"/>
                <w:szCs w:val="21"/>
              </w:rPr>
            </w:pPr>
          </w:p>
        </w:tc>
        <w:tc>
          <w:tcPr>
            <w:tcW w:w="947" w:type="dxa"/>
            <w:noWrap w:val="0"/>
            <w:vAlign w:val="top"/>
          </w:tcPr>
          <w:p>
            <w:pPr>
              <w:jc w:val="center"/>
              <w:rPr>
                <w:color w:val="000000"/>
                <w:szCs w:val="21"/>
              </w:rPr>
            </w:pPr>
          </w:p>
        </w:tc>
        <w:tc>
          <w:tcPr>
            <w:tcW w:w="947" w:type="dxa"/>
            <w:noWrap w:val="0"/>
            <w:vAlign w:val="center"/>
          </w:tcPr>
          <w:p>
            <w:pPr>
              <w:jc w:val="center"/>
              <w:rPr>
                <w:color w:val="000000"/>
                <w:szCs w:val="21"/>
              </w:rPr>
            </w:pPr>
          </w:p>
        </w:tc>
        <w:tc>
          <w:tcPr>
            <w:tcW w:w="846" w:type="dxa"/>
            <w:noWrap w:val="0"/>
            <w:vAlign w:val="center"/>
          </w:tcPr>
          <w:p>
            <w:pPr>
              <w:jc w:val="center"/>
              <w:rPr>
                <w:color w:val="000000"/>
                <w:szCs w:val="21"/>
              </w:rPr>
            </w:pPr>
          </w:p>
        </w:tc>
        <w:tc>
          <w:tcPr>
            <w:tcW w:w="710"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3" w:hRule="atLeast"/>
        </w:trPr>
        <w:tc>
          <w:tcPr>
            <w:tcW w:w="1840" w:type="dxa"/>
            <w:gridSpan w:val="2"/>
            <w:vMerge w:val="restart"/>
            <w:noWrap w:val="0"/>
            <w:vAlign w:val="center"/>
          </w:tcPr>
          <w:p>
            <w:pPr>
              <w:rPr>
                <w:color w:val="000000"/>
                <w:szCs w:val="21"/>
              </w:rPr>
            </w:pPr>
            <w:r>
              <w:rPr>
                <w:color w:val="000000"/>
                <w:szCs w:val="21"/>
              </w:rPr>
              <w:t>最终推荐的中标候选人及其排序</w:t>
            </w:r>
          </w:p>
        </w:tc>
        <w:tc>
          <w:tcPr>
            <w:tcW w:w="878" w:type="dxa"/>
            <w:noWrap w:val="0"/>
            <w:vAlign w:val="top"/>
          </w:tcPr>
          <w:p>
            <w:pPr>
              <w:rPr>
                <w:color w:val="000000"/>
                <w:szCs w:val="21"/>
              </w:rPr>
            </w:pPr>
          </w:p>
        </w:tc>
        <w:tc>
          <w:tcPr>
            <w:tcW w:w="1337" w:type="dxa"/>
            <w:noWrap w:val="0"/>
            <w:vAlign w:val="top"/>
          </w:tcPr>
          <w:p>
            <w:pPr>
              <w:rPr>
                <w:color w:val="000000"/>
                <w:szCs w:val="21"/>
              </w:rPr>
            </w:pPr>
          </w:p>
        </w:tc>
        <w:tc>
          <w:tcPr>
            <w:tcW w:w="1460" w:type="dxa"/>
            <w:noWrap w:val="0"/>
            <w:vAlign w:val="top"/>
          </w:tcPr>
          <w:p>
            <w:pPr>
              <w:rPr>
                <w:color w:val="000000"/>
                <w:szCs w:val="21"/>
              </w:rPr>
            </w:pPr>
          </w:p>
        </w:tc>
        <w:tc>
          <w:tcPr>
            <w:tcW w:w="9065" w:type="dxa"/>
            <w:gridSpan w:val="9"/>
            <w:noWrap w:val="0"/>
            <w:vAlign w:val="center"/>
          </w:tcPr>
          <w:p>
            <w:pPr>
              <w:rPr>
                <w:color w:val="000000"/>
                <w:szCs w:val="21"/>
              </w:rPr>
            </w:pPr>
            <w:r>
              <w:rPr>
                <w:color w:val="000000"/>
                <w:szCs w:val="21"/>
              </w:rPr>
              <w:t>第一名：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3" w:hRule="atLeast"/>
        </w:trPr>
        <w:tc>
          <w:tcPr>
            <w:tcW w:w="1840" w:type="dxa"/>
            <w:gridSpan w:val="2"/>
            <w:vMerge w:val="continue"/>
            <w:noWrap w:val="0"/>
            <w:vAlign w:val="center"/>
          </w:tcPr>
          <w:p>
            <w:pPr>
              <w:jc w:val="center"/>
              <w:rPr>
                <w:color w:val="000000"/>
                <w:szCs w:val="21"/>
              </w:rPr>
            </w:pPr>
          </w:p>
        </w:tc>
        <w:tc>
          <w:tcPr>
            <w:tcW w:w="878" w:type="dxa"/>
            <w:noWrap w:val="0"/>
            <w:vAlign w:val="top"/>
          </w:tcPr>
          <w:p>
            <w:pPr>
              <w:rPr>
                <w:color w:val="000000"/>
                <w:szCs w:val="21"/>
              </w:rPr>
            </w:pPr>
          </w:p>
        </w:tc>
        <w:tc>
          <w:tcPr>
            <w:tcW w:w="1337" w:type="dxa"/>
            <w:noWrap w:val="0"/>
            <w:vAlign w:val="top"/>
          </w:tcPr>
          <w:p>
            <w:pPr>
              <w:rPr>
                <w:color w:val="000000"/>
                <w:szCs w:val="21"/>
              </w:rPr>
            </w:pPr>
          </w:p>
        </w:tc>
        <w:tc>
          <w:tcPr>
            <w:tcW w:w="1460" w:type="dxa"/>
            <w:noWrap w:val="0"/>
            <w:vAlign w:val="top"/>
          </w:tcPr>
          <w:p>
            <w:pPr>
              <w:rPr>
                <w:color w:val="000000"/>
                <w:szCs w:val="21"/>
              </w:rPr>
            </w:pPr>
          </w:p>
        </w:tc>
        <w:tc>
          <w:tcPr>
            <w:tcW w:w="9065" w:type="dxa"/>
            <w:gridSpan w:val="9"/>
            <w:noWrap w:val="0"/>
            <w:vAlign w:val="center"/>
          </w:tcPr>
          <w:p>
            <w:pPr>
              <w:rPr>
                <w:color w:val="000000"/>
                <w:szCs w:val="21"/>
              </w:rPr>
            </w:pPr>
            <w:r>
              <w:rPr>
                <w:color w:val="000000"/>
                <w:szCs w:val="21"/>
              </w:rPr>
              <w:t>第二名：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4" w:hRule="atLeast"/>
        </w:trPr>
        <w:tc>
          <w:tcPr>
            <w:tcW w:w="1840" w:type="dxa"/>
            <w:gridSpan w:val="2"/>
            <w:vMerge w:val="continue"/>
            <w:noWrap w:val="0"/>
            <w:vAlign w:val="center"/>
          </w:tcPr>
          <w:p>
            <w:pPr>
              <w:jc w:val="center"/>
              <w:rPr>
                <w:color w:val="000000"/>
                <w:szCs w:val="21"/>
              </w:rPr>
            </w:pPr>
          </w:p>
        </w:tc>
        <w:tc>
          <w:tcPr>
            <w:tcW w:w="878" w:type="dxa"/>
            <w:noWrap w:val="0"/>
            <w:vAlign w:val="top"/>
          </w:tcPr>
          <w:p>
            <w:pPr>
              <w:rPr>
                <w:color w:val="000000"/>
                <w:szCs w:val="21"/>
              </w:rPr>
            </w:pPr>
          </w:p>
        </w:tc>
        <w:tc>
          <w:tcPr>
            <w:tcW w:w="1337" w:type="dxa"/>
            <w:noWrap w:val="0"/>
            <w:vAlign w:val="top"/>
          </w:tcPr>
          <w:p>
            <w:pPr>
              <w:rPr>
                <w:color w:val="000000"/>
                <w:szCs w:val="21"/>
              </w:rPr>
            </w:pPr>
          </w:p>
        </w:tc>
        <w:tc>
          <w:tcPr>
            <w:tcW w:w="1460" w:type="dxa"/>
            <w:noWrap w:val="0"/>
            <w:vAlign w:val="top"/>
          </w:tcPr>
          <w:p>
            <w:pPr>
              <w:rPr>
                <w:color w:val="000000"/>
                <w:szCs w:val="21"/>
              </w:rPr>
            </w:pPr>
          </w:p>
        </w:tc>
        <w:tc>
          <w:tcPr>
            <w:tcW w:w="9065" w:type="dxa"/>
            <w:gridSpan w:val="9"/>
            <w:noWrap w:val="0"/>
            <w:vAlign w:val="center"/>
          </w:tcPr>
          <w:p>
            <w:pPr>
              <w:rPr>
                <w:color w:val="000000"/>
                <w:szCs w:val="21"/>
              </w:rPr>
            </w:pPr>
            <w:r>
              <w:rPr>
                <w:color w:val="000000"/>
                <w:szCs w:val="21"/>
              </w:rPr>
              <w:t>第三名：</w:t>
            </w:r>
          </w:p>
        </w:tc>
      </w:tr>
    </w:tbl>
    <w:p>
      <w:pPr>
        <w:rPr>
          <w:color w:val="000000"/>
          <w:szCs w:val="21"/>
        </w:rPr>
      </w:pPr>
      <w:r>
        <w:rPr>
          <w:rFonts w:eastAsia="楷体_GB2312"/>
          <w:color w:val="000000"/>
          <w:szCs w:val="21"/>
        </w:rPr>
        <w:t>【</w:t>
      </w:r>
      <w:r>
        <w:rPr>
          <w:rFonts w:eastAsia="楷体_GB2312"/>
          <w:color w:val="000000"/>
        </w:rPr>
        <w:t>备注：</w:t>
      </w:r>
      <w:r>
        <w:rPr>
          <w:rFonts w:hint="eastAsia" w:eastAsia="楷体_GB2312"/>
          <w:color w:val="000000"/>
        </w:rPr>
        <w:t>本表可根据第二章投标人须知确定的中标候选人推荐数量等实际情况进行调整】</w:t>
      </w:r>
    </w:p>
    <w:p>
      <w:pPr>
        <w:rPr>
          <w:rFonts w:hint="eastAsia"/>
          <w:color w:val="000000"/>
          <w:szCs w:val="21"/>
        </w:rPr>
      </w:pPr>
    </w:p>
    <w:p>
      <w:pPr>
        <w:rPr>
          <w:rFonts w:eastAsia="黑体"/>
          <w:color w:val="000000"/>
          <w:sz w:val="28"/>
          <w:szCs w:val="28"/>
        </w:rPr>
      </w:pPr>
      <w:r>
        <w:rPr>
          <w:color w:val="000000"/>
          <w:szCs w:val="21"/>
        </w:rPr>
        <w:t xml:space="preserve">评标委员会全体成员签名：   </w:t>
      </w:r>
    </w:p>
    <w:p>
      <w:pPr>
        <w:spacing w:line="480" w:lineRule="auto"/>
        <w:rPr>
          <w:color w:val="000000"/>
        </w:rPr>
        <w:sectPr>
          <w:type w:val="continuous"/>
          <w:pgSz w:w="16838" w:h="11906" w:orient="landscape"/>
          <w:pgMar w:top="1134" w:right="1418" w:bottom="1134" w:left="1418" w:header="851" w:footer="992" w:gutter="0"/>
          <w:cols w:space="720" w:num="1"/>
          <w:docGrid w:linePitch="312" w:charSpace="0"/>
        </w:sectPr>
      </w:pPr>
    </w:p>
    <w:p>
      <w:pPr>
        <w:pStyle w:val="4"/>
        <w:spacing w:line="240" w:lineRule="auto"/>
        <w:rPr>
          <w:sz w:val="28"/>
          <w:szCs w:val="28"/>
        </w:rPr>
      </w:pPr>
      <w:bookmarkStart w:id="752" w:name="_Toc59203060"/>
      <w:r>
        <w:rPr>
          <w:sz w:val="28"/>
          <w:szCs w:val="28"/>
        </w:rPr>
        <w:t>附表A-21：</w:t>
      </w:r>
      <w:r>
        <w:rPr>
          <w:rFonts w:hint="eastAsia"/>
          <w:sz w:val="28"/>
          <w:szCs w:val="28"/>
        </w:rPr>
        <w:t>中标候选人公示</w:t>
      </w:r>
      <w:bookmarkEnd w:id="752"/>
    </w:p>
    <w:p>
      <w:pPr>
        <w:jc w:val="center"/>
        <w:rPr>
          <w:color w:val="000000"/>
          <w:sz w:val="28"/>
          <w:szCs w:val="28"/>
        </w:rPr>
      </w:pPr>
      <w:r>
        <w:rPr>
          <w:rFonts w:hint="eastAsia" w:eastAsia="黑体"/>
          <w:color w:val="000000"/>
          <w:sz w:val="28"/>
          <w:szCs w:val="28"/>
        </w:rPr>
        <w:t>中标候选人公示</w:t>
      </w:r>
    </w:p>
    <w:tbl>
      <w:tblPr>
        <w:tblStyle w:val="83"/>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3"/>
        <w:gridCol w:w="1206"/>
        <w:gridCol w:w="1771"/>
        <w:gridCol w:w="1523"/>
        <w:gridCol w:w="1440"/>
        <w:gridCol w:w="3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009" w:type="dxa"/>
            <w:gridSpan w:val="2"/>
            <w:noWrap w:val="0"/>
            <w:vAlign w:val="center"/>
          </w:tcPr>
          <w:p>
            <w:pPr>
              <w:widowControl/>
              <w:spacing w:line="300" w:lineRule="exact"/>
              <w:jc w:val="center"/>
              <w:rPr>
                <w:color w:val="000000"/>
                <w:kern w:val="0"/>
                <w:szCs w:val="21"/>
              </w:rPr>
            </w:pPr>
            <w:r>
              <w:rPr>
                <w:rFonts w:hAnsi="宋体"/>
                <w:color w:val="000000"/>
                <w:kern w:val="0"/>
                <w:szCs w:val="21"/>
              </w:rPr>
              <w:t>项目名称</w:t>
            </w:r>
          </w:p>
        </w:tc>
        <w:tc>
          <w:tcPr>
            <w:tcW w:w="3294" w:type="dxa"/>
            <w:gridSpan w:val="2"/>
            <w:noWrap w:val="0"/>
            <w:tcMar>
              <w:top w:w="0" w:type="dxa"/>
              <w:left w:w="75" w:type="dxa"/>
              <w:bottom w:w="0" w:type="dxa"/>
              <w:right w:w="0" w:type="dxa"/>
            </w:tcMar>
            <w:vAlign w:val="center"/>
          </w:tcPr>
          <w:p>
            <w:pPr>
              <w:widowControl/>
              <w:spacing w:line="300" w:lineRule="exact"/>
              <w:jc w:val="center"/>
              <w:rPr>
                <w:color w:val="000000"/>
                <w:kern w:val="0"/>
                <w:szCs w:val="21"/>
              </w:rPr>
            </w:pPr>
          </w:p>
        </w:tc>
        <w:tc>
          <w:tcPr>
            <w:tcW w:w="1440" w:type="dxa"/>
            <w:noWrap w:val="0"/>
            <w:vAlign w:val="center"/>
          </w:tcPr>
          <w:p>
            <w:pPr>
              <w:widowControl/>
              <w:spacing w:line="300" w:lineRule="exact"/>
              <w:jc w:val="center"/>
              <w:rPr>
                <w:color w:val="000000"/>
                <w:kern w:val="0"/>
                <w:szCs w:val="21"/>
              </w:rPr>
            </w:pPr>
            <w:r>
              <w:rPr>
                <w:rFonts w:hAnsi="宋体"/>
                <w:color w:val="000000"/>
                <w:szCs w:val="21"/>
              </w:rPr>
              <w:t>项目</w:t>
            </w:r>
            <w:r>
              <w:rPr>
                <w:rFonts w:hint="eastAsia" w:hAnsi="宋体"/>
                <w:color w:val="000000"/>
                <w:szCs w:val="21"/>
              </w:rPr>
              <w:t>招标</w:t>
            </w:r>
            <w:r>
              <w:rPr>
                <w:rFonts w:hAnsi="宋体"/>
                <w:color w:val="000000"/>
                <w:szCs w:val="21"/>
              </w:rPr>
              <w:t>编号</w:t>
            </w:r>
          </w:p>
        </w:tc>
        <w:tc>
          <w:tcPr>
            <w:tcW w:w="3006" w:type="dxa"/>
            <w:noWrap w:val="0"/>
            <w:tcMar>
              <w:top w:w="0" w:type="dxa"/>
              <w:left w:w="75" w:type="dxa"/>
              <w:bottom w:w="0" w:type="dxa"/>
              <w:right w:w="0" w:type="dxa"/>
            </w:tcMar>
            <w:vAlign w:val="center"/>
          </w:tcPr>
          <w:p>
            <w:pPr>
              <w:widowControl/>
              <w:spacing w:line="300" w:lineRule="exact"/>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009" w:type="dxa"/>
            <w:gridSpan w:val="2"/>
            <w:noWrap w:val="0"/>
            <w:vAlign w:val="center"/>
          </w:tcPr>
          <w:p>
            <w:pPr>
              <w:widowControl/>
              <w:spacing w:line="300" w:lineRule="exact"/>
              <w:jc w:val="center"/>
              <w:rPr>
                <w:rFonts w:hAnsi="宋体"/>
                <w:color w:val="000000"/>
                <w:kern w:val="0"/>
                <w:szCs w:val="21"/>
              </w:rPr>
            </w:pPr>
            <w:r>
              <w:rPr>
                <w:rFonts w:hint="eastAsia" w:hAnsi="宋体"/>
                <w:color w:val="000000"/>
                <w:kern w:val="0"/>
                <w:szCs w:val="21"/>
              </w:rPr>
              <w:t>招标人</w:t>
            </w:r>
          </w:p>
        </w:tc>
        <w:tc>
          <w:tcPr>
            <w:tcW w:w="7740" w:type="dxa"/>
            <w:gridSpan w:val="4"/>
            <w:noWrap w:val="0"/>
            <w:tcMar>
              <w:top w:w="0" w:type="dxa"/>
              <w:left w:w="75" w:type="dxa"/>
              <w:bottom w:w="0" w:type="dxa"/>
              <w:right w:w="0" w:type="dxa"/>
            </w:tcMar>
            <w:vAlign w:val="center"/>
          </w:tcPr>
          <w:p>
            <w:pPr>
              <w:widowControl/>
              <w:spacing w:line="300" w:lineRule="exact"/>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009" w:type="dxa"/>
            <w:gridSpan w:val="2"/>
            <w:noWrap w:val="0"/>
            <w:vAlign w:val="center"/>
          </w:tcPr>
          <w:p>
            <w:pPr>
              <w:widowControl/>
              <w:spacing w:line="300" w:lineRule="exact"/>
              <w:jc w:val="center"/>
              <w:rPr>
                <w:rFonts w:hint="eastAsia" w:hAnsi="宋体"/>
                <w:color w:val="000000"/>
                <w:kern w:val="0"/>
                <w:szCs w:val="21"/>
              </w:rPr>
            </w:pPr>
            <w:r>
              <w:rPr>
                <w:rFonts w:hint="eastAsia" w:hAnsi="宋体"/>
                <w:color w:val="000000"/>
                <w:kern w:val="0"/>
                <w:szCs w:val="21"/>
              </w:rPr>
              <w:t>代建单位（如有）</w:t>
            </w:r>
          </w:p>
        </w:tc>
        <w:tc>
          <w:tcPr>
            <w:tcW w:w="7740" w:type="dxa"/>
            <w:gridSpan w:val="4"/>
            <w:noWrap w:val="0"/>
            <w:tcMar>
              <w:top w:w="0" w:type="dxa"/>
              <w:left w:w="75" w:type="dxa"/>
              <w:bottom w:w="0" w:type="dxa"/>
              <w:right w:w="0" w:type="dxa"/>
            </w:tcMar>
            <w:vAlign w:val="center"/>
          </w:tcPr>
          <w:p>
            <w:pPr>
              <w:widowControl/>
              <w:spacing w:line="300" w:lineRule="exact"/>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009" w:type="dxa"/>
            <w:gridSpan w:val="2"/>
            <w:noWrap w:val="0"/>
            <w:vAlign w:val="center"/>
          </w:tcPr>
          <w:p>
            <w:pPr>
              <w:widowControl/>
              <w:spacing w:line="300" w:lineRule="exact"/>
              <w:jc w:val="center"/>
              <w:rPr>
                <w:color w:val="000000"/>
                <w:kern w:val="0"/>
                <w:szCs w:val="21"/>
              </w:rPr>
            </w:pPr>
            <w:r>
              <w:rPr>
                <w:rFonts w:hAnsi="宋体"/>
                <w:color w:val="000000"/>
                <w:kern w:val="0"/>
                <w:szCs w:val="21"/>
              </w:rPr>
              <w:t>招标类别</w:t>
            </w:r>
          </w:p>
        </w:tc>
        <w:tc>
          <w:tcPr>
            <w:tcW w:w="3294" w:type="dxa"/>
            <w:gridSpan w:val="2"/>
            <w:noWrap w:val="0"/>
            <w:tcMar>
              <w:top w:w="0" w:type="dxa"/>
              <w:left w:w="75" w:type="dxa"/>
              <w:bottom w:w="0" w:type="dxa"/>
              <w:right w:w="0" w:type="dxa"/>
            </w:tcMar>
            <w:vAlign w:val="center"/>
          </w:tcPr>
          <w:p>
            <w:pPr>
              <w:widowControl/>
              <w:spacing w:line="300" w:lineRule="exact"/>
              <w:jc w:val="center"/>
              <w:rPr>
                <w:color w:val="000000"/>
                <w:kern w:val="0"/>
                <w:szCs w:val="21"/>
              </w:rPr>
            </w:pPr>
            <w:r>
              <w:rPr>
                <w:rFonts w:hint="eastAsia"/>
                <w:color w:val="000000"/>
                <w:kern w:val="0"/>
                <w:szCs w:val="21"/>
              </w:rPr>
              <w:t>□</w:t>
            </w:r>
            <w:r>
              <w:rPr>
                <w:rFonts w:hAnsi="宋体"/>
                <w:color w:val="000000"/>
                <w:kern w:val="0"/>
                <w:szCs w:val="21"/>
              </w:rPr>
              <w:t>委托招标</w:t>
            </w:r>
            <w:r>
              <w:rPr>
                <w:color w:val="000000"/>
                <w:kern w:val="0"/>
                <w:szCs w:val="21"/>
              </w:rPr>
              <w:t xml:space="preserve">    </w:t>
            </w:r>
            <w:r>
              <w:rPr>
                <w:rFonts w:hint="eastAsia"/>
                <w:color w:val="000000"/>
                <w:kern w:val="0"/>
                <w:szCs w:val="21"/>
              </w:rPr>
              <w:t>□</w:t>
            </w:r>
            <w:r>
              <w:rPr>
                <w:rFonts w:hAnsi="宋体"/>
                <w:color w:val="000000"/>
                <w:kern w:val="0"/>
                <w:szCs w:val="21"/>
              </w:rPr>
              <w:t>自行招标</w:t>
            </w:r>
          </w:p>
        </w:tc>
        <w:tc>
          <w:tcPr>
            <w:tcW w:w="1440" w:type="dxa"/>
            <w:noWrap w:val="0"/>
            <w:vAlign w:val="center"/>
          </w:tcPr>
          <w:p>
            <w:pPr>
              <w:widowControl/>
              <w:spacing w:line="300" w:lineRule="exact"/>
              <w:jc w:val="center"/>
              <w:rPr>
                <w:color w:val="000000"/>
                <w:kern w:val="0"/>
                <w:szCs w:val="21"/>
              </w:rPr>
            </w:pPr>
            <w:r>
              <w:rPr>
                <w:rFonts w:hAnsi="宋体"/>
                <w:color w:val="000000"/>
                <w:kern w:val="0"/>
                <w:szCs w:val="21"/>
              </w:rPr>
              <w:t>招标方式</w:t>
            </w:r>
          </w:p>
        </w:tc>
        <w:tc>
          <w:tcPr>
            <w:tcW w:w="3006" w:type="dxa"/>
            <w:noWrap w:val="0"/>
            <w:tcMar>
              <w:top w:w="0" w:type="dxa"/>
              <w:left w:w="75" w:type="dxa"/>
              <w:bottom w:w="0" w:type="dxa"/>
              <w:right w:w="0" w:type="dxa"/>
            </w:tcMar>
            <w:vAlign w:val="center"/>
          </w:tcPr>
          <w:p>
            <w:pPr>
              <w:widowControl/>
              <w:spacing w:line="300" w:lineRule="exact"/>
              <w:jc w:val="center"/>
              <w:rPr>
                <w:color w:val="000000"/>
                <w:kern w:val="0"/>
                <w:szCs w:val="21"/>
              </w:rPr>
            </w:pPr>
            <w:r>
              <w:rPr>
                <w:rFonts w:hint="eastAsia"/>
                <w:color w:val="000000"/>
                <w:kern w:val="0"/>
                <w:szCs w:val="21"/>
              </w:rPr>
              <w:t>□</w:t>
            </w:r>
            <w:r>
              <w:rPr>
                <w:rFonts w:hAnsi="宋体"/>
                <w:color w:val="000000"/>
                <w:kern w:val="0"/>
                <w:szCs w:val="21"/>
              </w:rPr>
              <w:t>公开招标</w:t>
            </w:r>
            <w:r>
              <w:rPr>
                <w:color w:val="000000"/>
                <w:kern w:val="0"/>
                <w:szCs w:val="21"/>
              </w:rPr>
              <w:t xml:space="preserve">    </w:t>
            </w:r>
            <w:r>
              <w:rPr>
                <w:rFonts w:hint="eastAsia"/>
                <w:color w:val="000000"/>
                <w:kern w:val="0"/>
                <w:szCs w:val="21"/>
              </w:rPr>
              <w:t>□</w:t>
            </w:r>
            <w:r>
              <w:rPr>
                <w:rFonts w:hAnsi="宋体"/>
                <w:color w:val="000000"/>
                <w:kern w:val="0"/>
                <w:szCs w:val="21"/>
              </w:rPr>
              <w:t>邀请招标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009" w:type="dxa"/>
            <w:gridSpan w:val="2"/>
            <w:noWrap w:val="0"/>
            <w:vAlign w:val="center"/>
          </w:tcPr>
          <w:p>
            <w:pPr>
              <w:widowControl/>
              <w:spacing w:line="300" w:lineRule="exact"/>
              <w:jc w:val="center"/>
              <w:rPr>
                <w:color w:val="000000"/>
                <w:kern w:val="0"/>
                <w:szCs w:val="21"/>
              </w:rPr>
            </w:pPr>
            <w:r>
              <w:rPr>
                <w:rFonts w:hAnsi="宋体"/>
                <w:color w:val="000000"/>
                <w:kern w:val="0"/>
                <w:szCs w:val="21"/>
              </w:rPr>
              <w:t>招标代理机构</w:t>
            </w:r>
          </w:p>
        </w:tc>
        <w:tc>
          <w:tcPr>
            <w:tcW w:w="7740" w:type="dxa"/>
            <w:gridSpan w:val="4"/>
            <w:noWrap w:val="0"/>
            <w:tcMar>
              <w:top w:w="0" w:type="dxa"/>
              <w:left w:w="75" w:type="dxa"/>
              <w:bottom w:w="0" w:type="dxa"/>
              <w:right w:w="0" w:type="dxa"/>
            </w:tcMar>
            <w:vAlign w:val="center"/>
          </w:tcPr>
          <w:p>
            <w:pPr>
              <w:widowControl/>
              <w:spacing w:line="300" w:lineRule="exact"/>
              <w:jc w:val="left"/>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009" w:type="dxa"/>
            <w:gridSpan w:val="2"/>
            <w:noWrap w:val="0"/>
            <w:vAlign w:val="center"/>
          </w:tcPr>
          <w:p>
            <w:pPr>
              <w:widowControl/>
              <w:spacing w:line="300" w:lineRule="exact"/>
              <w:jc w:val="center"/>
              <w:rPr>
                <w:color w:val="000000"/>
                <w:kern w:val="0"/>
                <w:szCs w:val="21"/>
              </w:rPr>
            </w:pPr>
            <w:r>
              <w:rPr>
                <w:rFonts w:hAnsi="宋体"/>
                <w:color w:val="000000"/>
                <w:kern w:val="0"/>
                <w:szCs w:val="21"/>
              </w:rPr>
              <w:t>结构类型及规模</w:t>
            </w:r>
          </w:p>
        </w:tc>
        <w:tc>
          <w:tcPr>
            <w:tcW w:w="7740" w:type="dxa"/>
            <w:gridSpan w:val="4"/>
            <w:noWrap w:val="0"/>
            <w:tcMar>
              <w:top w:w="0" w:type="dxa"/>
              <w:left w:w="75" w:type="dxa"/>
              <w:bottom w:w="0" w:type="dxa"/>
              <w:right w:w="0" w:type="dxa"/>
            </w:tcMar>
            <w:vAlign w:val="center"/>
          </w:tcPr>
          <w:p>
            <w:pPr>
              <w:widowControl/>
              <w:spacing w:line="300" w:lineRule="exact"/>
              <w:ind w:right="185" w:rightChars="88"/>
              <w:jc w:val="left"/>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009" w:type="dxa"/>
            <w:gridSpan w:val="2"/>
            <w:noWrap w:val="0"/>
            <w:vAlign w:val="center"/>
          </w:tcPr>
          <w:p>
            <w:pPr>
              <w:widowControl/>
              <w:spacing w:line="300" w:lineRule="exact"/>
              <w:jc w:val="center"/>
              <w:rPr>
                <w:rFonts w:hAnsi="宋体"/>
                <w:color w:val="000000"/>
                <w:kern w:val="0"/>
                <w:szCs w:val="21"/>
              </w:rPr>
            </w:pPr>
            <w:r>
              <w:rPr>
                <w:rFonts w:hAnsi="宋体"/>
                <w:color w:val="000000"/>
                <w:kern w:val="0"/>
                <w:szCs w:val="21"/>
              </w:rPr>
              <w:t>开标时间</w:t>
            </w:r>
          </w:p>
        </w:tc>
        <w:tc>
          <w:tcPr>
            <w:tcW w:w="3294" w:type="dxa"/>
            <w:gridSpan w:val="2"/>
            <w:noWrap w:val="0"/>
            <w:tcMar>
              <w:top w:w="0" w:type="dxa"/>
              <w:left w:w="75" w:type="dxa"/>
              <w:bottom w:w="0" w:type="dxa"/>
              <w:right w:w="0" w:type="dxa"/>
            </w:tcMar>
            <w:vAlign w:val="center"/>
          </w:tcPr>
          <w:p>
            <w:pPr>
              <w:widowControl/>
              <w:spacing w:line="300" w:lineRule="exact"/>
              <w:ind w:firstLine="1050" w:firstLineChars="500"/>
              <w:jc w:val="center"/>
              <w:rPr>
                <w:rFonts w:hAnsi="宋体"/>
                <w:color w:val="000000"/>
                <w:kern w:val="0"/>
                <w:szCs w:val="21"/>
              </w:rPr>
            </w:pPr>
          </w:p>
        </w:tc>
        <w:tc>
          <w:tcPr>
            <w:tcW w:w="1440" w:type="dxa"/>
            <w:noWrap w:val="0"/>
            <w:vAlign w:val="center"/>
          </w:tcPr>
          <w:p>
            <w:pPr>
              <w:widowControl/>
              <w:spacing w:line="300" w:lineRule="exact"/>
              <w:jc w:val="center"/>
              <w:rPr>
                <w:rFonts w:hAnsi="宋体"/>
                <w:color w:val="000000"/>
                <w:kern w:val="0"/>
                <w:szCs w:val="21"/>
              </w:rPr>
            </w:pPr>
            <w:r>
              <w:rPr>
                <w:rFonts w:hAnsi="宋体"/>
                <w:color w:val="000000"/>
                <w:kern w:val="0"/>
                <w:szCs w:val="21"/>
              </w:rPr>
              <w:t>开标地点</w:t>
            </w:r>
          </w:p>
        </w:tc>
        <w:tc>
          <w:tcPr>
            <w:tcW w:w="3006" w:type="dxa"/>
            <w:noWrap w:val="0"/>
            <w:tcMar>
              <w:top w:w="0" w:type="dxa"/>
              <w:left w:w="75" w:type="dxa"/>
              <w:bottom w:w="0" w:type="dxa"/>
              <w:right w:w="0" w:type="dxa"/>
            </w:tcMar>
            <w:vAlign w:val="center"/>
          </w:tcPr>
          <w:p>
            <w:pPr>
              <w:widowControl/>
              <w:spacing w:line="300" w:lineRule="exact"/>
              <w:jc w:val="center"/>
              <w:rPr>
                <w:rFonts w:hAns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009" w:type="dxa"/>
            <w:gridSpan w:val="2"/>
            <w:noWrap w:val="0"/>
            <w:vAlign w:val="center"/>
          </w:tcPr>
          <w:p>
            <w:pPr>
              <w:widowControl/>
              <w:spacing w:line="300" w:lineRule="exact"/>
              <w:jc w:val="center"/>
              <w:rPr>
                <w:color w:val="000000"/>
                <w:kern w:val="0"/>
                <w:szCs w:val="21"/>
              </w:rPr>
            </w:pPr>
            <w:r>
              <w:rPr>
                <w:rFonts w:hAnsi="宋体"/>
                <w:color w:val="000000"/>
                <w:kern w:val="0"/>
                <w:szCs w:val="21"/>
              </w:rPr>
              <w:t>公示开始时间</w:t>
            </w:r>
          </w:p>
        </w:tc>
        <w:tc>
          <w:tcPr>
            <w:tcW w:w="3294" w:type="dxa"/>
            <w:gridSpan w:val="2"/>
            <w:noWrap w:val="0"/>
            <w:tcMar>
              <w:top w:w="0" w:type="dxa"/>
              <w:left w:w="75" w:type="dxa"/>
              <w:bottom w:w="0" w:type="dxa"/>
              <w:right w:w="0" w:type="dxa"/>
            </w:tcMar>
            <w:vAlign w:val="center"/>
          </w:tcPr>
          <w:p>
            <w:pPr>
              <w:widowControl/>
              <w:spacing w:line="300" w:lineRule="exact"/>
              <w:ind w:firstLine="1050" w:firstLineChars="500"/>
              <w:jc w:val="center"/>
              <w:rPr>
                <w:color w:val="000000"/>
                <w:kern w:val="0"/>
                <w:szCs w:val="21"/>
              </w:rPr>
            </w:pPr>
            <w:r>
              <w:rPr>
                <w:rFonts w:hAnsi="宋体"/>
                <w:color w:val="000000"/>
                <w:kern w:val="0"/>
                <w:szCs w:val="21"/>
              </w:rPr>
              <w:t>年</w:t>
            </w:r>
            <w:r>
              <w:rPr>
                <w:color w:val="000000"/>
                <w:kern w:val="0"/>
                <w:szCs w:val="21"/>
              </w:rPr>
              <w:t xml:space="preserve">    </w:t>
            </w:r>
            <w:r>
              <w:rPr>
                <w:rFonts w:hAnsi="宋体"/>
                <w:color w:val="000000"/>
                <w:kern w:val="0"/>
                <w:szCs w:val="21"/>
              </w:rPr>
              <w:t>月</w:t>
            </w:r>
            <w:r>
              <w:rPr>
                <w:color w:val="000000"/>
                <w:kern w:val="0"/>
                <w:szCs w:val="21"/>
              </w:rPr>
              <w:t xml:space="preserve">    </w:t>
            </w:r>
            <w:r>
              <w:rPr>
                <w:rFonts w:hAnsi="宋体"/>
                <w:color w:val="000000"/>
                <w:kern w:val="0"/>
                <w:szCs w:val="21"/>
              </w:rPr>
              <w:t>日</w:t>
            </w:r>
          </w:p>
        </w:tc>
        <w:tc>
          <w:tcPr>
            <w:tcW w:w="1440" w:type="dxa"/>
            <w:noWrap w:val="0"/>
            <w:vAlign w:val="center"/>
          </w:tcPr>
          <w:p>
            <w:pPr>
              <w:widowControl/>
              <w:spacing w:line="300" w:lineRule="exact"/>
              <w:jc w:val="center"/>
              <w:rPr>
                <w:color w:val="000000"/>
                <w:kern w:val="0"/>
                <w:szCs w:val="21"/>
              </w:rPr>
            </w:pPr>
            <w:r>
              <w:rPr>
                <w:rFonts w:hAnsi="宋体"/>
                <w:color w:val="000000"/>
                <w:kern w:val="0"/>
                <w:szCs w:val="21"/>
              </w:rPr>
              <w:t>公示截止时间</w:t>
            </w:r>
          </w:p>
        </w:tc>
        <w:tc>
          <w:tcPr>
            <w:tcW w:w="3006" w:type="dxa"/>
            <w:noWrap w:val="0"/>
            <w:tcMar>
              <w:top w:w="0" w:type="dxa"/>
              <w:left w:w="75" w:type="dxa"/>
              <w:bottom w:w="0" w:type="dxa"/>
              <w:right w:w="0" w:type="dxa"/>
            </w:tcMar>
            <w:vAlign w:val="center"/>
          </w:tcPr>
          <w:p>
            <w:pPr>
              <w:widowControl/>
              <w:spacing w:line="300" w:lineRule="exact"/>
              <w:ind w:firstLine="1050" w:firstLineChars="500"/>
              <w:jc w:val="center"/>
              <w:rPr>
                <w:color w:val="000000"/>
                <w:kern w:val="0"/>
                <w:szCs w:val="21"/>
              </w:rPr>
            </w:pPr>
            <w:r>
              <w:rPr>
                <w:rFonts w:hAnsi="宋体"/>
                <w:color w:val="000000"/>
                <w:kern w:val="0"/>
                <w:szCs w:val="21"/>
              </w:rPr>
              <w:t>年</w:t>
            </w:r>
            <w:r>
              <w:rPr>
                <w:color w:val="000000"/>
                <w:kern w:val="0"/>
                <w:szCs w:val="21"/>
              </w:rPr>
              <w:t xml:space="preserve">    </w:t>
            </w:r>
            <w:r>
              <w:rPr>
                <w:rFonts w:hAnsi="宋体"/>
                <w:color w:val="000000"/>
                <w:kern w:val="0"/>
                <w:szCs w:val="21"/>
              </w:rPr>
              <w:t>月</w:t>
            </w:r>
            <w:r>
              <w:rPr>
                <w:color w:val="000000"/>
                <w:kern w:val="0"/>
                <w:szCs w:val="21"/>
              </w:rPr>
              <w:t xml:space="preserve">    </w:t>
            </w:r>
            <w:r>
              <w:rPr>
                <w:rFonts w:hAnsi="宋体"/>
                <w:color w:val="000000"/>
                <w:kern w:val="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009" w:type="dxa"/>
            <w:gridSpan w:val="2"/>
            <w:noWrap w:val="0"/>
            <w:vAlign w:val="center"/>
          </w:tcPr>
          <w:p>
            <w:pPr>
              <w:widowControl/>
              <w:spacing w:line="300" w:lineRule="exact"/>
              <w:jc w:val="center"/>
              <w:rPr>
                <w:rFonts w:hAnsi="宋体"/>
                <w:color w:val="000000"/>
                <w:kern w:val="0"/>
                <w:szCs w:val="21"/>
              </w:rPr>
            </w:pPr>
            <w:r>
              <w:rPr>
                <w:rFonts w:hint="eastAsia" w:hAnsi="宋体"/>
                <w:color w:val="000000"/>
                <w:kern w:val="0"/>
                <w:szCs w:val="21"/>
              </w:rPr>
              <w:t>预</w:t>
            </w:r>
            <w:r>
              <w:rPr>
                <w:rFonts w:hAnsi="宋体"/>
                <w:color w:val="000000"/>
                <w:kern w:val="0"/>
                <w:szCs w:val="21"/>
              </w:rPr>
              <w:t>中标人</w:t>
            </w:r>
          </w:p>
        </w:tc>
        <w:tc>
          <w:tcPr>
            <w:tcW w:w="7740" w:type="dxa"/>
            <w:gridSpan w:val="4"/>
            <w:noWrap w:val="0"/>
            <w:tcMar>
              <w:top w:w="0" w:type="dxa"/>
              <w:left w:w="75" w:type="dxa"/>
              <w:bottom w:w="0" w:type="dxa"/>
              <w:right w:w="0" w:type="dxa"/>
            </w:tcMar>
            <w:vAlign w:val="center"/>
          </w:tcPr>
          <w:p>
            <w:pPr>
              <w:widowControl/>
              <w:spacing w:line="300" w:lineRule="exact"/>
              <w:jc w:val="left"/>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803" w:type="dxa"/>
            <w:vMerge w:val="restart"/>
            <w:noWrap w:val="0"/>
            <w:vAlign w:val="center"/>
          </w:tcPr>
          <w:p>
            <w:pPr>
              <w:widowControl/>
              <w:spacing w:line="300" w:lineRule="exact"/>
              <w:jc w:val="center"/>
              <w:rPr>
                <w:color w:val="000000"/>
                <w:kern w:val="0"/>
                <w:szCs w:val="21"/>
              </w:rPr>
            </w:pPr>
            <w:r>
              <w:rPr>
                <w:rFonts w:hAnsi="宋体"/>
                <w:color w:val="000000"/>
                <w:kern w:val="0"/>
                <w:szCs w:val="21"/>
              </w:rPr>
              <w:t>中标候选人情况</w:t>
            </w:r>
          </w:p>
        </w:tc>
        <w:tc>
          <w:tcPr>
            <w:tcW w:w="1206" w:type="dxa"/>
            <w:vMerge w:val="restart"/>
            <w:noWrap w:val="0"/>
            <w:vAlign w:val="center"/>
          </w:tcPr>
          <w:p>
            <w:pPr>
              <w:widowControl/>
              <w:spacing w:line="300" w:lineRule="exact"/>
              <w:jc w:val="center"/>
              <w:rPr>
                <w:color w:val="000000"/>
                <w:kern w:val="0"/>
                <w:szCs w:val="21"/>
              </w:rPr>
            </w:pPr>
            <w:r>
              <w:rPr>
                <w:rFonts w:hAnsi="宋体"/>
                <w:color w:val="000000"/>
                <w:kern w:val="0"/>
                <w:szCs w:val="21"/>
              </w:rPr>
              <w:t>第一中标</w:t>
            </w:r>
          </w:p>
          <w:p>
            <w:pPr>
              <w:widowControl/>
              <w:spacing w:line="300" w:lineRule="exact"/>
              <w:jc w:val="center"/>
              <w:rPr>
                <w:color w:val="000000"/>
                <w:kern w:val="0"/>
                <w:szCs w:val="21"/>
              </w:rPr>
            </w:pPr>
            <w:r>
              <w:rPr>
                <w:rFonts w:hAnsi="宋体"/>
                <w:color w:val="000000"/>
                <w:kern w:val="0"/>
                <w:szCs w:val="21"/>
              </w:rPr>
              <w:t>候选人</w:t>
            </w:r>
          </w:p>
        </w:tc>
        <w:tc>
          <w:tcPr>
            <w:tcW w:w="1771" w:type="dxa"/>
            <w:noWrap w:val="0"/>
            <w:tcMar>
              <w:top w:w="0" w:type="dxa"/>
              <w:left w:w="75" w:type="dxa"/>
              <w:bottom w:w="0" w:type="dxa"/>
              <w:right w:w="0" w:type="dxa"/>
            </w:tcMar>
            <w:vAlign w:val="center"/>
          </w:tcPr>
          <w:p>
            <w:pPr>
              <w:widowControl/>
              <w:spacing w:line="300" w:lineRule="exact"/>
              <w:jc w:val="center"/>
              <w:rPr>
                <w:color w:val="000000"/>
                <w:kern w:val="0"/>
                <w:szCs w:val="21"/>
              </w:rPr>
            </w:pPr>
            <w:r>
              <w:rPr>
                <w:rFonts w:hAnsi="宋体"/>
                <w:color w:val="000000"/>
                <w:kern w:val="0"/>
                <w:szCs w:val="21"/>
              </w:rPr>
              <w:t>单位名称</w:t>
            </w:r>
          </w:p>
        </w:tc>
        <w:tc>
          <w:tcPr>
            <w:tcW w:w="5969" w:type="dxa"/>
            <w:gridSpan w:val="3"/>
            <w:noWrap w:val="0"/>
            <w:tcMar>
              <w:top w:w="0" w:type="dxa"/>
              <w:left w:w="75" w:type="dxa"/>
              <w:bottom w:w="0" w:type="dxa"/>
              <w:right w:w="0" w:type="dxa"/>
            </w:tcMar>
            <w:vAlign w:val="center"/>
          </w:tcPr>
          <w:p>
            <w:pPr>
              <w:widowControl/>
              <w:spacing w:line="300" w:lineRule="exact"/>
              <w:jc w:val="left"/>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color w:val="000000"/>
                <w:kern w:val="0"/>
                <w:szCs w:val="21"/>
              </w:rPr>
            </w:pPr>
            <w:r>
              <w:rPr>
                <w:rFonts w:hAnsi="宋体"/>
                <w:color w:val="000000"/>
                <w:kern w:val="0"/>
                <w:szCs w:val="21"/>
              </w:rPr>
              <w:t>投标报价</w:t>
            </w:r>
          </w:p>
        </w:tc>
        <w:tc>
          <w:tcPr>
            <w:tcW w:w="5969" w:type="dxa"/>
            <w:gridSpan w:val="3"/>
            <w:noWrap w:val="0"/>
            <w:tcMar>
              <w:top w:w="0" w:type="dxa"/>
              <w:left w:w="75" w:type="dxa"/>
              <w:bottom w:w="0" w:type="dxa"/>
              <w:right w:w="0" w:type="dxa"/>
            </w:tcMar>
            <w:vAlign w:val="center"/>
          </w:tcPr>
          <w:p>
            <w:pPr>
              <w:widowControl/>
              <w:spacing w:line="300" w:lineRule="exact"/>
              <w:jc w:val="left"/>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color w:val="000000"/>
                <w:kern w:val="0"/>
                <w:szCs w:val="21"/>
              </w:rPr>
            </w:pPr>
            <w:r>
              <w:rPr>
                <w:rFonts w:hAnsi="宋体"/>
                <w:color w:val="000000"/>
                <w:kern w:val="0"/>
                <w:szCs w:val="21"/>
              </w:rPr>
              <w:t>工期</w:t>
            </w:r>
          </w:p>
        </w:tc>
        <w:tc>
          <w:tcPr>
            <w:tcW w:w="1523" w:type="dxa"/>
            <w:noWrap w:val="0"/>
            <w:tcMar>
              <w:top w:w="0" w:type="dxa"/>
              <w:left w:w="75" w:type="dxa"/>
              <w:bottom w:w="0" w:type="dxa"/>
              <w:right w:w="0" w:type="dxa"/>
            </w:tcMar>
            <w:vAlign w:val="center"/>
          </w:tcPr>
          <w:p>
            <w:pPr>
              <w:widowControl/>
              <w:spacing w:line="300" w:lineRule="exact"/>
              <w:jc w:val="left"/>
              <w:rPr>
                <w:color w:val="000000"/>
                <w:kern w:val="0"/>
                <w:szCs w:val="21"/>
              </w:rPr>
            </w:pPr>
          </w:p>
        </w:tc>
        <w:tc>
          <w:tcPr>
            <w:tcW w:w="1440" w:type="dxa"/>
            <w:noWrap w:val="0"/>
            <w:tcMar>
              <w:top w:w="0" w:type="dxa"/>
              <w:left w:w="75" w:type="dxa"/>
              <w:bottom w:w="0" w:type="dxa"/>
              <w:right w:w="0" w:type="dxa"/>
            </w:tcMar>
            <w:vAlign w:val="center"/>
          </w:tcPr>
          <w:p>
            <w:pPr>
              <w:widowControl/>
              <w:spacing w:line="300" w:lineRule="exact"/>
              <w:jc w:val="center"/>
              <w:rPr>
                <w:color w:val="000000"/>
                <w:kern w:val="0"/>
                <w:szCs w:val="21"/>
              </w:rPr>
            </w:pPr>
            <w:r>
              <w:rPr>
                <w:rFonts w:hAnsi="宋体"/>
                <w:color w:val="000000"/>
                <w:kern w:val="0"/>
                <w:szCs w:val="21"/>
              </w:rPr>
              <w:t>质量等级</w:t>
            </w:r>
          </w:p>
        </w:tc>
        <w:tc>
          <w:tcPr>
            <w:tcW w:w="3006" w:type="dxa"/>
            <w:noWrap w:val="0"/>
            <w:tcMar>
              <w:top w:w="0" w:type="dxa"/>
              <w:left w:w="75" w:type="dxa"/>
              <w:bottom w:w="0" w:type="dxa"/>
              <w:right w:w="0" w:type="dxa"/>
            </w:tcMar>
            <w:vAlign w:val="center"/>
          </w:tcPr>
          <w:p>
            <w:pPr>
              <w:widowControl/>
              <w:spacing w:line="300" w:lineRule="exact"/>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10"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rFonts w:hAnsi="宋体"/>
                <w:color w:val="000000"/>
                <w:kern w:val="0"/>
                <w:szCs w:val="21"/>
              </w:rPr>
            </w:pPr>
            <w:r>
              <w:rPr>
                <w:rFonts w:hint="eastAsia" w:hAnsi="宋体"/>
                <w:color w:val="000000"/>
                <w:kern w:val="0"/>
                <w:szCs w:val="21"/>
              </w:rPr>
              <w:t>工程总承包项目经理</w:t>
            </w:r>
          </w:p>
        </w:tc>
        <w:tc>
          <w:tcPr>
            <w:tcW w:w="5969" w:type="dxa"/>
            <w:gridSpan w:val="3"/>
            <w:noWrap w:val="0"/>
            <w:tcMar>
              <w:top w:w="0" w:type="dxa"/>
              <w:left w:w="75" w:type="dxa"/>
              <w:bottom w:w="0" w:type="dxa"/>
              <w:right w:w="0" w:type="dxa"/>
            </w:tcMar>
            <w:vAlign w:val="center"/>
          </w:tcPr>
          <w:p>
            <w:pPr>
              <w:widowControl/>
              <w:spacing w:line="300" w:lineRule="exact"/>
              <w:jc w:val="center"/>
              <w:rPr>
                <w:rFonts w:hint="eastAsia" w:hAnsi="宋体"/>
                <w:color w:val="000000"/>
                <w:kern w:val="0"/>
                <w:szCs w:val="21"/>
              </w:rPr>
            </w:pPr>
            <w:r>
              <w:rPr>
                <w:rFonts w:hAnsi="宋体"/>
                <w:color w:val="000000"/>
                <w:kern w:val="0"/>
                <w:szCs w:val="21"/>
              </w:rPr>
              <w:t>（注册</w:t>
            </w:r>
            <w:r>
              <w:rPr>
                <w:rFonts w:hint="eastAsia" w:hAnsi="宋体"/>
                <w:color w:val="000000"/>
                <w:kern w:val="0"/>
                <w:szCs w:val="21"/>
              </w:rPr>
              <w:t>编</w:t>
            </w:r>
            <w:r>
              <w:rPr>
                <w:rFonts w:hAnsi="宋体"/>
                <w:color w:val="000000"/>
                <w:kern w:val="0"/>
                <w:szCs w:val="21"/>
              </w:rPr>
              <w:t>号：</w:t>
            </w:r>
            <w:r>
              <w:rPr>
                <w:color w:val="000000"/>
                <w:kern w:val="0"/>
                <w:szCs w:val="21"/>
              </w:rPr>
              <w:t xml:space="preserve">   </w:t>
            </w:r>
            <w:r>
              <w:rPr>
                <w:rFonts w:hint="eastAsia" w:hAnsi="宋体" w:cs="宋体"/>
                <w:color w:val="000000"/>
                <w:kern w:val="0"/>
              </w:rPr>
              <w:t>；身份证号：</w:t>
            </w:r>
            <w:r>
              <w:rPr>
                <w:color w:val="000000"/>
                <w:kern w:val="0"/>
                <w:szCs w:val="21"/>
              </w:rPr>
              <w:t xml:space="preserve">     </w:t>
            </w:r>
            <w:r>
              <w:rPr>
                <w:rFonts w:hAnsi="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rFonts w:hAnsi="宋体"/>
                <w:color w:val="000000"/>
                <w:kern w:val="0"/>
                <w:szCs w:val="21"/>
              </w:rPr>
            </w:pPr>
            <w:r>
              <w:rPr>
                <w:rFonts w:hint="eastAsia" w:hAnsi="宋体"/>
                <w:color w:val="000000"/>
                <w:kern w:val="0"/>
                <w:szCs w:val="21"/>
              </w:rPr>
              <w:t>项目设计负责人</w:t>
            </w:r>
          </w:p>
        </w:tc>
        <w:tc>
          <w:tcPr>
            <w:tcW w:w="5969" w:type="dxa"/>
            <w:gridSpan w:val="3"/>
            <w:noWrap w:val="0"/>
            <w:tcMar>
              <w:top w:w="0" w:type="dxa"/>
              <w:left w:w="75" w:type="dxa"/>
              <w:bottom w:w="0" w:type="dxa"/>
              <w:right w:w="0" w:type="dxa"/>
            </w:tcMar>
            <w:vAlign w:val="center"/>
          </w:tcPr>
          <w:p>
            <w:pPr>
              <w:widowControl/>
              <w:spacing w:line="300" w:lineRule="exact"/>
              <w:jc w:val="center"/>
              <w:rPr>
                <w:color w:val="000000"/>
                <w:kern w:val="0"/>
                <w:szCs w:val="21"/>
              </w:rPr>
            </w:pPr>
            <w:r>
              <w:rPr>
                <w:rFonts w:hAnsi="宋体"/>
                <w:color w:val="000000"/>
                <w:kern w:val="0"/>
                <w:szCs w:val="21"/>
              </w:rPr>
              <w:t>（注册</w:t>
            </w:r>
            <w:r>
              <w:rPr>
                <w:rFonts w:hint="eastAsia" w:hAnsi="宋体"/>
                <w:color w:val="000000"/>
                <w:kern w:val="0"/>
                <w:szCs w:val="21"/>
              </w:rPr>
              <w:t>编</w:t>
            </w:r>
            <w:r>
              <w:rPr>
                <w:rFonts w:hAnsi="宋体"/>
                <w:color w:val="000000"/>
                <w:kern w:val="0"/>
                <w:szCs w:val="21"/>
              </w:rPr>
              <w:t>号：</w:t>
            </w:r>
            <w:r>
              <w:rPr>
                <w:color w:val="000000"/>
                <w:kern w:val="0"/>
                <w:szCs w:val="21"/>
              </w:rPr>
              <w:t xml:space="preserve">   </w:t>
            </w:r>
            <w:r>
              <w:rPr>
                <w:rFonts w:hint="eastAsia" w:hAnsi="宋体" w:cs="宋体"/>
                <w:color w:val="000000"/>
                <w:kern w:val="0"/>
              </w:rPr>
              <w:t>；身份证号：</w:t>
            </w:r>
            <w:r>
              <w:rPr>
                <w:color w:val="000000"/>
                <w:kern w:val="0"/>
                <w:szCs w:val="21"/>
              </w:rPr>
              <w:t xml:space="preserve">     </w:t>
            </w:r>
            <w:r>
              <w:rPr>
                <w:rFonts w:hAnsi="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105"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color w:val="000000"/>
                <w:kern w:val="0"/>
                <w:szCs w:val="21"/>
              </w:rPr>
            </w:pPr>
            <w:r>
              <w:rPr>
                <w:rFonts w:hint="eastAsia" w:hAnsi="宋体"/>
                <w:color w:val="000000"/>
                <w:kern w:val="0"/>
                <w:szCs w:val="21"/>
              </w:rPr>
              <w:t>施工项目经理</w:t>
            </w:r>
          </w:p>
        </w:tc>
        <w:tc>
          <w:tcPr>
            <w:tcW w:w="5969" w:type="dxa"/>
            <w:gridSpan w:val="3"/>
            <w:noWrap w:val="0"/>
            <w:tcMar>
              <w:top w:w="0" w:type="dxa"/>
              <w:left w:w="75" w:type="dxa"/>
              <w:bottom w:w="0" w:type="dxa"/>
              <w:right w:w="0" w:type="dxa"/>
            </w:tcMar>
            <w:vAlign w:val="center"/>
          </w:tcPr>
          <w:p>
            <w:pPr>
              <w:widowControl/>
              <w:spacing w:line="300" w:lineRule="exact"/>
              <w:jc w:val="right"/>
              <w:rPr>
                <w:color w:val="000000"/>
                <w:kern w:val="0"/>
                <w:szCs w:val="21"/>
              </w:rPr>
            </w:pPr>
            <w:r>
              <w:rPr>
                <w:rFonts w:hAnsi="宋体"/>
                <w:color w:val="000000"/>
                <w:kern w:val="0"/>
                <w:szCs w:val="21"/>
              </w:rPr>
              <w:t>（注册</w:t>
            </w:r>
            <w:r>
              <w:rPr>
                <w:rFonts w:hint="eastAsia" w:hAnsi="宋体"/>
                <w:color w:val="000000"/>
                <w:kern w:val="0"/>
                <w:szCs w:val="21"/>
              </w:rPr>
              <w:t>编</w:t>
            </w:r>
            <w:r>
              <w:rPr>
                <w:rFonts w:hAnsi="宋体"/>
                <w:color w:val="000000"/>
                <w:kern w:val="0"/>
                <w:szCs w:val="21"/>
              </w:rPr>
              <w:t>号：</w:t>
            </w:r>
            <w:r>
              <w:rPr>
                <w:color w:val="000000"/>
                <w:kern w:val="0"/>
                <w:szCs w:val="21"/>
              </w:rPr>
              <w:t xml:space="preserve">       </w:t>
            </w:r>
            <w:r>
              <w:rPr>
                <w:rFonts w:hint="eastAsia" w:hAnsi="宋体" w:cs="宋体"/>
                <w:color w:val="000000"/>
                <w:kern w:val="0"/>
              </w:rPr>
              <w:t>；身份证号：</w:t>
            </w:r>
            <w:r>
              <w:rPr>
                <w:color w:val="000000"/>
                <w:kern w:val="0"/>
                <w:szCs w:val="21"/>
              </w:rPr>
              <w:t xml:space="preserve">        </w:t>
            </w:r>
            <w:r>
              <w:rPr>
                <w:rFonts w:hAnsi="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105"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rFonts w:hint="eastAsia" w:hAnsi="宋体"/>
                <w:color w:val="000000"/>
                <w:kern w:val="0"/>
                <w:szCs w:val="21"/>
              </w:rPr>
            </w:pPr>
            <w:r>
              <w:rPr>
                <w:rFonts w:hint="eastAsia" w:hAnsi="宋体"/>
                <w:color w:val="000000"/>
                <w:kern w:val="0"/>
                <w:szCs w:val="21"/>
              </w:rPr>
              <w:t xml:space="preserve">专职安全生产管理人员       </w:t>
            </w:r>
          </w:p>
        </w:tc>
        <w:tc>
          <w:tcPr>
            <w:tcW w:w="5969" w:type="dxa"/>
            <w:gridSpan w:val="3"/>
            <w:noWrap w:val="0"/>
            <w:tcMar>
              <w:top w:w="0" w:type="dxa"/>
              <w:left w:w="75" w:type="dxa"/>
              <w:bottom w:w="0" w:type="dxa"/>
              <w:right w:w="0" w:type="dxa"/>
            </w:tcMar>
            <w:vAlign w:val="center"/>
          </w:tcPr>
          <w:p>
            <w:pPr>
              <w:widowControl/>
              <w:wordWrap w:val="0"/>
              <w:spacing w:line="300" w:lineRule="exact"/>
              <w:ind w:right="420"/>
              <w:rPr>
                <w:rFonts w:hint="eastAsia" w:hAnsi="宋体"/>
                <w:color w:val="000000"/>
                <w:kern w:val="0"/>
                <w:szCs w:val="21"/>
              </w:rPr>
            </w:pPr>
            <w:r>
              <w:rPr>
                <w:rFonts w:hint="eastAsia" w:hAnsi="宋体"/>
                <w:color w:val="000000"/>
                <w:kern w:val="0"/>
                <w:szCs w:val="21"/>
              </w:rPr>
              <w:t>（</w:t>
            </w:r>
            <w:r>
              <w:rPr>
                <w:rFonts w:hint="eastAsia" w:hAnsi="宋体"/>
                <w:color w:val="000000"/>
                <w:szCs w:val="21"/>
              </w:rPr>
              <w:t xml:space="preserve">安全生产考核合格证书编号：      </w:t>
            </w:r>
            <w:r>
              <w:rPr>
                <w:rFonts w:hint="eastAsia" w:hAnsi="宋体" w:cs="宋体"/>
                <w:color w:val="000000"/>
                <w:kern w:val="0"/>
              </w:rPr>
              <w:t>；身份证号：</w:t>
            </w:r>
            <w:r>
              <w:rPr>
                <w:color w:val="000000"/>
                <w:kern w:val="0"/>
                <w:szCs w:val="21"/>
              </w:rPr>
              <w:t xml:space="preserve">       </w:t>
            </w:r>
            <w:r>
              <w:rPr>
                <w:rFonts w:hint="eastAsia" w:hAnsi="宋体"/>
                <w:color w:val="000000"/>
                <w:kern w:val="0"/>
                <w:szCs w:val="21"/>
              </w:rPr>
              <w:t>）【全部拟投入专职安全生产管理人员】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105"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rFonts w:hint="eastAsia" w:hAnsi="宋体"/>
                <w:color w:val="000000"/>
                <w:kern w:val="0"/>
                <w:szCs w:val="21"/>
              </w:rPr>
            </w:pPr>
            <w:r>
              <w:rPr>
                <w:rFonts w:hint="eastAsia" w:hAnsi="宋体"/>
                <w:color w:val="000000"/>
                <w:kern w:val="0"/>
                <w:szCs w:val="21"/>
              </w:rPr>
              <w:t>投标所用企业业绩</w:t>
            </w:r>
            <w:r>
              <w:rPr>
                <w:rFonts w:hint="eastAsia" w:hAnsi="宋体" w:cs="宋体"/>
                <w:color w:val="000000"/>
                <w:kern w:val="0"/>
              </w:rPr>
              <w:t>（</w:t>
            </w:r>
            <w:r>
              <w:rPr>
                <w:rFonts w:hAnsi="宋体" w:cs="宋体"/>
                <w:color w:val="000000"/>
                <w:kern w:val="0"/>
              </w:rPr>
              <w:t>包括资格要求和加分业绩）</w:t>
            </w:r>
          </w:p>
        </w:tc>
        <w:tc>
          <w:tcPr>
            <w:tcW w:w="5969" w:type="dxa"/>
            <w:gridSpan w:val="3"/>
            <w:noWrap w:val="0"/>
            <w:tcMar>
              <w:top w:w="0" w:type="dxa"/>
              <w:left w:w="75" w:type="dxa"/>
              <w:bottom w:w="0" w:type="dxa"/>
              <w:right w:w="0" w:type="dxa"/>
            </w:tcMar>
            <w:vAlign w:val="center"/>
          </w:tcPr>
          <w:p>
            <w:pPr>
              <w:widowControl/>
              <w:spacing w:line="300" w:lineRule="exact"/>
              <w:jc w:val="right"/>
              <w:rPr>
                <w:rFonts w:hAns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105"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rFonts w:hint="eastAsia" w:hAnsi="宋体"/>
                <w:color w:val="000000"/>
                <w:kern w:val="0"/>
                <w:szCs w:val="21"/>
              </w:rPr>
            </w:pPr>
            <w:r>
              <w:rPr>
                <w:rFonts w:hint="eastAsia" w:hAnsi="宋体"/>
                <w:color w:val="000000"/>
                <w:kern w:val="0"/>
                <w:szCs w:val="21"/>
              </w:rPr>
              <w:t>投标所用企业奖项</w:t>
            </w:r>
            <w:r>
              <w:rPr>
                <w:rFonts w:hint="eastAsia" w:hAnsi="宋体" w:cs="宋体"/>
                <w:color w:val="000000"/>
                <w:kern w:val="0"/>
              </w:rPr>
              <w:t>（</w:t>
            </w:r>
            <w:r>
              <w:rPr>
                <w:rFonts w:hAnsi="宋体" w:cs="宋体"/>
                <w:color w:val="000000"/>
                <w:kern w:val="0"/>
              </w:rPr>
              <w:t>包括资格要求和加分</w:t>
            </w:r>
            <w:r>
              <w:rPr>
                <w:rFonts w:hint="eastAsia" w:hAnsi="宋体" w:cs="宋体"/>
                <w:color w:val="000000"/>
                <w:kern w:val="0"/>
              </w:rPr>
              <w:t>奖</w:t>
            </w:r>
            <w:r>
              <w:rPr>
                <w:rFonts w:hAnsi="宋体" w:cs="宋体"/>
                <w:color w:val="000000"/>
                <w:kern w:val="0"/>
              </w:rPr>
              <w:t>项）</w:t>
            </w:r>
          </w:p>
        </w:tc>
        <w:tc>
          <w:tcPr>
            <w:tcW w:w="5969" w:type="dxa"/>
            <w:gridSpan w:val="3"/>
            <w:noWrap w:val="0"/>
            <w:tcMar>
              <w:top w:w="0" w:type="dxa"/>
              <w:left w:w="75" w:type="dxa"/>
              <w:bottom w:w="0" w:type="dxa"/>
              <w:right w:w="0" w:type="dxa"/>
            </w:tcMar>
            <w:vAlign w:val="center"/>
          </w:tcPr>
          <w:p>
            <w:pPr>
              <w:widowControl/>
              <w:spacing w:line="300" w:lineRule="exact"/>
              <w:jc w:val="right"/>
              <w:rPr>
                <w:rFonts w:hAns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restart"/>
            <w:noWrap w:val="0"/>
            <w:vAlign w:val="center"/>
          </w:tcPr>
          <w:p>
            <w:pPr>
              <w:widowControl/>
              <w:spacing w:line="300" w:lineRule="exact"/>
              <w:jc w:val="center"/>
              <w:rPr>
                <w:color w:val="000000"/>
                <w:kern w:val="0"/>
                <w:szCs w:val="21"/>
              </w:rPr>
            </w:pPr>
            <w:r>
              <w:rPr>
                <w:rFonts w:hAnsi="宋体"/>
                <w:color w:val="000000"/>
                <w:kern w:val="0"/>
                <w:szCs w:val="21"/>
              </w:rPr>
              <w:t>第二中标</w:t>
            </w:r>
          </w:p>
          <w:p>
            <w:pPr>
              <w:widowControl/>
              <w:spacing w:line="300" w:lineRule="exact"/>
              <w:jc w:val="center"/>
              <w:rPr>
                <w:color w:val="000000"/>
                <w:kern w:val="0"/>
                <w:szCs w:val="21"/>
              </w:rPr>
            </w:pPr>
            <w:r>
              <w:rPr>
                <w:rFonts w:hAnsi="宋体"/>
                <w:color w:val="000000"/>
                <w:kern w:val="0"/>
                <w:szCs w:val="21"/>
              </w:rPr>
              <w:t>候选人</w:t>
            </w:r>
          </w:p>
        </w:tc>
        <w:tc>
          <w:tcPr>
            <w:tcW w:w="1771" w:type="dxa"/>
            <w:noWrap w:val="0"/>
            <w:tcMar>
              <w:top w:w="0" w:type="dxa"/>
              <w:left w:w="75" w:type="dxa"/>
              <w:bottom w:w="0" w:type="dxa"/>
              <w:right w:w="0" w:type="dxa"/>
            </w:tcMar>
            <w:vAlign w:val="center"/>
          </w:tcPr>
          <w:p>
            <w:pPr>
              <w:widowControl/>
              <w:spacing w:line="300" w:lineRule="exact"/>
              <w:jc w:val="center"/>
              <w:rPr>
                <w:color w:val="000000"/>
                <w:kern w:val="0"/>
                <w:szCs w:val="21"/>
              </w:rPr>
            </w:pPr>
            <w:r>
              <w:rPr>
                <w:rFonts w:hAnsi="宋体"/>
                <w:color w:val="000000"/>
                <w:kern w:val="0"/>
                <w:szCs w:val="21"/>
              </w:rPr>
              <w:t>单位名称</w:t>
            </w:r>
          </w:p>
        </w:tc>
        <w:tc>
          <w:tcPr>
            <w:tcW w:w="5969" w:type="dxa"/>
            <w:gridSpan w:val="3"/>
            <w:noWrap w:val="0"/>
            <w:tcMar>
              <w:top w:w="0" w:type="dxa"/>
              <w:left w:w="75" w:type="dxa"/>
              <w:bottom w:w="0" w:type="dxa"/>
              <w:right w:w="0" w:type="dxa"/>
            </w:tcMar>
            <w:vAlign w:val="center"/>
          </w:tcPr>
          <w:p>
            <w:pPr>
              <w:widowControl/>
              <w:spacing w:line="300" w:lineRule="exact"/>
              <w:jc w:val="left"/>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color w:val="000000"/>
                <w:kern w:val="0"/>
                <w:szCs w:val="21"/>
              </w:rPr>
            </w:pPr>
            <w:r>
              <w:rPr>
                <w:rFonts w:hAnsi="宋体"/>
                <w:color w:val="000000"/>
                <w:kern w:val="0"/>
                <w:szCs w:val="21"/>
              </w:rPr>
              <w:t>投标报价</w:t>
            </w:r>
          </w:p>
        </w:tc>
        <w:tc>
          <w:tcPr>
            <w:tcW w:w="5969" w:type="dxa"/>
            <w:gridSpan w:val="3"/>
            <w:noWrap w:val="0"/>
            <w:tcMar>
              <w:top w:w="0" w:type="dxa"/>
              <w:left w:w="75" w:type="dxa"/>
              <w:bottom w:w="0" w:type="dxa"/>
              <w:right w:w="0" w:type="dxa"/>
            </w:tcMar>
            <w:vAlign w:val="center"/>
          </w:tcPr>
          <w:p>
            <w:pPr>
              <w:widowControl/>
              <w:spacing w:line="300" w:lineRule="exact"/>
              <w:jc w:val="left"/>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color w:val="000000"/>
                <w:kern w:val="0"/>
                <w:szCs w:val="21"/>
              </w:rPr>
            </w:pPr>
            <w:r>
              <w:rPr>
                <w:rFonts w:hAnsi="宋体"/>
                <w:color w:val="000000"/>
                <w:kern w:val="0"/>
                <w:szCs w:val="21"/>
              </w:rPr>
              <w:t>工期</w:t>
            </w:r>
          </w:p>
        </w:tc>
        <w:tc>
          <w:tcPr>
            <w:tcW w:w="1523" w:type="dxa"/>
            <w:noWrap w:val="0"/>
            <w:tcMar>
              <w:top w:w="0" w:type="dxa"/>
              <w:left w:w="75" w:type="dxa"/>
              <w:bottom w:w="0" w:type="dxa"/>
              <w:right w:w="0" w:type="dxa"/>
            </w:tcMar>
            <w:vAlign w:val="center"/>
          </w:tcPr>
          <w:p>
            <w:pPr>
              <w:widowControl/>
              <w:spacing w:line="300" w:lineRule="exact"/>
              <w:jc w:val="left"/>
              <w:rPr>
                <w:color w:val="000000"/>
                <w:kern w:val="0"/>
                <w:szCs w:val="21"/>
              </w:rPr>
            </w:pPr>
          </w:p>
        </w:tc>
        <w:tc>
          <w:tcPr>
            <w:tcW w:w="1440" w:type="dxa"/>
            <w:noWrap w:val="0"/>
            <w:tcMar>
              <w:top w:w="0" w:type="dxa"/>
              <w:left w:w="75" w:type="dxa"/>
              <w:bottom w:w="0" w:type="dxa"/>
              <w:right w:w="0" w:type="dxa"/>
            </w:tcMar>
            <w:vAlign w:val="center"/>
          </w:tcPr>
          <w:p>
            <w:pPr>
              <w:widowControl/>
              <w:spacing w:line="300" w:lineRule="exact"/>
              <w:jc w:val="center"/>
              <w:rPr>
                <w:color w:val="000000"/>
                <w:kern w:val="0"/>
                <w:szCs w:val="21"/>
              </w:rPr>
            </w:pPr>
            <w:r>
              <w:rPr>
                <w:rFonts w:hAnsi="宋体"/>
                <w:color w:val="000000"/>
                <w:kern w:val="0"/>
                <w:szCs w:val="21"/>
              </w:rPr>
              <w:t>质量等级</w:t>
            </w:r>
          </w:p>
        </w:tc>
        <w:tc>
          <w:tcPr>
            <w:tcW w:w="3006" w:type="dxa"/>
            <w:noWrap w:val="0"/>
            <w:tcMar>
              <w:top w:w="0" w:type="dxa"/>
              <w:left w:w="75" w:type="dxa"/>
              <w:bottom w:w="0" w:type="dxa"/>
              <w:right w:w="0" w:type="dxa"/>
            </w:tcMar>
            <w:vAlign w:val="center"/>
          </w:tcPr>
          <w:p>
            <w:pPr>
              <w:widowControl/>
              <w:spacing w:line="300" w:lineRule="exact"/>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13"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rFonts w:hint="eastAsia" w:hAnsi="宋体"/>
                <w:color w:val="000000"/>
                <w:kern w:val="0"/>
                <w:szCs w:val="21"/>
              </w:rPr>
            </w:pPr>
            <w:r>
              <w:rPr>
                <w:rFonts w:hint="eastAsia" w:hAnsi="宋体"/>
                <w:color w:val="000000"/>
                <w:kern w:val="0"/>
                <w:szCs w:val="21"/>
              </w:rPr>
              <w:t>工程总承包项目经理</w:t>
            </w:r>
          </w:p>
        </w:tc>
        <w:tc>
          <w:tcPr>
            <w:tcW w:w="5969" w:type="dxa"/>
            <w:gridSpan w:val="3"/>
            <w:noWrap w:val="0"/>
            <w:tcMar>
              <w:top w:w="0" w:type="dxa"/>
              <w:left w:w="75" w:type="dxa"/>
              <w:bottom w:w="0" w:type="dxa"/>
              <w:right w:w="0" w:type="dxa"/>
            </w:tcMar>
            <w:vAlign w:val="center"/>
          </w:tcPr>
          <w:p>
            <w:pPr>
              <w:widowControl/>
              <w:spacing w:line="300" w:lineRule="exact"/>
              <w:jc w:val="center"/>
              <w:rPr>
                <w:rFonts w:hint="eastAsia" w:hAnsi="宋体"/>
                <w:color w:val="000000"/>
                <w:kern w:val="0"/>
                <w:szCs w:val="21"/>
              </w:rPr>
            </w:pPr>
            <w:r>
              <w:rPr>
                <w:rFonts w:hAnsi="宋体"/>
                <w:color w:val="000000"/>
                <w:kern w:val="0"/>
                <w:szCs w:val="21"/>
              </w:rPr>
              <w:t>（注册</w:t>
            </w:r>
            <w:r>
              <w:rPr>
                <w:rFonts w:hint="eastAsia" w:hAnsi="宋体"/>
                <w:color w:val="000000"/>
                <w:kern w:val="0"/>
                <w:szCs w:val="21"/>
              </w:rPr>
              <w:t>编</w:t>
            </w:r>
            <w:r>
              <w:rPr>
                <w:rFonts w:hAnsi="宋体"/>
                <w:color w:val="000000"/>
                <w:kern w:val="0"/>
                <w:szCs w:val="21"/>
              </w:rPr>
              <w:t>号：</w:t>
            </w:r>
            <w:r>
              <w:rPr>
                <w:color w:val="000000"/>
                <w:kern w:val="0"/>
                <w:szCs w:val="21"/>
              </w:rPr>
              <w:t xml:space="preserve">    </w:t>
            </w:r>
            <w:r>
              <w:rPr>
                <w:rFonts w:hint="eastAsia" w:hAnsi="宋体" w:cs="宋体"/>
                <w:color w:val="000000"/>
                <w:kern w:val="0"/>
              </w:rPr>
              <w:t>；身份证号：</w:t>
            </w:r>
            <w:r>
              <w:rPr>
                <w:color w:val="000000"/>
                <w:kern w:val="0"/>
                <w:szCs w:val="21"/>
              </w:rPr>
              <w:t xml:space="preserve">    </w:t>
            </w:r>
            <w:r>
              <w:rPr>
                <w:rFonts w:hAnsi="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rFonts w:hAnsi="宋体"/>
                <w:color w:val="000000"/>
                <w:kern w:val="0"/>
                <w:szCs w:val="21"/>
              </w:rPr>
            </w:pPr>
            <w:r>
              <w:rPr>
                <w:rFonts w:hint="eastAsia" w:hAnsi="宋体"/>
                <w:color w:val="000000"/>
                <w:kern w:val="0"/>
                <w:szCs w:val="21"/>
              </w:rPr>
              <w:t>项目设计负责人</w:t>
            </w:r>
          </w:p>
        </w:tc>
        <w:tc>
          <w:tcPr>
            <w:tcW w:w="5969" w:type="dxa"/>
            <w:gridSpan w:val="3"/>
            <w:noWrap w:val="0"/>
            <w:tcMar>
              <w:top w:w="0" w:type="dxa"/>
              <w:left w:w="75" w:type="dxa"/>
              <w:bottom w:w="0" w:type="dxa"/>
              <w:right w:w="0" w:type="dxa"/>
            </w:tcMar>
            <w:vAlign w:val="center"/>
          </w:tcPr>
          <w:p>
            <w:pPr>
              <w:widowControl/>
              <w:spacing w:line="300" w:lineRule="exact"/>
              <w:jc w:val="center"/>
              <w:rPr>
                <w:color w:val="000000"/>
                <w:kern w:val="0"/>
                <w:szCs w:val="21"/>
              </w:rPr>
            </w:pPr>
            <w:r>
              <w:rPr>
                <w:rFonts w:hAnsi="宋体"/>
                <w:color w:val="000000"/>
                <w:kern w:val="0"/>
                <w:szCs w:val="21"/>
              </w:rPr>
              <w:t>（注册</w:t>
            </w:r>
            <w:r>
              <w:rPr>
                <w:rFonts w:hint="eastAsia" w:hAnsi="宋体"/>
                <w:color w:val="000000"/>
                <w:kern w:val="0"/>
                <w:szCs w:val="21"/>
              </w:rPr>
              <w:t>编</w:t>
            </w:r>
            <w:r>
              <w:rPr>
                <w:rFonts w:hAnsi="宋体"/>
                <w:color w:val="000000"/>
                <w:kern w:val="0"/>
                <w:szCs w:val="21"/>
              </w:rPr>
              <w:t>号：</w:t>
            </w:r>
            <w:r>
              <w:rPr>
                <w:color w:val="000000"/>
                <w:kern w:val="0"/>
                <w:szCs w:val="21"/>
              </w:rPr>
              <w:t xml:space="preserve">    </w:t>
            </w:r>
            <w:r>
              <w:rPr>
                <w:rFonts w:hint="eastAsia" w:hAnsi="宋体" w:cs="宋体"/>
                <w:color w:val="000000"/>
                <w:kern w:val="0"/>
              </w:rPr>
              <w:t>；身份证号：</w:t>
            </w:r>
            <w:r>
              <w:rPr>
                <w:color w:val="000000"/>
                <w:kern w:val="0"/>
                <w:szCs w:val="21"/>
              </w:rPr>
              <w:t xml:space="preserve">    </w:t>
            </w:r>
            <w:r>
              <w:rPr>
                <w:rFonts w:hAnsi="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color w:val="000000"/>
                <w:kern w:val="0"/>
                <w:szCs w:val="21"/>
              </w:rPr>
            </w:pPr>
            <w:r>
              <w:rPr>
                <w:rFonts w:hint="eastAsia" w:hAnsi="宋体"/>
                <w:color w:val="000000"/>
                <w:kern w:val="0"/>
                <w:szCs w:val="21"/>
              </w:rPr>
              <w:t>施工项目经理</w:t>
            </w:r>
          </w:p>
        </w:tc>
        <w:tc>
          <w:tcPr>
            <w:tcW w:w="5969" w:type="dxa"/>
            <w:gridSpan w:val="3"/>
            <w:noWrap w:val="0"/>
            <w:tcMar>
              <w:top w:w="0" w:type="dxa"/>
              <w:left w:w="75" w:type="dxa"/>
              <w:bottom w:w="0" w:type="dxa"/>
              <w:right w:w="0" w:type="dxa"/>
            </w:tcMar>
            <w:vAlign w:val="center"/>
          </w:tcPr>
          <w:p>
            <w:pPr>
              <w:widowControl/>
              <w:spacing w:line="300" w:lineRule="exact"/>
              <w:jc w:val="right"/>
              <w:rPr>
                <w:color w:val="000000"/>
                <w:kern w:val="0"/>
                <w:szCs w:val="21"/>
              </w:rPr>
            </w:pPr>
            <w:r>
              <w:rPr>
                <w:rFonts w:hAnsi="宋体"/>
                <w:color w:val="000000"/>
                <w:kern w:val="0"/>
                <w:szCs w:val="21"/>
              </w:rPr>
              <w:t>（注册</w:t>
            </w:r>
            <w:r>
              <w:rPr>
                <w:rFonts w:hint="eastAsia" w:hAnsi="宋体"/>
                <w:color w:val="000000"/>
                <w:kern w:val="0"/>
                <w:szCs w:val="21"/>
              </w:rPr>
              <w:t>编</w:t>
            </w:r>
            <w:r>
              <w:rPr>
                <w:rFonts w:hAnsi="宋体"/>
                <w:color w:val="000000"/>
                <w:kern w:val="0"/>
                <w:szCs w:val="21"/>
              </w:rPr>
              <w:t>号：</w:t>
            </w:r>
            <w:r>
              <w:rPr>
                <w:color w:val="000000"/>
                <w:kern w:val="0"/>
                <w:szCs w:val="21"/>
              </w:rPr>
              <w:t xml:space="preserve">        </w:t>
            </w:r>
            <w:r>
              <w:rPr>
                <w:rFonts w:hint="eastAsia" w:hAnsi="宋体" w:cs="宋体"/>
                <w:color w:val="000000"/>
                <w:kern w:val="0"/>
              </w:rPr>
              <w:t>；身份证号：</w:t>
            </w:r>
            <w:r>
              <w:rPr>
                <w:color w:val="000000"/>
                <w:kern w:val="0"/>
                <w:szCs w:val="21"/>
              </w:rPr>
              <w:t xml:space="preserve">        </w:t>
            </w:r>
            <w:r>
              <w:rPr>
                <w:rFonts w:hAnsi="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rFonts w:hint="eastAsia" w:hAnsi="宋体"/>
                <w:color w:val="000000"/>
                <w:kern w:val="0"/>
                <w:szCs w:val="21"/>
              </w:rPr>
            </w:pPr>
            <w:r>
              <w:rPr>
                <w:rFonts w:hint="eastAsia" w:hAnsi="宋体"/>
                <w:color w:val="000000"/>
                <w:kern w:val="0"/>
                <w:szCs w:val="21"/>
              </w:rPr>
              <w:t xml:space="preserve">专职安全生产管理人员            </w:t>
            </w:r>
          </w:p>
        </w:tc>
        <w:tc>
          <w:tcPr>
            <w:tcW w:w="5969" w:type="dxa"/>
            <w:gridSpan w:val="3"/>
            <w:noWrap w:val="0"/>
            <w:tcMar>
              <w:top w:w="0" w:type="dxa"/>
              <w:left w:w="75" w:type="dxa"/>
              <w:bottom w:w="0" w:type="dxa"/>
              <w:right w:w="0" w:type="dxa"/>
            </w:tcMar>
            <w:vAlign w:val="center"/>
          </w:tcPr>
          <w:p>
            <w:pPr>
              <w:widowControl/>
              <w:wordWrap w:val="0"/>
              <w:spacing w:line="300" w:lineRule="exact"/>
              <w:ind w:right="420"/>
              <w:rPr>
                <w:rFonts w:hint="eastAsia" w:hAnsi="宋体"/>
                <w:color w:val="000000"/>
                <w:kern w:val="0"/>
                <w:szCs w:val="21"/>
              </w:rPr>
            </w:pPr>
            <w:r>
              <w:rPr>
                <w:rFonts w:hint="eastAsia" w:hAnsi="宋体"/>
                <w:color w:val="000000"/>
                <w:kern w:val="0"/>
                <w:szCs w:val="21"/>
              </w:rPr>
              <w:t>（</w:t>
            </w:r>
            <w:r>
              <w:rPr>
                <w:rFonts w:hint="eastAsia" w:hAnsi="宋体"/>
                <w:color w:val="000000"/>
                <w:szCs w:val="21"/>
              </w:rPr>
              <w:t xml:space="preserve">安全生产考核合格证书编号：      </w:t>
            </w:r>
            <w:r>
              <w:rPr>
                <w:rFonts w:hint="eastAsia" w:hAnsi="宋体" w:cs="宋体"/>
                <w:color w:val="000000"/>
                <w:kern w:val="0"/>
              </w:rPr>
              <w:t>；身份证号：</w:t>
            </w:r>
            <w:r>
              <w:rPr>
                <w:color w:val="000000"/>
                <w:kern w:val="0"/>
                <w:szCs w:val="21"/>
              </w:rPr>
              <w:t xml:space="preserve">       </w:t>
            </w:r>
            <w:r>
              <w:rPr>
                <w:rFonts w:hint="eastAsia" w:hAnsi="宋体"/>
                <w:color w:val="000000"/>
                <w:kern w:val="0"/>
                <w:szCs w:val="21"/>
              </w:rPr>
              <w:t>）【全部拟投入专职安全生产管理人员】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rFonts w:hint="eastAsia" w:hAnsi="宋体"/>
                <w:color w:val="000000"/>
                <w:kern w:val="0"/>
                <w:szCs w:val="21"/>
              </w:rPr>
            </w:pPr>
            <w:r>
              <w:rPr>
                <w:rFonts w:hint="eastAsia" w:hAnsi="宋体"/>
                <w:color w:val="000000"/>
                <w:kern w:val="0"/>
                <w:szCs w:val="21"/>
              </w:rPr>
              <w:t>投标所用企业业绩</w:t>
            </w:r>
            <w:r>
              <w:rPr>
                <w:rFonts w:hint="eastAsia" w:hAnsi="宋体" w:cs="宋体"/>
                <w:color w:val="000000"/>
                <w:kern w:val="0"/>
              </w:rPr>
              <w:t>（</w:t>
            </w:r>
            <w:r>
              <w:rPr>
                <w:rFonts w:hAnsi="宋体" w:cs="宋体"/>
                <w:color w:val="000000"/>
                <w:kern w:val="0"/>
              </w:rPr>
              <w:t>包括资格要求和加分业绩）</w:t>
            </w:r>
          </w:p>
        </w:tc>
        <w:tc>
          <w:tcPr>
            <w:tcW w:w="5969" w:type="dxa"/>
            <w:gridSpan w:val="3"/>
            <w:noWrap w:val="0"/>
            <w:tcMar>
              <w:top w:w="0" w:type="dxa"/>
              <w:left w:w="75" w:type="dxa"/>
              <w:bottom w:w="0" w:type="dxa"/>
              <w:right w:w="0" w:type="dxa"/>
            </w:tcMar>
            <w:vAlign w:val="center"/>
          </w:tcPr>
          <w:p>
            <w:pPr>
              <w:widowControl/>
              <w:wordWrap w:val="0"/>
              <w:spacing w:line="300" w:lineRule="exact"/>
              <w:ind w:right="420"/>
              <w:rPr>
                <w:rFonts w:hint="eastAsia" w:hAns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rFonts w:hint="eastAsia" w:hAnsi="宋体"/>
                <w:color w:val="000000"/>
                <w:kern w:val="0"/>
                <w:szCs w:val="21"/>
              </w:rPr>
            </w:pPr>
            <w:r>
              <w:rPr>
                <w:rFonts w:hint="eastAsia" w:hAnsi="宋体"/>
                <w:color w:val="000000"/>
                <w:kern w:val="0"/>
                <w:szCs w:val="21"/>
              </w:rPr>
              <w:t>投标所用企业奖项</w:t>
            </w:r>
            <w:r>
              <w:rPr>
                <w:rFonts w:hint="eastAsia" w:hAnsi="宋体" w:cs="宋体"/>
                <w:color w:val="000000"/>
                <w:kern w:val="0"/>
              </w:rPr>
              <w:t>（</w:t>
            </w:r>
            <w:r>
              <w:rPr>
                <w:rFonts w:hAnsi="宋体" w:cs="宋体"/>
                <w:color w:val="000000"/>
                <w:kern w:val="0"/>
              </w:rPr>
              <w:t>包括资格要求和加分</w:t>
            </w:r>
            <w:r>
              <w:rPr>
                <w:rFonts w:hint="eastAsia" w:hAnsi="宋体" w:cs="宋体"/>
                <w:color w:val="000000"/>
                <w:kern w:val="0"/>
              </w:rPr>
              <w:t>奖</w:t>
            </w:r>
            <w:r>
              <w:rPr>
                <w:rFonts w:hAnsi="宋体" w:cs="宋体"/>
                <w:color w:val="000000"/>
                <w:kern w:val="0"/>
              </w:rPr>
              <w:t>项）</w:t>
            </w:r>
          </w:p>
        </w:tc>
        <w:tc>
          <w:tcPr>
            <w:tcW w:w="5969" w:type="dxa"/>
            <w:gridSpan w:val="3"/>
            <w:noWrap w:val="0"/>
            <w:tcMar>
              <w:top w:w="0" w:type="dxa"/>
              <w:left w:w="75" w:type="dxa"/>
              <w:bottom w:w="0" w:type="dxa"/>
              <w:right w:w="0" w:type="dxa"/>
            </w:tcMar>
            <w:vAlign w:val="center"/>
          </w:tcPr>
          <w:p>
            <w:pPr>
              <w:widowControl/>
              <w:spacing w:line="300" w:lineRule="exact"/>
              <w:jc w:val="right"/>
              <w:rPr>
                <w:rFonts w:hAns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restart"/>
            <w:noWrap w:val="0"/>
            <w:vAlign w:val="center"/>
          </w:tcPr>
          <w:p>
            <w:pPr>
              <w:widowControl/>
              <w:spacing w:line="300" w:lineRule="exact"/>
              <w:jc w:val="center"/>
              <w:rPr>
                <w:color w:val="000000"/>
                <w:kern w:val="0"/>
                <w:szCs w:val="21"/>
              </w:rPr>
            </w:pPr>
            <w:r>
              <w:rPr>
                <w:rFonts w:hAnsi="宋体"/>
                <w:color w:val="000000"/>
                <w:kern w:val="0"/>
                <w:szCs w:val="21"/>
              </w:rPr>
              <w:t>第三中标</w:t>
            </w:r>
          </w:p>
          <w:p>
            <w:pPr>
              <w:widowControl/>
              <w:spacing w:line="300" w:lineRule="exact"/>
              <w:jc w:val="center"/>
              <w:rPr>
                <w:color w:val="000000"/>
                <w:kern w:val="0"/>
                <w:szCs w:val="21"/>
              </w:rPr>
            </w:pPr>
            <w:r>
              <w:rPr>
                <w:rFonts w:hAnsi="宋体"/>
                <w:color w:val="000000"/>
                <w:kern w:val="0"/>
                <w:szCs w:val="21"/>
              </w:rPr>
              <w:t>候选人</w:t>
            </w:r>
          </w:p>
        </w:tc>
        <w:tc>
          <w:tcPr>
            <w:tcW w:w="1771" w:type="dxa"/>
            <w:noWrap w:val="0"/>
            <w:tcMar>
              <w:top w:w="0" w:type="dxa"/>
              <w:left w:w="75" w:type="dxa"/>
              <w:bottom w:w="0" w:type="dxa"/>
              <w:right w:w="0" w:type="dxa"/>
            </w:tcMar>
            <w:vAlign w:val="center"/>
          </w:tcPr>
          <w:p>
            <w:pPr>
              <w:widowControl/>
              <w:spacing w:line="300" w:lineRule="exact"/>
              <w:jc w:val="center"/>
              <w:rPr>
                <w:color w:val="000000"/>
                <w:kern w:val="0"/>
                <w:szCs w:val="21"/>
              </w:rPr>
            </w:pPr>
            <w:r>
              <w:rPr>
                <w:rFonts w:hAnsi="宋体"/>
                <w:color w:val="000000"/>
                <w:kern w:val="0"/>
                <w:szCs w:val="21"/>
              </w:rPr>
              <w:t>单位名称</w:t>
            </w:r>
          </w:p>
        </w:tc>
        <w:tc>
          <w:tcPr>
            <w:tcW w:w="5969" w:type="dxa"/>
            <w:gridSpan w:val="3"/>
            <w:noWrap w:val="0"/>
            <w:tcMar>
              <w:top w:w="0" w:type="dxa"/>
              <w:left w:w="75" w:type="dxa"/>
              <w:bottom w:w="0" w:type="dxa"/>
              <w:right w:w="0" w:type="dxa"/>
            </w:tcMar>
            <w:vAlign w:val="center"/>
          </w:tcPr>
          <w:p>
            <w:pPr>
              <w:widowControl/>
              <w:spacing w:line="300" w:lineRule="exact"/>
              <w:jc w:val="left"/>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color w:val="000000"/>
                <w:kern w:val="0"/>
                <w:szCs w:val="21"/>
              </w:rPr>
            </w:pPr>
            <w:r>
              <w:rPr>
                <w:rFonts w:hAnsi="宋体"/>
                <w:color w:val="000000"/>
                <w:kern w:val="0"/>
                <w:szCs w:val="21"/>
              </w:rPr>
              <w:t>投标报价</w:t>
            </w:r>
          </w:p>
        </w:tc>
        <w:tc>
          <w:tcPr>
            <w:tcW w:w="5969" w:type="dxa"/>
            <w:gridSpan w:val="3"/>
            <w:noWrap w:val="0"/>
            <w:tcMar>
              <w:top w:w="0" w:type="dxa"/>
              <w:left w:w="75" w:type="dxa"/>
              <w:bottom w:w="0" w:type="dxa"/>
              <w:right w:w="0" w:type="dxa"/>
            </w:tcMar>
            <w:vAlign w:val="center"/>
          </w:tcPr>
          <w:p>
            <w:pPr>
              <w:widowControl/>
              <w:spacing w:line="300" w:lineRule="exact"/>
              <w:jc w:val="left"/>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color w:val="000000"/>
                <w:kern w:val="0"/>
                <w:szCs w:val="21"/>
              </w:rPr>
            </w:pPr>
            <w:r>
              <w:rPr>
                <w:rFonts w:hAnsi="宋体"/>
                <w:color w:val="000000"/>
                <w:kern w:val="0"/>
                <w:szCs w:val="21"/>
              </w:rPr>
              <w:t>工期</w:t>
            </w:r>
          </w:p>
        </w:tc>
        <w:tc>
          <w:tcPr>
            <w:tcW w:w="1523" w:type="dxa"/>
            <w:noWrap w:val="0"/>
            <w:tcMar>
              <w:top w:w="0" w:type="dxa"/>
              <w:left w:w="75" w:type="dxa"/>
              <w:bottom w:w="0" w:type="dxa"/>
              <w:right w:w="0" w:type="dxa"/>
            </w:tcMar>
            <w:vAlign w:val="center"/>
          </w:tcPr>
          <w:p>
            <w:pPr>
              <w:widowControl/>
              <w:spacing w:line="300" w:lineRule="exact"/>
              <w:jc w:val="left"/>
              <w:rPr>
                <w:color w:val="000000"/>
                <w:kern w:val="0"/>
                <w:szCs w:val="21"/>
              </w:rPr>
            </w:pPr>
          </w:p>
        </w:tc>
        <w:tc>
          <w:tcPr>
            <w:tcW w:w="1440" w:type="dxa"/>
            <w:noWrap w:val="0"/>
            <w:tcMar>
              <w:top w:w="0" w:type="dxa"/>
              <w:left w:w="75" w:type="dxa"/>
              <w:bottom w:w="0" w:type="dxa"/>
              <w:right w:w="0" w:type="dxa"/>
            </w:tcMar>
            <w:vAlign w:val="center"/>
          </w:tcPr>
          <w:p>
            <w:pPr>
              <w:widowControl/>
              <w:spacing w:line="300" w:lineRule="exact"/>
              <w:jc w:val="center"/>
              <w:rPr>
                <w:color w:val="000000"/>
                <w:kern w:val="0"/>
                <w:szCs w:val="21"/>
              </w:rPr>
            </w:pPr>
            <w:r>
              <w:rPr>
                <w:rFonts w:hAnsi="宋体"/>
                <w:color w:val="000000"/>
                <w:kern w:val="0"/>
                <w:szCs w:val="21"/>
              </w:rPr>
              <w:t>质量等级</w:t>
            </w:r>
          </w:p>
        </w:tc>
        <w:tc>
          <w:tcPr>
            <w:tcW w:w="3006" w:type="dxa"/>
            <w:noWrap w:val="0"/>
            <w:tcMar>
              <w:top w:w="0" w:type="dxa"/>
              <w:left w:w="75" w:type="dxa"/>
              <w:bottom w:w="0" w:type="dxa"/>
              <w:right w:w="0" w:type="dxa"/>
            </w:tcMar>
            <w:vAlign w:val="center"/>
          </w:tcPr>
          <w:p>
            <w:pPr>
              <w:widowControl/>
              <w:spacing w:line="300" w:lineRule="exact"/>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15"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spacing w:line="300" w:lineRule="exact"/>
              <w:jc w:val="center"/>
              <w:rPr>
                <w:color w:val="000000"/>
                <w:kern w:val="0"/>
                <w:szCs w:val="21"/>
              </w:rPr>
            </w:pPr>
            <w:r>
              <w:rPr>
                <w:rFonts w:hint="eastAsia" w:hAnsi="宋体"/>
                <w:color w:val="000000"/>
                <w:kern w:val="0"/>
                <w:szCs w:val="21"/>
              </w:rPr>
              <w:t>工程总承包项目经理</w:t>
            </w:r>
          </w:p>
        </w:tc>
        <w:tc>
          <w:tcPr>
            <w:tcW w:w="5969" w:type="dxa"/>
            <w:gridSpan w:val="3"/>
            <w:noWrap w:val="0"/>
            <w:tcMar>
              <w:top w:w="0" w:type="dxa"/>
              <w:left w:w="75" w:type="dxa"/>
              <w:bottom w:w="0" w:type="dxa"/>
              <w:right w:w="0" w:type="dxa"/>
            </w:tcMar>
            <w:vAlign w:val="center"/>
          </w:tcPr>
          <w:p>
            <w:pPr>
              <w:spacing w:line="300" w:lineRule="exact"/>
              <w:jc w:val="right"/>
              <w:rPr>
                <w:rFonts w:hint="eastAsia"/>
                <w:color w:val="000000"/>
                <w:kern w:val="0"/>
                <w:szCs w:val="21"/>
              </w:rPr>
            </w:pPr>
            <w:r>
              <w:rPr>
                <w:rFonts w:hAnsi="宋体"/>
                <w:color w:val="000000"/>
                <w:kern w:val="0"/>
                <w:szCs w:val="21"/>
              </w:rPr>
              <w:t>（注册</w:t>
            </w:r>
            <w:r>
              <w:rPr>
                <w:rFonts w:hint="eastAsia" w:hAnsi="宋体"/>
                <w:color w:val="000000"/>
                <w:kern w:val="0"/>
                <w:szCs w:val="21"/>
              </w:rPr>
              <w:t>编</w:t>
            </w:r>
            <w:r>
              <w:rPr>
                <w:rFonts w:hAnsi="宋体"/>
                <w:color w:val="000000"/>
                <w:kern w:val="0"/>
                <w:szCs w:val="21"/>
              </w:rPr>
              <w:t>号：</w:t>
            </w:r>
            <w:r>
              <w:rPr>
                <w:color w:val="000000"/>
                <w:kern w:val="0"/>
                <w:szCs w:val="21"/>
              </w:rPr>
              <w:t xml:space="preserve">   </w:t>
            </w:r>
            <w:r>
              <w:rPr>
                <w:rFonts w:hint="eastAsia" w:hAnsi="宋体" w:cs="宋体"/>
                <w:color w:val="000000"/>
                <w:kern w:val="0"/>
              </w:rPr>
              <w:t>；身份证号：</w:t>
            </w:r>
            <w:r>
              <w:rPr>
                <w:color w:val="000000"/>
                <w:kern w:val="0"/>
                <w:szCs w:val="21"/>
              </w:rPr>
              <w:t xml:space="preserve">     </w:t>
            </w:r>
            <w:r>
              <w:rPr>
                <w:rFonts w:hAnsi="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rFonts w:hAnsi="宋体"/>
                <w:color w:val="000000"/>
                <w:kern w:val="0"/>
                <w:szCs w:val="21"/>
              </w:rPr>
            </w:pPr>
            <w:r>
              <w:rPr>
                <w:rFonts w:hint="eastAsia" w:hAnsi="宋体"/>
                <w:color w:val="000000"/>
                <w:kern w:val="0"/>
                <w:szCs w:val="21"/>
              </w:rPr>
              <w:t>项目设计负责人</w:t>
            </w:r>
          </w:p>
        </w:tc>
        <w:tc>
          <w:tcPr>
            <w:tcW w:w="5969" w:type="dxa"/>
            <w:gridSpan w:val="3"/>
            <w:noWrap w:val="0"/>
            <w:tcMar>
              <w:top w:w="0" w:type="dxa"/>
              <w:left w:w="75" w:type="dxa"/>
              <w:bottom w:w="0" w:type="dxa"/>
              <w:right w:w="0" w:type="dxa"/>
            </w:tcMar>
            <w:vAlign w:val="center"/>
          </w:tcPr>
          <w:p>
            <w:pPr>
              <w:widowControl/>
              <w:spacing w:line="300" w:lineRule="exact"/>
              <w:jc w:val="right"/>
              <w:rPr>
                <w:rFonts w:hAnsi="宋体"/>
                <w:color w:val="000000"/>
                <w:kern w:val="0"/>
                <w:szCs w:val="21"/>
              </w:rPr>
            </w:pPr>
            <w:r>
              <w:rPr>
                <w:rFonts w:hAnsi="宋体"/>
                <w:color w:val="000000"/>
                <w:kern w:val="0"/>
                <w:szCs w:val="21"/>
              </w:rPr>
              <w:t>（注册</w:t>
            </w:r>
            <w:r>
              <w:rPr>
                <w:rFonts w:hint="eastAsia" w:hAnsi="宋体"/>
                <w:color w:val="000000"/>
                <w:kern w:val="0"/>
                <w:szCs w:val="21"/>
              </w:rPr>
              <w:t>编</w:t>
            </w:r>
            <w:r>
              <w:rPr>
                <w:rFonts w:hAnsi="宋体"/>
                <w:color w:val="000000"/>
                <w:kern w:val="0"/>
                <w:szCs w:val="21"/>
              </w:rPr>
              <w:t>号：</w:t>
            </w:r>
            <w:r>
              <w:rPr>
                <w:color w:val="000000"/>
                <w:kern w:val="0"/>
                <w:szCs w:val="21"/>
              </w:rPr>
              <w:t xml:space="preserve">   </w:t>
            </w:r>
            <w:r>
              <w:rPr>
                <w:rFonts w:hint="eastAsia" w:hAnsi="宋体" w:cs="宋体"/>
                <w:color w:val="000000"/>
                <w:kern w:val="0"/>
              </w:rPr>
              <w:t>；身份证号：</w:t>
            </w:r>
            <w:r>
              <w:rPr>
                <w:color w:val="000000"/>
                <w:kern w:val="0"/>
                <w:szCs w:val="21"/>
              </w:rPr>
              <w:t xml:space="preserve">     </w:t>
            </w:r>
            <w:r>
              <w:rPr>
                <w:rFonts w:hAnsi="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rFonts w:hAnsi="宋体"/>
                <w:color w:val="000000"/>
                <w:kern w:val="0"/>
                <w:szCs w:val="21"/>
              </w:rPr>
            </w:pPr>
            <w:r>
              <w:rPr>
                <w:rFonts w:hint="eastAsia" w:hAnsi="宋体"/>
                <w:color w:val="000000"/>
                <w:kern w:val="0"/>
                <w:szCs w:val="21"/>
              </w:rPr>
              <w:t>施工项目经理</w:t>
            </w:r>
          </w:p>
        </w:tc>
        <w:tc>
          <w:tcPr>
            <w:tcW w:w="5969" w:type="dxa"/>
            <w:gridSpan w:val="3"/>
            <w:noWrap w:val="0"/>
            <w:tcMar>
              <w:top w:w="0" w:type="dxa"/>
              <w:left w:w="75" w:type="dxa"/>
              <w:bottom w:w="0" w:type="dxa"/>
              <w:right w:w="0" w:type="dxa"/>
            </w:tcMar>
            <w:vAlign w:val="center"/>
          </w:tcPr>
          <w:p>
            <w:pPr>
              <w:widowControl/>
              <w:spacing w:line="300" w:lineRule="exact"/>
              <w:jc w:val="right"/>
              <w:rPr>
                <w:rFonts w:hAnsi="宋体"/>
                <w:color w:val="000000"/>
                <w:kern w:val="0"/>
                <w:szCs w:val="21"/>
              </w:rPr>
            </w:pPr>
            <w:r>
              <w:rPr>
                <w:rFonts w:hAnsi="宋体"/>
                <w:color w:val="000000"/>
                <w:kern w:val="0"/>
                <w:szCs w:val="21"/>
              </w:rPr>
              <w:t>（注册</w:t>
            </w:r>
            <w:r>
              <w:rPr>
                <w:rFonts w:hint="eastAsia" w:hAnsi="宋体"/>
                <w:color w:val="000000"/>
                <w:kern w:val="0"/>
                <w:szCs w:val="21"/>
              </w:rPr>
              <w:t>编</w:t>
            </w:r>
            <w:r>
              <w:rPr>
                <w:rFonts w:hAnsi="宋体"/>
                <w:color w:val="000000"/>
                <w:kern w:val="0"/>
                <w:szCs w:val="21"/>
              </w:rPr>
              <w:t>号：</w:t>
            </w:r>
            <w:r>
              <w:rPr>
                <w:color w:val="000000"/>
                <w:kern w:val="0"/>
                <w:szCs w:val="21"/>
              </w:rPr>
              <w:t xml:space="preserve">        </w:t>
            </w:r>
            <w:r>
              <w:rPr>
                <w:rFonts w:hAnsi="宋体"/>
                <w:color w:val="000000"/>
                <w:kern w:val="0"/>
                <w:szCs w:val="21"/>
              </w:rPr>
              <w:t>；</w:t>
            </w:r>
            <w:r>
              <w:rPr>
                <w:rFonts w:hint="eastAsia" w:hAnsi="宋体" w:cs="宋体"/>
                <w:color w:val="000000"/>
                <w:kern w:val="0"/>
              </w:rPr>
              <w:t>身份证号：</w:t>
            </w:r>
            <w:r>
              <w:rPr>
                <w:rFonts w:hAnsi="宋体"/>
                <w:color w:val="000000"/>
                <w:kern w:val="0"/>
                <w:szCs w:val="21"/>
              </w:rPr>
              <w:t>：</w:t>
            </w:r>
            <w:r>
              <w:rPr>
                <w:color w:val="000000"/>
                <w:kern w:val="0"/>
                <w:szCs w:val="21"/>
              </w:rPr>
              <w:t xml:space="preserve">        </w:t>
            </w:r>
            <w:r>
              <w:rPr>
                <w:rFonts w:hAnsi="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rFonts w:hint="eastAsia" w:hAnsi="宋体"/>
                <w:color w:val="000000"/>
                <w:kern w:val="0"/>
                <w:szCs w:val="21"/>
              </w:rPr>
            </w:pPr>
            <w:r>
              <w:rPr>
                <w:rFonts w:hint="eastAsia" w:hAnsi="宋体"/>
                <w:color w:val="000000"/>
                <w:kern w:val="0"/>
                <w:szCs w:val="21"/>
              </w:rPr>
              <w:t xml:space="preserve">专职安全生产管理人员                                    </w:t>
            </w:r>
          </w:p>
        </w:tc>
        <w:tc>
          <w:tcPr>
            <w:tcW w:w="5969" w:type="dxa"/>
            <w:gridSpan w:val="3"/>
            <w:noWrap w:val="0"/>
            <w:tcMar>
              <w:top w:w="0" w:type="dxa"/>
              <w:left w:w="75" w:type="dxa"/>
              <w:bottom w:w="0" w:type="dxa"/>
              <w:right w:w="0" w:type="dxa"/>
            </w:tcMar>
            <w:vAlign w:val="center"/>
          </w:tcPr>
          <w:p>
            <w:pPr>
              <w:widowControl/>
              <w:wordWrap w:val="0"/>
              <w:spacing w:line="300" w:lineRule="exact"/>
              <w:ind w:right="420"/>
              <w:rPr>
                <w:rFonts w:hint="eastAsia" w:hAnsi="宋体"/>
                <w:color w:val="000000"/>
                <w:kern w:val="0"/>
                <w:szCs w:val="21"/>
              </w:rPr>
            </w:pPr>
            <w:r>
              <w:rPr>
                <w:rFonts w:hint="eastAsia" w:hAnsi="宋体"/>
                <w:color w:val="000000"/>
                <w:kern w:val="0"/>
                <w:szCs w:val="21"/>
              </w:rPr>
              <w:t>（</w:t>
            </w:r>
            <w:r>
              <w:rPr>
                <w:rFonts w:hint="eastAsia" w:hAnsi="宋体"/>
                <w:color w:val="000000"/>
                <w:szCs w:val="21"/>
              </w:rPr>
              <w:t xml:space="preserve">安全生产考核合格证书编号：      </w:t>
            </w:r>
            <w:r>
              <w:rPr>
                <w:rFonts w:hAnsi="宋体"/>
                <w:color w:val="000000"/>
                <w:kern w:val="0"/>
                <w:szCs w:val="21"/>
              </w:rPr>
              <w:t>；</w:t>
            </w:r>
            <w:r>
              <w:rPr>
                <w:rFonts w:hint="eastAsia" w:hAnsi="宋体" w:cs="宋体"/>
                <w:color w:val="000000"/>
                <w:kern w:val="0"/>
              </w:rPr>
              <w:t>身份证号：</w:t>
            </w:r>
            <w:r>
              <w:rPr>
                <w:rFonts w:hAnsi="宋体"/>
                <w:color w:val="000000"/>
                <w:kern w:val="0"/>
                <w:szCs w:val="21"/>
              </w:rPr>
              <w:t>：</w:t>
            </w:r>
            <w:r>
              <w:rPr>
                <w:color w:val="000000"/>
                <w:kern w:val="0"/>
                <w:szCs w:val="21"/>
              </w:rPr>
              <w:t xml:space="preserve">       </w:t>
            </w:r>
            <w:r>
              <w:rPr>
                <w:rFonts w:hint="eastAsia" w:hAnsi="宋体"/>
                <w:color w:val="000000"/>
                <w:kern w:val="0"/>
                <w:szCs w:val="21"/>
              </w:rPr>
              <w:t>）【全部拟投入专职安全生产管理人员】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rFonts w:hint="eastAsia" w:hAnsi="宋体"/>
                <w:color w:val="000000"/>
                <w:kern w:val="0"/>
                <w:szCs w:val="21"/>
              </w:rPr>
            </w:pPr>
            <w:r>
              <w:rPr>
                <w:rFonts w:hint="eastAsia" w:hAnsi="宋体"/>
                <w:color w:val="000000"/>
                <w:kern w:val="0"/>
                <w:szCs w:val="21"/>
              </w:rPr>
              <w:t>投标所用企业业绩</w:t>
            </w:r>
            <w:r>
              <w:rPr>
                <w:rFonts w:hint="eastAsia" w:hAnsi="宋体" w:cs="宋体"/>
                <w:color w:val="000000"/>
                <w:kern w:val="0"/>
              </w:rPr>
              <w:t>（</w:t>
            </w:r>
            <w:r>
              <w:rPr>
                <w:rFonts w:hAnsi="宋体" w:cs="宋体"/>
                <w:color w:val="000000"/>
                <w:kern w:val="0"/>
              </w:rPr>
              <w:t>包括资格要求和加分业绩）</w:t>
            </w:r>
          </w:p>
        </w:tc>
        <w:tc>
          <w:tcPr>
            <w:tcW w:w="5969" w:type="dxa"/>
            <w:gridSpan w:val="3"/>
            <w:noWrap w:val="0"/>
            <w:tcMar>
              <w:top w:w="0" w:type="dxa"/>
              <w:left w:w="75" w:type="dxa"/>
              <w:bottom w:w="0" w:type="dxa"/>
              <w:right w:w="0" w:type="dxa"/>
            </w:tcMar>
            <w:vAlign w:val="center"/>
          </w:tcPr>
          <w:p>
            <w:pPr>
              <w:widowControl/>
              <w:wordWrap w:val="0"/>
              <w:spacing w:line="300" w:lineRule="exact"/>
              <w:ind w:right="420"/>
              <w:rPr>
                <w:rFonts w:hint="eastAsia" w:hAns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803" w:type="dxa"/>
            <w:vMerge w:val="continue"/>
            <w:noWrap w:val="0"/>
            <w:vAlign w:val="center"/>
          </w:tcPr>
          <w:p>
            <w:pPr>
              <w:widowControl/>
              <w:spacing w:line="300" w:lineRule="exact"/>
              <w:jc w:val="left"/>
              <w:rPr>
                <w:color w:val="000000"/>
                <w:kern w:val="0"/>
                <w:szCs w:val="21"/>
              </w:rPr>
            </w:pPr>
          </w:p>
        </w:tc>
        <w:tc>
          <w:tcPr>
            <w:tcW w:w="1206" w:type="dxa"/>
            <w:vMerge w:val="continue"/>
            <w:noWrap w:val="0"/>
            <w:vAlign w:val="center"/>
          </w:tcPr>
          <w:p>
            <w:pPr>
              <w:widowControl/>
              <w:spacing w:line="300" w:lineRule="exact"/>
              <w:jc w:val="left"/>
              <w:rPr>
                <w:color w:val="000000"/>
                <w:kern w:val="0"/>
                <w:szCs w:val="21"/>
              </w:rPr>
            </w:pPr>
          </w:p>
        </w:tc>
        <w:tc>
          <w:tcPr>
            <w:tcW w:w="1771" w:type="dxa"/>
            <w:noWrap w:val="0"/>
            <w:tcMar>
              <w:top w:w="0" w:type="dxa"/>
              <w:left w:w="75" w:type="dxa"/>
              <w:bottom w:w="0" w:type="dxa"/>
              <w:right w:w="0" w:type="dxa"/>
            </w:tcMar>
            <w:vAlign w:val="center"/>
          </w:tcPr>
          <w:p>
            <w:pPr>
              <w:widowControl/>
              <w:spacing w:line="300" w:lineRule="exact"/>
              <w:jc w:val="center"/>
              <w:rPr>
                <w:rFonts w:hint="eastAsia" w:hAnsi="宋体"/>
                <w:color w:val="000000"/>
                <w:kern w:val="0"/>
                <w:szCs w:val="21"/>
              </w:rPr>
            </w:pPr>
            <w:r>
              <w:rPr>
                <w:rFonts w:hint="eastAsia" w:hAnsi="宋体"/>
                <w:color w:val="000000"/>
                <w:kern w:val="0"/>
                <w:szCs w:val="21"/>
              </w:rPr>
              <w:t>投标所用企业奖项</w:t>
            </w:r>
            <w:r>
              <w:rPr>
                <w:rFonts w:hint="eastAsia" w:hAnsi="宋体" w:cs="宋体"/>
                <w:color w:val="000000"/>
                <w:kern w:val="0"/>
              </w:rPr>
              <w:t>（</w:t>
            </w:r>
            <w:r>
              <w:rPr>
                <w:rFonts w:hAnsi="宋体" w:cs="宋体"/>
                <w:color w:val="000000"/>
                <w:kern w:val="0"/>
              </w:rPr>
              <w:t>包括资格要求和加分</w:t>
            </w:r>
            <w:r>
              <w:rPr>
                <w:rFonts w:hint="eastAsia" w:hAnsi="宋体" w:cs="宋体"/>
                <w:color w:val="000000"/>
                <w:kern w:val="0"/>
              </w:rPr>
              <w:t>奖</w:t>
            </w:r>
            <w:r>
              <w:rPr>
                <w:rFonts w:hAnsi="宋体" w:cs="宋体"/>
                <w:color w:val="000000"/>
                <w:kern w:val="0"/>
              </w:rPr>
              <w:t>项）</w:t>
            </w:r>
          </w:p>
        </w:tc>
        <w:tc>
          <w:tcPr>
            <w:tcW w:w="5969" w:type="dxa"/>
            <w:gridSpan w:val="3"/>
            <w:noWrap w:val="0"/>
            <w:tcMar>
              <w:top w:w="0" w:type="dxa"/>
              <w:left w:w="75" w:type="dxa"/>
              <w:bottom w:w="0" w:type="dxa"/>
              <w:right w:w="0" w:type="dxa"/>
            </w:tcMar>
            <w:vAlign w:val="center"/>
          </w:tcPr>
          <w:p>
            <w:pPr>
              <w:widowControl/>
              <w:spacing w:line="300" w:lineRule="exact"/>
              <w:jc w:val="right"/>
              <w:rPr>
                <w:rFonts w:hAns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88" w:hRule="atLeast"/>
          <w:jc w:val="center"/>
        </w:trPr>
        <w:tc>
          <w:tcPr>
            <w:tcW w:w="2009" w:type="dxa"/>
            <w:gridSpan w:val="2"/>
            <w:noWrap w:val="0"/>
            <w:vAlign w:val="center"/>
          </w:tcPr>
          <w:p>
            <w:pPr>
              <w:widowControl/>
              <w:spacing w:line="300" w:lineRule="exact"/>
              <w:jc w:val="center"/>
              <w:rPr>
                <w:color w:val="000000"/>
                <w:kern w:val="0"/>
                <w:szCs w:val="21"/>
              </w:rPr>
            </w:pPr>
            <w:r>
              <w:rPr>
                <w:rFonts w:hAnsi="宋体"/>
                <w:color w:val="000000"/>
                <w:kern w:val="0"/>
                <w:szCs w:val="21"/>
              </w:rPr>
              <w:t>被否决投标或不合格的投标人名称、否决原因及其依据</w:t>
            </w:r>
            <w:r>
              <w:rPr>
                <w:rFonts w:hint="eastAsia" w:hAnsi="宋体"/>
                <w:color w:val="000000"/>
                <w:kern w:val="0"/>
                <w:szCs w:val="21"/>
              </w:rPr>
              <w:t>（如有）</w:t>
            </w:r>
          </w:p>
        </w:tc>
        <w:tc>
          <w:tcPr>
            <w:tcW w:w="7740" w:type="dxa"/>
            <w:gridSpan w:val="4"/>
            <w:noWrap w:val="0"/>
            <w:tcMar>
              <w:top w:w="0" w:type="dxa"/>
              <w:left w:w="75" w:type="dxa"/>
              <w:bottom w:w="0" w:type="dxa"/>
              <w:right w:w="0" w:type="dxa"/>
            </w:tcMar>
            <w:vAlign w:val="center"/>
          </w:tcPr>
          <w:p>
            <w:pPr>
              <w:widowControl/>
              <w:spacing w:line="300" w:lineRule="exact"/>
              <w:ind w:right="178" w:rightChars="85"/>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009" w:type="dxa"/>
            <w:gridSpan w:val="2"/>
            <w:noWrap w:val="0"/>
            <w:vAlign w:val="center"/>
          </w:tcPr>
          <w:p>
            <w:pPr>
              <w:widowControl/>
              <w:spacing w:line="300" w:lineRule="exact"/>
              <w:jc w:val="center"/>
              <w:rPr>
                <w:color w:val="000000"/>
                <w:kern w:val="0"/>
                <w:szCs w:val="21"/>
              </w:rPr>
            </w:pPr>
            <w:r>
              <w:rPr>
                <w:rFonts w:hAnsi="宋体"/>
                <w:color w:val="000000"/>
                <w:kern w:val="0"/>
                <w:szCs w:val="21"/>
              </w:rPr>
              <w:t>公示媒介</w:t>
            </w:r>
          </w:p>
        </w:tc>
        <w:tc>
          <w:tcPr>
            <w:tcW w:w="7740" w:type="dxa"/>
            <w:gridSpan w:val="4"/>
            <w:noWrap w:val="0"/>
            <w:tcMar>
              <w:top w:w="0" w:type="dxa"/>
              <w:left w:w="75" w:type="dxa"/>
              <w:bottom w:w="0" w:type="dxa"/>
              <w:right w:w="0" w:type="dxa"/>
            </w:tcMar>
            <w:vAlign w:val="center"/>
          </w:tcPr>
          <w:p>
            <w:pPr>
              <w:widowControl/>
              <w:spacing w:line="300" w:lineRule="exact"/>
              <w:ind w:right="178" w:rightChars="85"/>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009" w:type="dxa"/>
            <w:gridSpan w:val="2"/>
            <w:noWrap w:val="0"/>
            <w:vAlign w:val="center"/>
          </w:tcPr>
          <w:p>
            <w:pPr>
              <w:widowControl/>
              <w:spacing w:line="300" w:lineRule="exact"/>
              <w:jc w:val="center"/>
              <w:rPr>
                <w:color w:val="000000"/>
                <w:kern w:val="0"/>
                <w:szCs w:val="21"/>
              </w:rPr>
            </w:pPr>
            <w:r>
              <w:rPr>
                <w:rFonts w:hint="eastAsia" w:hAnsi="宋体"/>
                <w:color w:val="000000"/>
                <w:kern w:val="0"/>
                <w:szCs w:val="21"/>
              </w:rPr>
              <w:t>质疑和投诉</w:t>
            </w:r>
          </w:p>
        </w:tc>
        <w:tc>
          <w:tcPr>
            <w:tcW w:w="7740" w:type="dxa"/>
            <w:gridSpan w:val="4"/>
            <w:noWrap w:val="0"/>
            <w:tcMar>
              <w:top w:w="0" w:type="dxa"/>
              <w:left w:w="75" w:type="dxa"/>
              <w:bottom w:w="0" w:type="dxa"/>
              <w:right w:w="0" w:type="dxa"/>
            </w:tcMar>
            <w:vAlign w:val="center"/>
          </w:tcPr>
          <w:p>
            <w:pPr>
              <w:widowControl/>
              <w:spacing w:line="300" w:lineRule="exact"/>
              <w:ind w:right="178" w:rightChars="85"/>
              <w:rPr>
                <w:color w:val="000000"/>
                <w:szCs w:val="21"/>
              </w:rPr>
            </w:pPr>
            <w:r>
              <w:rPr>
                <w:rFonts w:hint="eastAsia"/>
                <w:color w:val="000000"/>
                <w:szCs w:val="21"/>
              </w:rPr>
              <w:t>若投标人或其他利害关系人对项目评标结果有异议的，应当在中标候选人公示期向招标人提出，招标人应当自收到异议之日起</w:t>
            </w:r>
            <w:r>
              <w:rPr>
                <w:color w:val="000000"/>
                <w:szCs w:val="21"/>
              </w:rPr>
              <w:t>3</w:t>
            </w:r>
            <w:r>
              <w:rPr>
                <w:rFonts w:hint="eastAsia"/>
                <w:color w:val="000000"/>
                <w:szCs w:val="21"/>
              </w:rPr>
              <w:t>日内作出答复；若招标人拒不答复或认为招标人答复内容不符合法律、法规和规章规定或认为权益受到侵害的，请在自知道或应当知道之日起</w:t>
            </w:r>
            <w:r>
              <w:rPr>
                <w:color w:val="000000"/>
                <w:szCs w:val="21"/>
              </w:rPr>
              <w:t>10</w:t>
            </w:r>
            <w:r>
              <w:rPr>
                <w:rFonts w:hint="eastAsia"/>
                <w:color w:val="000000"/>
                <w:szCs w:val="21"/>
              </w:rPr>
              <w:t>日内向投诉受理部门提交书面投诉书，逾期不予受理</w:t>
            </w:r>
            <w:r>
              <w:rPr>
                <w:rFonts w:hint="eastAsia" w:hAnsi="宋体"/>
                <w:color w:val="000000"/>
                <w:kern w:val="0"/>
                <w:szCs w:val="21"/>
              </w:rPr>
              <w:t>。若招标人对项目评标结果有异议的，可在</w:t>
            </w:r>
            <w:r>
              <w:rPr>
                <w:rFonts w:hint="eastAsia"/>
                <w:color w:val="000000"/>
                <w:szCs w:val="21"/>
              </w:rPr>
              <w:t>公示开始日起10日内直接向投诉受理部门提交书面投诉书。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0" w:hRule="atLeast"/>
          <w:jc w:val="center"/>
        </w:trPr>
        <w:tc>
          <w:tcPr>
            <w:tcW w:w="2009" w:type="dxa"/>
            <w:gridSpan w:val="2"/>
            <w:noWrap w:val="0"/>
            <w:vAlign w:val="center"/>
          </w:tcPr>
          <w:p>
            <w:pPr>
              <w:widowControl/>
              <w:spacing w:line="300" w:lineRule="exact"/>
              <w:jc w:val="center"/>
              <w:rPr>
                <w:color w:val="000000"/>
                <w:kern w:val="0"/>
                <w:szCs w:val="21"/>
              </w:rPr>
            </w:pPr>
            <w:r>
              <w:rPr>
                <w:rFonts w:hAnsi="宋体"/>
                <w:color w:val="000000"/>
                <w:kern w:val="0"/>
                <w:szCs w:val="21"/>
              </w:rPr>
              <w:t>投诉</w:t>
            </w:r>
            <w:r>
              <w:rPr>
                <w:rFonts w:hint="eastAsia" w:hAnsi="宋体"/>
                <w:color w:val="000000"/>
                <w:kern w:val="0"/>
                <w:szCs w:val="21"/>
              </w:rPr>
              <w:t>受理</w:t>
            </w:r>
            <w:r>
              <w:rPr>
                <w:rFonts w:hAnsi="宋体"/>
                <w:color w:val="000000"/>
                <w:kern w:val="0"/>
                <w:szCs w:val="21"/>
              </w:rPr>
              <w:t>部门</w:t>
            </w:r>
          </w:p>
        </w:tc>
        <w:tc>
          <w:tcPr>
            <w:tcW w:w="3294" w:type="dxa"/>
            <w:gridSpan w:val="2"/>
            <w:noWrap w:val="0"/>
            <w:tcMar>
              <w:top w:w="30" w:type="dxa"/>
              <w:left w:w="30" w:type="dxa"/>
              <w:bottom w:w="30" w:type="dxa"/>
              <w:right w:w="30" w:type="dxa"/>
            </w:tcMar>
            <w:vAlign w:val="center"/>
          </w:tcPr>
          <w:p>
            <w:pPr>
              <w:widowControl/>
              <w:spacing w:line="300" w:lineRule="exact"/>
              <w:jc w:val="left"/>
              <w:rPr>
                <w:color w:val="000000"/>
                <w:szCs w:val="21"/>
              </w:rPr>
            </w:pPr>
          </w:p>
        </w:tc>
        <w:tc>
          <w:tcPr>
            <w:tcW w:w="1440" w:type="dxa"/>
            <w:noWrap w:val="0"/>
            <w:vAlign w:val="center"/>
          </w:tcPr>
          <w:p>
            <w:pPr>
              <w:widowControl/>
              <w:spacing w:line="300" w:lineRule="exact"/>
              <w:jc w:val="center"/>
              <w:rPr>
                <w:color w:val="000000"/>
                <w:szCs w:val="21"/>
              </w:rPr>
            </w:pPr>
            <w:r>
              <w:rPr>
                <w:rFonts w:hAnsi="宋体"/>
                <w:color w:val="000000"/>
                <w:szCs w:val="21"/>
              </w:rPr>
              <w:t>投诉</w:t>
            </w:r>
            <w:r>
              <w:rPr>
                <w:rFonts w:hint="eastAsia" w:hAnsi="宋体"/>
                <w:color w:val="000000"/>
                <w:szCs w:val="21"/>
              </w:rPr>
              <w:t>受理</w:t>
            </w:r>
            <w:r>
              <w:rPr>
                <w:rFonts w:hAnsi="宋体"/>
                <w:color w:val="000000"/>
                <w:szCs w:val="21"/>
              </w:rPr>
              <w:t>电话</w:t>
            </w:r>
          </w:p>
        </w:tc>
        <w:tc>
          <w:tcPr>
            <w:tcW w:w="3006" w:type="dxa"/>
            <w:noWrap w:val="0"/>
            <w:vAlign w:val="center"/>
          </w:tcPr>
          <w:p>
            <w:pPr>
              <w:widowControl/>
              <w:spacing w:line="300" w:lineRule="exact"/>
              <w:jc w:val="left"/>
              <w:rPr>
                <w:color w:val="000000"/>
                <w:szCs w:val="21"/>
              </w:rPr>
            </w:pPr>
          </w:p>
        </w:tc>
      </w:tr>
    </w:tbl>
    <w:p>
      <w:pPr>
        <w:spacing w:before="120" w:beforeLines="50"/>
        <w:rPr>
          <w:rFonts w:hAnsi="宋体"/>
          <w:color w:val="000000"/>
          <w:szCs w:val="21"/>
        </w:rPr>
      </w:pPr>
      <w:r>
        <w:rPr>
          <w:rFonts w:hint="eastAsia" w:hAnsi="宋体"/>
          <w:color w:val="000000"/>
          <w:szCs w:val="21"/>
        </w:rPr>
        <w:t>一式5份。其中：招标人2</w:t>
      </w:r>
      <w:r>
        <w:rPr>
          <w:rFonts w:hAnsi="宋体"/>
          <w:color w:val="000000"/>
          <w:szCs w:val="21"/>
        </w:rPr>
        <w:t>份、</w:t>
      </w:r>
      <w:r>
        <w:rPr>
          <w:rFonts w:hint="eastAsia" w:hAnsi="宋体"/>
          <w:color w:val="000000"/>
          <w:szCs w:val="21"/>
        </w:rPr>
        <w:t>招标代理机构1</w:t>
      </w:r>
      <w:r>
        <w:rPr>
          <w:rFonts w:hAnsi="宋体"/>
          <w:color w:val="000000"/>
          <w:szCs w:val="21"/>
        </w:rPr>
        <w:t>份、</w:t>
      </w:r>
      <w:r>
        <w:rPr>
          <w:color w:val="000000"/>
          <w:szCs w:val="21"/>
        </w:rPr>
        <w:t>招投标监督管理部门</w:t>
      </w:r>
      <w:r>
        <w:rPr>
          <w:rFonts w:hint="eastAsia"/>
          <w:color w:val="000000"/>
          <w:szCs w:val="21"/>
        </w:rPr>
        <w:t>1份、交易中心1份</w:t>
      </w:r>
      <w:r>
        <w:rPr>
          <w:rFonts w:hAnsi="宋体"/>
          <w:color w:val="000000"/>
          <w:szCs w:val="21"/>
        </w:rPr>
        <w:t>。</w:t>
      </w:r>
    </w:p>
    <w:p>
      <w:pPr>
        <w:rPr>
          <w:color w:val="000000"/>
          <w:szCs w:val="21"/>
        </w:rPr>
      </w:pPr>
    </w:p>
    <w:p>
      <w:pPr>
        <w:spacing w:before="120" w:beforeLines="50"/>
        <w:rPr>
          <w:rFonts w:hAnsi="宋体"/>
          <w:color w:val="000000"/>
        </w:rPr>
      </w:pPr>
      <w:r>
        <w:rPr>
          <w:rFonts w:hint="eastAsia" w:hAnsi="宋体" w:cs="宋体"/>
          <w:color w:val="000000"/>
        </w:rPr>
        <w:t>备注：以上身份证号在公示时应隐藏中</w:t>
      </w:r>
      <w:r>
        <w:rPr>
          <w:rFonts w:hAnsi="宋体" w:cs="宋体"/>
          <w:color w:val="000000"/>
        </w:rPr>
        <w:t>间</w:t>
      </w:r>
      <w:r>
        <w:rPr>
          <w:rFonts w:hint="eastAsia" w:hAnsi="宋体" w:cs="宋体"/>
          <w:color w:val="000000"/>
        </w:rPr>
        <w:t>部分数字。</w:t>
      </w:r>
    </w:p>
    <w:p>
      <w:pPr>
        <w:rPr>
          <w:rFonts w:hint="eastAsia"/>
          <w:color w:val="000000"/>
          <w:szCs w:val="21"/>
        </w:rPr>
        <w:sectPr>
          <w:pgSz w:w="11906" w:h="16838"/>
          <w:pgMar w:top="1440" w:right="1440" w:bottom="1440" w:left="1797" w:header="851" w:footer="851" w:gutter="0"/>
          <w:cols w:space="720" w:num="1"/>
          <w:docGrid w:linePitch="312" w:charSpace="0"/>
        </w:sectPr>
      </w:pPr>
    </w:p>
    <w:p>
      <w:pPr>
        <w:pStyle w:val="4"/>
        <w:spacing w:line="240" w:lineRule="auto"/>
        <w:rPr>
          <w:sz w:val="28"/>
          <w:szCs w:val="28"/>
        </w:rPr>
      </w:pPr>
      <w:bookmarkStart w:id="753" w:name="_Toc59203061"/>
      <w:r>
        <w:rPr>
          <w:sz w:val="28"/>
          <w:szCs w:val="28"/>
        </w:rPr>
        <w:t>附表A-22：</w:t>
      </w:r>
      <w:r>
        <w:rPr>
          <w:rFonts w:hint="eastAsia"/>
          <w:sz w:val="28"/>
          <w:szCs w:val="28"/>
        </w:rPr>
        <w:t>中标通知书</w:t>
      </w:r>
      <w:bookmarkEnd w:id="753"/>
    </w:p>
    <w:p>
      <w:pPr>
        <w:jc w:val="center"/>
        <w:rPr>
          <w:rFonts w:hint="eastAsia" w:eastAsia="黑体"/>
          <w:color w:val="000000"/>
          <w:sz w:val="28"/>
          <w:szCs w:val="28"/>
        </w:rPr>
      </w:pPr>
      <w:r>
        <w:rPr>
          <w:rFonts w:hint="eastAsia" w:eastAsia="黑体"/>
          <w:color w:val="000000"/>
          <w:sz w:val="28"/>
          <w:szCs w:val="28"/>
        </w:rPr>
        <w:t>中标通知书</w:t>
      </w:r>
    </w:p>
    <w:p>
      <w:pPr>
        <w:rPr>
          <w:color w:val="000000"/>
          <w:szCs w:val="21"/>
        </w:rPr>
      </w:pPr>
      <w:r>
        <w:rPr>
          <w:rFonts w:hint="eastAsia" w:hAnsi="宋体"/>
          <w:color w:val="000000"/>
          <w:szCs w:val="21"/>
        </w:rPr>
        <w:t>项目招标</w:t>
      </w:r>
      <w:r>
        <w:rPr>
          <w:rFonts w:hAnsi="宋体"/>
          <w:color w:val="000000"/>
          <w:szCs w:val="21"/>
        </w:rPr>
        <w:t>编号：</w:t>
      </w:r>
      <w:r>
        <w:rPr>
          <w:b/>
          <w:color w:val="000000"/>
          <w:szCs w:val="21"/>
        </w:rPr>
        <w:t xml:space="preserve">   </w:t>
      </w:r>
      <w:r>
        <w:rPr>
          <w:color w:val="000000"/>
          <w:szCs w:val="21"/>
        </w:rPr>
        <w:t xml:space="preserve">                         </w:t>
      </w:r>
      <w:r>
        <w:rPr>
          <w:rFonts w:hint="eastAsia"/>
          <w:color w:val="000000"/>
          <w:szCs w:val="21"/>
        </w:rPr>
        <w:t xml:space="preserve">     </w:t>
      </w:r>
      <w:r>
        <w:rPr>
          <w:color w:val="000000"/>
          <w:szCs w:val="21"/>
        </w:rPr>
        <w:t xml:space="preserve">       </w:t>
      </w:r>
      <w:r>
        <w:rPr>
          <w:rFonts w:hint="eastAsia"/>
          <w:color w:val="000000"/>
          <w:szCs w:val="21"/>
        </w:rPr>
        <w:t>中标通知书编号（如有）：</w:t>
      </w:r>
    </w:p>
    <w:tbl>
      <w:tblPr>
        <w:tblStyle w:val="83"/>
        <w:tblW w:w="1010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338"/>
        <w:gridCol w:w="1011"/>
        <w:gridCol w:w="103"/>
        <w:gridCol w:w="961"/>
        <w:gridCol w:w="595"/>
        <w:gridCol w:w="42"/>
        <w:gridCol w:w="1064"/>
        <w:gridCol w:w="467"/>
        <w:gridCol w:w="739"/>
        <w:gridCol w:w="30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0" w:hRule="atLeast"/>
          <w:jc w:val="center"/>
        </w:trPr>
        <w:tc>
          <w:tcPr>
            <w:tcW w:w="2056" w:type="dxa"/>
            <w:gridSpan w:val="2"/>
            <w:noWrap w:val="0"/>
            <w:vAlign w:val="center"/>
          </w:tcPr>
          <w:p>
            <w:pPr>
              <w:jc w:val="center"/>
              <w:rPr>
                <w:color w:val="000000"/>
                <w:szCs w:val="21"/>
              </w:rPr>
            </w:pPr>
            <w:r>
              <w:rPr>
                <w:rFonts w:hint="eastAsia" w:hAnsi="宋体"/>
                <w:color w:val="000000"/>
                <w:szCs w:val="21"/>
              </w:rPr>
              <w:t>建设单位</w:t>
            </w:r>
          </w:p>
        </w:tc>
        <w:tc>
          <w:tcPr>
            <w:tcW w:w="8047" w:type="dxa"/>
            <w:gridSpan w:val="9"/>
            <w:noWrap w:val="0"/>
            <w:vAlign w:val="center"/>
          </w:tcPr>
          <w:p>
            <w:pPr>
              <w:rPr>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0" w:hRule="atLeast"/>
          <w:jc w:val="center"/>
        </w:trPr>
        <w:tc>
          <w:tcPr>
            <w:tcW w:w="2056" w:type="dxa"/>
            <w:gridSpan w:val="2"/>
            <w:noWrap w:val="0"/>
            <w:vAlign w:val="center"/>
          </w:tcPr>
          <w:p>
            <w:pPr>
              <w:jc w:val="center"/>
              <w:rPr>
                <w:rFonts w:hint="eastAsia" w:hAnsi="宋体"/>
                <w:color w:val="000000"/>
                <w:szCs w:val="21"/>
              </w:rPr>
            </w:pPr>
            <w:r>
              <w:rPr>
                <w:rFonts w:hint="eastAsia" w:hAnsi="宋体"/>
                <w:color w:val="000000"/>
                <w:szCs w:val="21"/>
              </w:rPr>
              <w:t>代建单位（如有）</w:t>
            </w:r>
          </w:p>
        </w:tc>
        <w:tc>
          <w:tcPr>
            <w:tcW w:w="8047" w:type="dxa"/>
            <w:gridSpan w:val="9"/>
            <w:noWrap w:val="0"/>
            <w:vAlign w:val="center"/>
          </w:tcPr>
          <w:p>
            <w:pPr>
              <w:rPr>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0" w:hRule="atLeast"/>
          <w:jc w:val="center"/>
        </w:trPr>
        <w:tc>
          <w:tcPr>
            <w:tcW w:w="2056" w:type="dxa"/>
            <w:gridSpan w:val="2"/>
            <w:vMerge w:val="restart"/>
            <w:noWrap w:val="0"/>
            <w:vAlign w:val="center"/>
          </w:tcPr>
          <w:p>
            <w:pPr>
              <w:jc w:val="center"/>
              <w:rPr>
                <w:color w:val="000000"/>
                <w:szCs w:val="21"/>
              </w:rPr>
            </w:pPr>
            <w:r>
              <w:rPr>
                <w:rFonts w:hAnsi="宋体"/>
                <w:color w:val="000000"/>
                <w:szCs w:val="21"/>
              </w:rPr>
              <w:t>中</w:t>
            </w:r>
            <w:r>
              <w:rPr>
                <w:rFonts w:hint="eastAsia" w:hAnsi="宋体"/>
                <w:color w:val="000000"/>
                <w:szCs w:val="21"/>
              </w:rPr>
              <w:t xml:space="preserve"> </w:t>
            </w:r>
            <w:r>
              <w:rPr>
                <w:rFonts w:hAnsi="宋体"/>
                <w:color w:val="000000"/>
                <w:szCs w:val="21"/>
              </w:rPr>
              <w:t>标</w:t>
            </w:r>
            <w:r>
              <w:rPr>
                <w:rFonts w:hint="eastAsia" w:hAnsi="宋体"/>
                <w:color w:val="000000"/>
                <w:szCs w:val="21"/>
              </w:rPr>
              <w:t xml:space="preserve"> 人</w:t>
            </w:r>
          </w:p>
        </w:tc>
        <w:tc>
          <w:tcPr>
            <w:tcW w:w="2670" w:type="dxa"/>
            <w:gridSpan w:val="4"/>
            <w:vMerge w:val="restart"/>
            <w:tcBorders>
              <w:right w:val="single" w:color="auto" w:sz="4" w:space="0"/>
            </w:tcBorders>
            <w:noWrap w:val="0"/>
            <w:vAlign w:val="center"/>
          </w:tcPr>
          <w:p>
            <w:pPr>
              <w:ind w:firstLine="1131" w:firstLineChars="539"/>
              <w:rPr>
                <w:rFonts w:hint="eastAsia"/>
                <w:color w:val="000000"/>
                <w:szCs w:val="21"/>
              </w:rPr>
            </w:pPr>
            <w:r>
              <w:rPr>
                <w:rFonts w:hint="eastAsia"/>
                <w:color w:val="000000"/>
                <w:szCs w:val="21"/>
              </w:rPr>
              <w:t>（非联合体）</w:t>
            </w:r>
          </w:p>
        </w:tc>
        <w:tc>
          <w:tcPr>
            <w:tcW w:w="1573" w:type="dxa"/>
            <w:gridSpan w:val="3"/>
            <w:vMerge w:val="restart"/>
            <w:tcBorders>
              <w:left w:val="single" w:color="auto" w:sz="4" w:space="0"/>
              <w:right w:val="single" w:color="auto" w:sz="4" w:space="0"/>
            </w:tcBorders>
            <w:noWrap w:val="0"/>
            <w:vAlign w:val="center"/>
          </w:tcPr>
          <w:p>
            <w:pPr>
              <w:ind w:firstLine="411" w:firstLineChars="196"/>
              <w:rPr>
                <w:rFonts w:hint="eastAsia"/>
                <w:color w:val="000000"/>
                <w:szCs w:val="21"/>
              </w:rPr>
            </w:pPr>
            <w:r>
              <w:rPr>
                <w:rFonts w:hint="eastAsia"/>
                <w:color w:val="000000"/>
                <w:szCs w:val="21"/>
              </w:rPr>
              <w:t>联合体</w:t>
            </w:r>
          </w:p>
        </w:tc>
        <w:tc>
          <w:tcPr>
            <w:tcW w:w="3804" w:type="dxa"/>
            <w:gridSpan w:val="2"/>
            <w:tcBorders>
              <w:left w:val="single" w:color="auto" w:sz="4" w:space="0"/>
            </w:tcBorders>
            <w:noWrap w:val="0"/>
            <w:vAlign w:val="center"/>
          </w:tcPr>
          <w:p>
            <w:pPr>
              <w:rPr>
                <w:rFonts w:hint="eastAsia"/>
                <w:color w:val="000000"/>
                <w:szCs w:val="21"/>
              </w:rPr>
            </w:pPr>
            <w:r>
              <w:rPr>
                <w:rFonts w:hint="eastAsia"/>
                <w:color w:val="000000"/>
                <w:szCs w:val="21"/>
              </w:rPr>
              <w:t>牵头人：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06" w:hRule="atLeast"/>
          <w:jc w:val="center"/>
        </w:trPr>
        <w:tc>
          <w:tcPr>
            <w:tcW w:w="2056" w:type="dxa"/>
            <w:gridSpan w:val="2"/>
            <w:vMerge w:val="continue"/>
            <w:noWrap w:val="0"/>
            <w:vAlign w:val="center"/>
          </w:tcPr>
          <w:p>
            <w:pPr>
              <w:jc w:val="center"/>
              <w:rPr>
                <w:rFonts w:hint="eastAsia"/>
                <w:color w:val="000000"/>
                <w:szCs w:val="21"/>
              </w:rPr>
            </w:pPr>
          </w:p>
        </w:tc>
        <w:tc>
          <w:tcPr>
            <w:tcW w:w="2670" w:type="dxa"/>
            <w:gridSpan w:val="4"/>
            <w:vMerge w:val="continue"/>
            <w:tcBorders>
              <w:right w:val="single" w:color="auto" w:sz="4" w:space="0"/>
            </w:tcBorders>
            <w:noWrap w:val="0"/>
            <w:vAlign w:val="center"/>
          </w:tcPr>
          <w:p>
            <w:pPr>
              <w:rPr>
                <w:color w:val="000000"/>
                <w:szCs w:val="21"/>
              </w:rPr>
            </w:pPr>
          </w:p>
        </w:tc>
        <w:tc>
          <w:tcPr>
            <w:tcW w:w="1573" w:type="dxa"/>
            <w:gridSpan w:val="3"/>
            <w:vMerge w:val="continue"/>
            <w:tcBorders>
              <w:left w:val="single" w:color="auto" w:sz="4" w:space="0"/>
              <w:right w:val="single" w:color="auto" w:sz="4" w:space="0"/>
            </w:tcBorders>
            <w:noWrap w:val="0"/>
            <w:vAlign w:val="center"/>
          </w:tcPr>
          <w:p>
            <w:pPr>
              <w:rPr>
                <w:color w:val="000000"/>
                <w:szCs w:val="21"/>
              </w:rPr>
            </w:pPr>
          </w:p>
        </w:tc>
        <w:tc>
          <w:tcPr>
            <w:tcW w:w="3804" w:type="dxa"/>
            <w:gridSpan w:val="2"/>
            <w:tcBorders>
              <w:left w:val="single" w:color="auto" w:sz="4" w:space="0"/>
            </w:tcBorders>
            <w:noWrap w:val="0"/>
            <w:vAlign w:val="center"/>
          </w:tcPr>
          <w:p>
            <w:pPr>
              <w:rPr>
                <w:rFonts w:hint="eastAsia"/>
                <w:color w:val="000000"/>
                <w:szCs w:val="21"/>
              </w:rPr>
            </w:pPr>
            <w:r>
              <w:rPr>
                <w:rFonts w:hint="eastAsia"/>
                <w:color w:val="000000"/>
                <w:szCs w:val="21"/>
              </w:rPr>
              <w:t>成员单位：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82" w:hRule="atLeast"/>
          <w:jc w:val="center"/>
        </w:trPr>
        <w:tc>
          <w:tcPr>
            <w:tcW w:w="2056" w:type="dxa"/>
            <w:gridSpan w:val="2"/>
            <w:noWrap w:val="0"/>
            <w:vAlign w:val="center"/>
          </w:tcPr>
          <w:p>
            <w:pPr>
              <w:jc w:val="center"/>
              <w:rPr>
                <w:color w:val="000000"/>
                <w:szCs w:val="21"/>
              </w:rPr>
            </w:pPr>
            <w:r>
              <w:rPr>
                <w:rFonts w:hint="eastAsia" w:hAnsi="宋体"/>
                <w:color w:val="000000"/>
                <w:szCs w:val="21"/>
              </w:rPr>
              <w:t>招标</w:t>
            </w:r>
            <w:r>
              <w:rPr>
                <w:rFonts w:hAnsi="宋体"/>
                <w:color w:val="000000"/>
                <w:szCs w:val="21"/>
              </w:rPr>
              <w:t>代理</w:t>
            </w:r>
            <w:r>
              <w:rPr>
                <w:rFonts w:hint="eastAsia" w:hAnsi="宋体"/>
                <w:color w:val="000000"/>
                <w:szCs w:val="21"/>
              </w:rPr>
              <w:t>机构</w:t>
            </w:r>
          </w:p>
        </w:tc>
        <w:tc>
          <w:tcPr>
            <w:tcW w:w="8047" w:type="dxa"/>
            <w:gridSpan w:val="9"/>
            <w:noWrap w:val="0"/>
            <w:vAlign w:val="center"/>
          </w:tcPr>
          <w:p>
            <w:pP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04" w:hRule="atLeast"/>
          <w:jc w:val="center"/>
        </w:trPr>
        <w:tc>
          <w:tcPr>
            <w:tcW w:w="2056" w:type="dxa"/>
            <w:gridSpan w:val="2"/>
            <w:noWrap w:val="0"/>
            <w:vAlign w:val="center"/>
          </w:tcPr>
          <w:p>
            <w:pPr>
              <w:jc w:val="center"/>
              <w:rPr>
                <w:color w:val="000000"/>
                <w:szCs w:val="21"/>
              </w:rPr>
            </w:pPr>
            <w:r>
              <w:rPr>
                <w:rFonts w:hAnsi="宋体"/>
                <w:color w:val="000000"/>
                <w:szCs w:val="21"/>
              </w:rPr>
              <w:t>工程名称</w:t>
            </w:r>
          </w:p>
        </w:tc>
        <w:tc>
          <w:tcPr>
            <w:tcW w:w="8047" w:type="dxa"/>
            <w:gridSpan w:val="9"/>
            <w:noWrap w:val="0"/>
            <w:vAlign w:val="center"/>
          </w:tcPr>
          <w:p>
            <w:pPr>
              <w:rPr>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55" w:hRule="atLeast"/>
          <w:jc w:val="center"/>
        </w:trPr>
        <w:tc>
          <w:tcPr>
            <w:tcW w:w="2056" w:type="dxa"/>
            <w:gridSpan w:val="2"/>
            <w:noWrap w:val="0"/>
            <w:vAlign w:val="center"/>
          </w:tcPr>
          <w:p>
            <w:pPr>
              <w:jc w:val="center"/>
              <w:rPr>
                <w:color w:val="000000"/>
                <w:szCs w:val="21"/>
              </w:rPr>
            </w:pPr>
            <w:r>
              <w:rPr>
                <w:rFonts w:hAnsi="宋体"/>
                <w:color w:val="000000"/>
                <w:szCs w:val="21"/>
              </w:rPr>
              <w:t>工程地址</w:t>
            </w:r>
          </w:p>
        </w:tc>
        <w:tc>
          <w:tcPr>
            <w:tcW w:w="8047" w:type="dxa"/>
            <w:gridSpan w:val="9"/>
            <w:noWrap w:val="0"/>
            <w:vAlign w:val="center"/>
          </w:tcPr>
          <w:p>
            <w:pPr>
              <w:rPr>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19" w:hRule="atLeast"/>
          <w:jc w:val="center"/>
        </w:trPr>
        <w:tc>
          <w:tcPr>
            <w:tcW w:w="2056" w:type="dxa"/>
            <w:gridSpan w:val="2"/>
            <w:noWrap w:val="0"/>
            <w:vAlign w:val="center"/>
          </w:tcPr>
          <w:p>
            <w:pPr>
              <w:jc w:val="center"/>
              <w:rPr>
                <w:color w:val="000000"/>
                <w:szCs w:val="21"/>
              </w:rPr>
            </w:pPr>
            <w:r>
              <w:rPr>
                <w:rFonts w:hAnsi="宋体"/>
                <w:color w:val="000000"/>
                <w:szCs w:val="21"/>
              </w:rPr>
              <w:t>中标范围</w:t>
            </w:r>
          </w:p>
        </w:tc>
        <w:tc>
          <w:tcPr>
            <w:tcW w:w="8047" w:type="dxa"/>
            <w:gridSpan w:val="9"/>
            <w:noWrap w:val="0"/>
            <w:vAlign w:val="center"/>
          </w:tcPr>
          <w:p>
            <w:pPr>
              <w:rPr>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50" w:hRule="atLeast"/>
          <w:jc w:val="center"/>
        </w:trPr>
        <w:tc>
          <w:tcPr>
            <w:tcW w:w="2056" w:type="dxa"/>
            <w:gridSpan w:val="2"/>
            <w:noWrap w:val="0"/>
            <w:vAlign w:val="center"/>
          </w:tcPr>
          <w:p>
            <w:pPr>
              <w:jc w:val="center"/>
              <w:rPr>
                <w:color w:val="000000"/>
                <w:szCs w:val="21"/>
              </w:rPr>
            </w:pPr>
            <w:r>
              <w:rPr>
                <w:rFonts w:hint="eastAsia" w:hAnsi="宋体"/>
                <w:color w:val="000000"/>
                <w:szCs w:val="21"/>
              </w:rPr>
              <w:t>工程规模</w:t>
            </w:r>
          </w:p>
        </w:tc>
        <w:tc>
          <w:tcPr>
            <w:tcW w:w="2712" w:type="dxa"/>
            <w:gridSpan w:val="5"/>
            <w:noWrap w:val="0"/>
            <w:vAlign w:val="center"/>
          </w:tcPr>
          <w:p>
            <w:pPr>
              <w:jc w:val="center"/>
              <w:rPr>
                <w:color w:val="000000"/>
                <w:kern w:val="0"/>
                <w:szCs w:val="21"/>
              </w:rPr>
            </w:pPr>
            <w:r>
              <w:rPr>
                <w:rFonts w:hint="eastAsia"/>
                <w:color w:val="000000"/>
                <w:kern w:val="0"/>
                <w:szCs w:val="21"/>
              </w:rPr>
              <w:t xml:space="preserve">       （应注明建筑面积等指标）</w:t>
            </w:r>
          </w:p>
        </w:tc>
        <w:tc>
          <w:tcPr>
            <w:tcW w:w="1064" w:type="dxa"/>
            <w:noWrap w:val="0"/>
            <w:vAlign w:val="center"/>
          </w:tcPr>
          <w:p>
            <w:pPr>
              <w:jc w:val="center"/>
              <w:rPr>
                <w:rFonts w:hint="eastAsia"/>
                <w:color w:val="000000"/>
                <w:szCs w:val="21"/>
              </w:rPr>
            </w:pPr>
            <w:r>
              <w:rPr>
                <w:rFonts w:hAnsi="宋体"/>
                <w:color w:val="000000"/>
                <w:szCs w:val="21"/>
              </w:rPr>
              <w:t>工程</w:t>
            </w:r>
            <w:r>
              <w:rPr>
                <w:rFonts w:hint="eastAsia" w:hAnsi="宋体"/>
                <w:color w:val="000000"/>
                <w:szCs w:val="21"/>
              </w:rPr>
              <w:t>投资</w:t>
            </w:r>
          </w:p>
        </w:tc>
        <w:tc>
          <w:tcPr>
            <w:tcW w:w="4271" w:type="dxa"/>
            <w:gridSpan w:val="3"/>
            <w:noWrap w:val="0"/>
            <w:vAlign w:val="center"/>
          </w:tcPr>
          <w:p>
            <w:pPr>
              <w:spacing w:line="360" w:lineRule="exact"/>
              <w:rPr>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05" w:hRule="atLeast"/>
          <w:jc w:val="center"/>
        </w:trPr>
        <w:tc>
          <w:tcPr>
            <w:tcW w:w="2056" w:type="dxa"/>
            <w:gridSpan w:val="2"/>
            <w:tcBorders>
              <w:bottom w:val="single" w:color="auto" w:sz="4" w:space="0"/>
            </w:tcBorders>
            <w:noWrap w:val="0"/>
            <w:vAlign w:val="center"/>
          </w:tcPr>
          <w:p>
            <w:pPr>
              <w:jc w:val="center"/>
              <w:rPr>
                <w:rFonts w:hint="eastAsia"/>
                <w:color w:val="000000"/>
                <w:szCs w:val="21"/>
              </w:rPr>
            </w:pPr>
            <w:r>
              <w:rPr>
                <w:rFonts w:hint="eastAsia"/>
                <w:color w:val="000000"/>
                <w:szCs w:val="21"/>
              </w:rPr>
              <w:t>工程总承包项目经理</w:t>
            </w:r>
          </w:p>
        </w:tc>
        <w:tc>
          <w:tcPr>
            <w:tcW w:w="1011" w:type="dxa"/>
            <w:tcBorders>
              <w:bottom w:val="single" w:color="auto" w:sz="4" w:space="0"/>
            </w:tcBorders>
            <w:noWrap w:val="0"/>
            <w:vAlign w:val="center"/>
          </w:tcPr>
          <w:p>
            <w:pPr>
              <w:jc w:val="center"/>
              <w:rPr>
                <w:b/>
                <w:color w:val="000000"/>
                <w:szCs w:val="21"/>
              </w:rPr>
            </w:pPr>
          </w:p>
        </w:tc>
        <w:tc>
          <w:tcPr>
            <w:tcW w:w="1701" w:type="dxa"/>
            <w:gridSpan w:val="4"/>
            <w:tcBorders>
              <w:bottom w:val="single" w:color="auto" w:sz="4" w:space="0"/>
            </w:tcBorders>
            <w:noWrap w:val="0"/>
            <w:vAlign w:val="top"/>
          </w:tcPr>
          <w:p>
            <w:pPr>
              <w:jc w:val="center"/>
              <w:rPr>
                <w:rFonts w:hint="eastAsia"/>
                <w:color w:val="000000"/>
                <w:szCs w:val="21"/>
              </w:rPr>
            </w:pPr>
            <w:r>
              <w:rPr>
                <w:rFonts w:hint="eastAsia" w:hAnsi="宋体" w:cs="宋体"/>
                <w:color w:val="000000"/>
              </w:rPr>
              <w:t>注册专业、等级及注册编号</w:t>
            </w:r>
          </w:p>
        </w:tc>
        <w:tc>
          <w:tcPr>
            <w:tcW w:w="1064" w:type="dxa"/>
            <w:tcBorders>
              <w:bottom w:val="single" w:color="auto" w:sz="4" w:space="0"/>
            </w:tcBorders>
            <w:noWrap w:val="0"/>
            <w:vAlign w:val="center"/>
          </w:tcPr>
          <w:p>
            <w:pPr>
              <w:jc w:val="center"/>
              <w:rPr>
                <w:b/>
                <w:color w:val="000000"/>
                <w:szCs w:val="21"/>
              </w:rPr>
            </w:pPr>
          </w:p>
        </w:tc>
        <w:tc>
          <w:tcPr>
            <w:tcW w:w="1206" w:type="dxa"/>
            <w:gridSpan w:val="2"/>
            <w:tcBorders>
              <w:bottom w:val="single" w:color="auto" w:sz="4" w:space="0"/>
            </w:tcBorders>
            <w:noWrap w:val="0"/>
            <w:vAlign w:val="top"/>
          </w:tcPr>
          <w:p>
            <w:pPr>
              <w:jc w:val="center"/>
              <w:rPr>
                <w:rFonts w:hint="eastAsia"/>
                <w:color w:val="000000"/>
                <w:szCs w:val="21"/>
              </w:rPr>
            </w:pPr>
            <w:r>
              <w:rPr>
                <w:rFonts w:hint="eastAsia" w:hAnsi="宋体" w:cs="宋体"/>
                <w:color w:val="000000"/>
                <w:kern w:val="0"/>
              </w:rPr>
              <w:t>身份证号</w:t>
            </w:r>
          </w:p>
        </w:tc>
        <w:tc>
          <w:tcPr>
            <w:tcW w:w="3065" w:type="dxa"/>
            <w:tcBorders>
              <w:bottom w:val="single" w:color="auto" w:sz="4" w:space="0"/>
            </w:tcBorders>
            <w:noWrap w:val="0"/>
            <w:vAlign w:val="center"/>
          </w:tcPr>
          <w:p>
            <w:pPr>
              <w:jc w:val="center"/>
              <w:rPr>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20" w:hRule="atLeast"/>
          <w:jc w:val="center"/>
        </w:trPr>
        <w:tc>
          <w:tcPr>
            <w:tcW w:w="2056" w:type="dxa"/>
            <w:gridSpan w:val="2"/>
            <w:noWrap w:val="0"/>
            <w:vAlign w:val="center"/>
          </w:tcPr>
          <w:p>
            <w:pPr>
              <w:jc w:val="center"/>
              <w:rPr>
                <w:rFonts w:hint="eastAsia" w:hAnsi="宋体"/>
                <w:color w:val="000000"/>
                <w:szCs w:val="21"/>
              </w:rPr>
            </w:pPr>
            <w:r>
              <w:rPr>
                <w:rFonts w:hint="eastAsia" w:hAnsi="宋体"/>
                <w:color w:val="000000"/>
                <w:szCs w:val="21"/>
              </w:rPr>
              <w:t>项目设计负责人</w:t>
            </w:r>
          </w:p>
        </w:tc>
        <w:tc>
          <w:tcPr>
            <w:tcW w:w="1011" w:type="dxa"/>
            <w:noWrap w:val="0"/>
            <w:vAlign w:val="center"/>
          </w:tcPr>
          <w:p>
            <w:pPr>
              <w:jc w:val="center"/>
              <w:rPr>
                <w:b/>
                <w:color w:val="000000"/>
                <w:szCs w:val="21"/>
              </w:rPr>
            </w:pPr>
          </w:p>
        </w:tc>
        <w:tc>
          <w:tcPr>
            <w:tcW w:w="1701" w:type="dxa"/>
            <w:gridSpan w:val="4"/>
            <w:noWrap w:val="0"/>
            <w:vAlign w:val="top"/>
          </w:tcPr>
          <w:p>
            <w:pPr>
              <w:jc w:val="center"/>
              <w:rPr>
                <w:color w:val="000000"/>
              </w:rPr>
            </w:pPr>
            <w:r>
              <w:rPr>
                <w:rFonts w:hint="eastAsia" w:hAnsi="宋体" w:cs="宋体"/>
                <w:color w:val="000000"/>
              </w:rPr>
              <w:t>注册专业、等级及注册编号</w:t>
            </w:r>
          </w:p>
        </w:tc>
        <w:tc>
          <w:tcPr>
            <w:tcW w:w="1064" w:type="dxa"/>
            <w:noWrap w:val="0"/>
            <w:vAlign w:val="center"/>
          </w:tcPr>
          <w:p>
            <w:pPr>
              <w:jc w:val="center"/>
              <w:rPr>
                <w:b/>
                <w:color w:val="000000"/>
                <w:szCs w:val="21"/>
              </w:rPr>
            </w:pPr>
          </w:p>
        </w:tc>
        <w:tc>
          <w:tcPr>
            <w:tcW w:w="1206" w:type="dxa"/>
            <w:gridSpan w:val="2"/>
            <w:noWrap w:val="0"/>
            <w:vAlign w:val="top"/>
          </w:tcPr>
          <w:p>
            <w:pPr>
              <w:jc w:val="center"/>
              <w:rPr>
                <w:color w:val="000000"/>
              </w:rPr>
            </w:pPr>
            <w:r>
              <w:rPr>
                <w:rFonts w:hint="eastAsia" w:hAnsi="宋体" w:cs="宋体"/>
                <w:color w:val="000000"/>
                <w:kern w:val="0"/>
              </w:rPr>
              <w:t>身份证号</w:t>
            </w:r>
          </w:p>
        </w:tc>
        <w:tc>
          <w:tcPr>
            <w:tcW w:w="3065" w:type="dxa"/>
            <w:noWrap w:val="0"/>
            <w:vAlign w:val="center"/>
          </w:tcPr>
          <w:p>
            <w:pPr>
              <w:jc w:val="center"/>
              <w:rPr>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35" w:hRule="atLeast"/>
          <w:jc w:val="center"/>
        </w:trPr>
        <w:tc>
          <w:tcPr>
            <w:tcW w:w="2056" w:type="dxa"/>
            <w:gridSpan w:val="2"/>
            <w:noWrap w:val="0"/>
            <w:vAlign w:val="center"/>
          </w:tcPr>
          <w:p>
            <w:pPr>
              <w:jc w:val="center"/>
              <w:rPr>
                <w:rFonts w:hint="eastAsia" w:hAnsi="宋体"/>
                <w:color w:val="000000"/>
                <w:szCs w:val="21"/>
              </w:rPr>
            </w:pPr>
            <w:r>
              <w:rPr>
                <w:rFonts w:hint="eastAsia" w:hAnsi="宋体"/>
                <w:color w:val="000000"/>
                <w:szCs w:val="21"/>
              </w:rPr>
              <w:t>施工项目经理</w:t>
            </w:r>
          </w:p>
        </w:tc>
        <w:tc>
          <w:tcPr>
            <w:tcW w:w="1011" w:type="dxa"/>
            <w:noWrap w:val="0"/>
            <w:vAlign w:val="center"/>
          </w:tcPr>
          <w:p>
            <w:pPr>
              <w:jc w:val="center"/>
              <w:rPr>
                <w:b/>
                <w:color w:val="000000"/>
                <w:szCs w:val="21"/>
              </w:rPr>
            </w:pPr>
          </w:p>
        </w:tc>
        <w:tc>
          <w:tcPr>
            <w:tcW w:w="1701" w:type="dxa"/>
            <w:gridSpan w:val="4"/>
            <w:noWrap w:val="0"/>
            <w:vAlign w:val="top"/>
          </w:tcPr>
          <w:p>
            <w:pPr>
              <w:jc w:val="center"/>
              <w:rPr>
                <w:color w:val="000000"/>
              </w:rPr>
            </w:pPr>
            <w:r>
              <w:rPr>
                <w:rFonts w:hint="eastAsia" w:hAnsi="宋体" w:cs="宋体"/>
                <w:color w:val="000000"/>
              </w:rPr>
              <w:t>注册专业、等级及注册编号</w:t>
            </w:r>
          </w:p>
        </w:tc>
        <w:tc>
          <w:tcPr>
            <w:tcW w:w="1064" w:type="dxa"/>
            <w:noWrap w:val="0"/>
            <w:vAlign w:val="center"/>
          </w:tcPr>
          <w:p>
            <w:pPr>
              <w:jc w:val="center"/>
              <w:rPr>
                <w:b/>
                <w:color w:val="000000"/>
                <w:szCs w:val="21"/>
              </w:rPr>
            </w:pPr>
          </w:p>
        </w:tc>
        <w:tc>
          <w:tcPr>
            <w:tcW w:w="1206" w:type="dxa"/>
            <w:gridSpan w:val="2"/>
            <w:noWrap w:val="0"/>
            <w:vAlign w:val="top"/>
          </w:tcPr>
          <w:p>
            <w:pPr>
              <w:jc w:val="center"/>
              <w:rPr>
                <w:color w:val="000000"/>
              </w:rPr>
            </w:pPr>
            <w:r>
              <w:rPr>
                <w:rFonts w:hint="eastAsia" w:hAnsi="宋体" w:cs="宋体"/>
                <w:color w:val="000000"/>
                <w:kern w:val="0"/>
              </w:rPr>
              <w:t>身份证号</w:t>
            </w:r>
          </w:p>
        </w:tc>
        <w:tc>
          <w:tcPr>
            <w:tcW w:w="3065" w:type="dxa"/>
            <w:noWrap w:val="0"/>
            <w:vAlign w:val="center"/>
          </w:tcPr>
          <w:p>
            <w:pPr>
              <w:jc w:val="center"/>
              <w:rPr>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536" w:hRule="atLeast"/>
          <w:jc w:val="center"/>
        </w:trPr>
        <w:tc>
          <w:tcPr>
            <w:tcW w:w="2056" w:type="dxa"/>
            <w:gridSpan w:val="2"/>
            <w:noWrap w:val="0"/>
            <w:vAlign w:val="center"/>
          </w:tcPr>
          <w:p>
            <w:pPr>
              <w:jc w:val="center"/>
              <w:rPr>
                <w:rFonts w:hint="eastAsia" w:hAnsi="宋体"/>
                <w:color w:val="000000"/>
                <w:szCs w:val="21"/>
              </w:rPr>
            </w:pPr>
            <w:r>
              <w:rPr>
                <w:rFonts w:hint="eastAsia" w:hAnsi="宋体" w:cs="宋体"/>
                <w:color w:val="000000"/>
              </w:rPr>
              <w:t>专职安全生产管理人员及安全生产考核合格证书编号、身份证</w:t>
            </w:r>
            <w:r>
              <w:rPr>
                <w:rFonts w:hAnsi="宋体" w:cs="宋体"/>
                <w:color w:val="000000"/>
              </w:rPr>
              <w:t>号</w:t>
            </w:r>
            <w:r>
              <w:rPr>
                <w:rFonts w:hint="eastAsia" w:hAnsi="宋体" w:cs="宋体"/>
                <w:color w:val="000000"/>
              </w:rPr>
              <w:t>（全部）</w:t>
            </w:r>
          </w:p>
        </w:tc>
        <w:tc>
          <w:tcPr>
            <w:tcW w:w="8047" w:type="dxa"/>
            <w:gridSpan w:val="9"/>
            <w:noWrap w:val="0"/>
            <w:vAlign w:val="center"/>
          </w:tcPr>
          <w:p>
            <w:pPr>
              <w:rPr>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673" w:hRule="atLeast"/>
          <w:jc w:val="center"/>
        </w:trPr>
        <w:tc>
          <w:tcPr>
            <w:tcW w:w="718" w:type="dxa"/>
            <w:vMerge w:val="restart"/>
            <w:noWrap w:val="0"/>
            <w:vAlign w:val="center"/>
          </w:tcPr>
          <w:p>
            <w:pPr>
              <w:jc w:val="center"/>
              <w:rPr>
                <w:color w:val="000000"/>
                <w:szCs w:val="21"/>
              </w:rPr>
            </w:pPr>
            <w:r>
              <w:rPr>
                <w:rFonts w:hAnsi="宋体"/>
                <w:color w:val="000000"/>
                <w:szCs w:val="21"/>
              </w:rPr>
              <w:t>中标</w:t>
            </w:r>
          </w:p>
          <w:p>
            <w:pPr>
              <w:jc w:val="center"/>
              <w:rPr>
                <w:color w:val="000000"/>
                <w:szCs w:val="21"/>
              </w:rPr>
            </w:pPr>
            <w:r>
              <w:rPr>
                <w:rFonts w:hAnsi="宋体"/>
                <w:color w:val="000000"/>
                <w:szCs w:val="21"/>
              </w:rPr>
              <w:t>主要</w:t>
            </w:r>
          </w:p>
          <w:p>
            <w:pPr>
              <w:jc w:val="center"/>
              <w:rPr>
                <w:color w:val="000000"/>
                <w:szCs w:val="21"/>
              </w:rPr>
            </w:pPr>
            <w:r>
              <w:rPr>
                <w:rFonts w:hAnsi="宋体"/>
                <w:color w:val="000000"/>
                <w:szCs w:val="21"/>
              </w:rPr>
              <w:t>条件</w:t>
            </w:r>
          </w:p>
        </w:tc>
        <w:tc>
          <w:tcPr>
            <w:tcW w:w="1338" w:type="dxa"/>
            <w:noWrap w:val="0"/>
            <w:vAlign w:val="center"/>
          </w:tcPr>
          <w:p>
            <w:pPr>
              <w:jc w:val="center"/>
              <w:rPr>
                <w:color w:val="000000"/>
                <w:szCs w:val="21"/>
              </w:rPr>
            </w:pPr>
            <w:r>
              <w:rPr>
                <w:rFonts w:hAnsi="宋体"/>
                <w:color w:val="000000"/>
                <w:szCs w:val="21"/>
              </w:rPr>
              <w:t>中标价</w:t>
            </w:r>
          </w:p>
        </w:tc>
        <w:tc>
          <w:tcPr>
            <w:tcW w:w="2075" w:type="dxa"/>
            <w:gridSpan w:val="3"/>
            <w:noWrap w:val="0"/>
            <w:vAlign w:val="center"/>
          </w:tcPr>
          <w:p>
            <w:pPr>
              <w:jc w:val="right"/>
              <w:rPr>
                <w:b/>
                <w:color w:val="000000"/>
                <w:szCs w:val="21"/>
              </w:rPr>
            </w:pPr>
          </w:p>
        </w:tc>
        <w:tc>
          <w:tcPr>
            <w:tcW w:w="637" w:type="dxa"/>
            <w:gridSpan w:val="2"/>
            <w:vMerge w:val="restart"/>
            <w:noWrap w:val="0"/>
            <w:vAlign w:val="center"/>
          </w:tcPr>
          <w:p>
            <w:pPr>
              <w:jc w:val="right"/>
              <w:rPr>
                <w:b/>
                <w:color w:val="000000"/>
                <w:szCs w:val="21"/>
              </w:rPr>
            </w:pPr>
            <w:r>
              <w:rPr>
                <w:rFonts w:hint="eastAsia" w:hAnsi="宋体"/>
                <w:color w:val="000000"/>
                <w:szCs w:val="21"/>
              </w:rPr>
              <w:t>其中</w:t>
            </w:r>
          </w:p>
        </w:tc>
        <w:tc>
          <w:tcPr>
            <w:tcW w:w="5335" w:type="dxa"/>
            <w:gridSpan w:val="4"/>
            <w:noWrap w:val="0"/>
            <w:vAlign w:val="center"/>
          </w:tcPr>
          <w:p>
            <w:pPr>
              <w:rPr>
                <w:rFonts w:hint="eastAsia"/>
                <w:color w:val="000000"/>
                <w:szCs w:val="21"/>
              </w:rPr>
            </w:pPr>
            <w:r>
              <w:rPr>
                <w:rFonts w:hint="eastAsia"/>
                <w:color w:val="000000"/>
                <w:szCs w:val="21"/>
              </w:rPr>
              <w:t>（1）设计费：</w:t>
            </w:r>
            <w:r>
              <w:rPr>
                <w:rFonts w:hint="eastAsia"/>
                <w:color w:val="000000"/>
                <w:szCs w:val="21"/>
                <w:u w:val="single"/>
              </w:rPr>
              <w:t xml:space="preserve">       </w:t>
            </w:r>
            <w:r>
              <w:rPr>
                <w:rFonts w:hint="eastAsia"/>
                <w:color w:val="000000"/>
                <w:szCs w:val="21"/>
              </w:rPr>
              <w:t>万元；</w:t>
            </w:r>
          </w:p>
          <w:p>
            <w:pPr>
              <w:rPr>
                <w:rFonts w:hint="eastAsia"/>
                <w:color w:val="000000"/>
                <w:szCs w:val="21"/>
              </w:rPr>
            </w:pPr>
            <w:r>
              <w:rPr>
                <w:rFonts w:hint="eastAsia"/>
                <w:color w:val="000000"/>
                <w:szCs w:val="21"/>
              </w:rPr>
              <w:t>（2）建筑安装工程费：</w:t>
            </w:r>
            <w:r>
              <w:rPr>
                <w:rFonts w:hint="eastAsia"/>
                <w:color w:val="000000"/>
                <w:szCs w:val="21"/>
                <w:u w:val="single"/>
              </w:rPr>
              <w:t xml:space="preserve">       </w:t>
            </w:r>
            <w:r>
              <w:rPr>
                <w:rFonts w:hint="eastAsia"/>
                <w:color w:val="000000"/>
                <w:szCs w:val="21"/>
              </w:rPr>
              <w:t>万元；</w:t>
            </w:r>
          </w:p>
          <w:p>
            <w:pPr>
              <w:rPr>
                <w:rFonts w:hint="eastAsia"/>
                <w:color w:val="000000"/>
                <w:szCs w:val="21"/>
              </w:rPr>
            </w:pPr>
            <w:r>
              <w:rPr>
                <w:rFonts w:hint="eastAsia"/>
                <w:color w:val="000000"/>
                <w:szCs w:val="21"/>
              </w:rPr>
              <w:t>其中</w:t>
            </w:r>
            <w:r>
              <w:rPr>
                <w:color w:val="000000"/>
                <w:szCs w:val="21"/>
              </w:rPr>
              <w:t>：</w:t>
            </w:r>
            <w:r>
              <w:rPr>
                <w:rFonts w:hint="eastAsia"/>
                <w:color w:val="000000"/>
                <w:szCs w:val="21"/>
              </w:rPr>
              <w:t>2.1建筑安装工程费固定价部分：</w:t>
            </w:r>
            <w:r>
              <w:rPr>
                <w:rFonts w:hint="eastAsia"/>
                <w:color w:val="000000"/>
                <w:szCs w:val="21"/>
                <w:u w:val="single"/>
              </w:rPr>
              <w:t xml:space="preserve">       </w:t>
            </w:r>
            <w:r>
              <w:rPr>
                <w:rFonts w:hint="eastAsia"/>
                <w:color w:val="000000"/>
                <w:szCs w:val="21"/>
              </w:rPr>
              <w:t>万元；</w:t>
            </w:r>
          </w:p>
          <w:p>
            <w:pPr>
              <w:rPr>
                <w:rFonts w:hint="eastAsia"/>
                <w:color w:val="000000"/>
                <w:szCs w:val="21"/>
              </w:rPr>
            </w:pPr>
            <w:r>
              <w:rPr>
                <w:rFonts w:hint="eastAsia"/>
                <w:color w:val="000000"/>
                <w:szCs w:val="21"/>
              </w:rPr>
              <w:t>2.2暂估价：</w:t>
            </w:r>
            <w:r>
              <w:rPr>
                <w:rFonts w:hint="eastAsia"/>
                <w:color w:val="000000"/>
                <w:szCs w:val="21"/>
                <w:u w:val="single"/>
              </w:rPr>
              <w:t xml:space="preserve">     </w:t>
            </w:r>
            <w:r>
              <w:rPr>
                <w:rFonts w:hint="eastAsia"/>
                <w:color w:val="000000"/>
                <w:szCs w:val="21"/>
              </w:rPr>
              <w:t>万元；（如有）</w:t>
            </w:r>
          </w:p>
          <w:p>
            <w:pPr>
              <w:rPr>
                <w:color w:val="000000"/>
                <w:szCs w:val="21"/>
              </w:rPr>
            </w:pPr>
            <w:r>
              <w:rPr>
                <w:rFonts w:hint="eastAsia"/>
                <w:color w:val="000000"/>
                <w:szCs w:val="21"/>
              </w:rPr>
              <w:t>2.3暂列金额：</w:t>
            </w:r>
            <w:r>
              <w:rPr>
                <w:rFonts w:hint="eastAsia"/>
                <w:color w:val="000000"/>
                <w:szCs w:val="21"/>
                <w:u w:val="single"/>
              </w:rPr>
              <w:t xml:space="preserve">     </w:t>
            </w:r>
            <w:r>
              <w:rPr>
                <w:rFonts w:hint="eastAsia"/>
                <w:color w:val="000000"/>
                <w:szCs w:val="21"/>
              </w:rPr>
              <w:t>万元。（如有）</w:t>
            </w:r>
          </w:p>
          <w:p>
            <w:pPr>
              <w:rPr>
                <w:rFonts w:hint="eastAsia"/>
                <w:color w:val="000000"/>
                <w:szCs w:val="21"/>
              </w:rPr>
            </w:pPr>
            <w:r>
              <w:rPr>
                <w:rFonts w:hint="eastAsia"/>
                <w:color w:val="000000"/>
                <w:szCs w:val="21"/>
              </w:rPr>
              <w:t>本项目总工期为     天（日历天）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73" w:hRule="atLeast"/>
          <w:jc w:val="center"/>
        </w:trPr>
        <w:tc>
          <w:tcPr>
            <w:tcW w:w="718" w:type="dxa"/>
            <w:vMerge w:val="continue"/>
            <w:noWrap w:val="0"/>
            <w:vAlign w:val="top"/>
          </w:tcPr>
          <w:p>
            <w:pPr>
              <w:rPr>
                <w:color w:val="000000"/>
                <w:szCs w:val="21"/>
              </w:rPr>
            </w:pPr>
          </w:p>
        </w:tc>
        <w:tc>
          <w:tcPr>
            <w:tcW w:w="1338" w:type="dxa"/>
            <w:noWrap w:val="0"/>
            <w:vAlign w:val="center"/>
          </w:tcPr>
          <w:p>
            <w:pPr>
              <w:jc w:val="center"/>
              <w:rPr>
                <w:color w:val="000000"/>
                <w:szCs w:val="21"/>
              </w:rPr>
            </w:pPr>
            <w:r>
              <w:rPr>
                <w:rFonts w:hAnsi="宋体"/>
                <w:color w:val="000000"/>
                <w:szCs w:val="21"/>
              </w:rPr>
              <w:t>工期</w:t>
            </w:r>
          </w:p>
        </w:tc>
        <w:tc>
          <w:tcPr>
            <w:tcW w:w="2075" w:type="dxa"/>
            <w:gridSpan w:val="3"/>
            <w:noWrap w:val="0"/>
            <w:vAlign w:val="center"/>
          </w:tcPr>
          <w:p>
            <w:pPr>
              <w:jc w:val="right"/>
              <w:rPr>
                <w:b/>
                <w:color w:val="000000"/>
                <w:szCs w:val="21"/>
              </w:rPr>
            </w:pPr>
          </w:p>
        </w:tc>
        <w:tc>
          <w:tcPr>
            <w:tcW w:w="637" w:type="dxa"/>
            <w:gridSpan w:val="2"/>
            <w:vMerge w:val="continue"/>
            <w:noWrap w:val="0"/>
            <w:vAlign w:val="center"/>
          </w:tcPr>
          <w:p>
            <w:pPr>
              <w:jc w:val="right"/>
              <w:rPr>
                <w:b/>
                <w:color w:val="000000"/>
                <w:szCs w:val="21"/>
              </w:rPr>
            </w:pPr>
          </w:p>
        </w:tc>
        <w:tc>
          <w:tcPr>
            <w:tcW w:w="5335" w:type="dxa"/>
            <w:gridSpan w:val="4"/>
            <w:noWrap w:val="0"/>
            <w:vAlign w:val="top"/>
          </w:tcPr>
          <w:p>
            <w:pPr>
              <w:rPr>
                <w:rFonts w:hint="eastAsia" w:ascii="宋体" w:hAnsi="宋体"/>
                <w:color w:val="000000"/>
                <w:szCs w:val="21"/>
              </w:rPr>
            </w:pPr>
            <w:r>
              <w:rPr>
                <w:rFonts w:hint="eastAsia"/>
                <w:color w:val="000000"/>
                <w:szCs w:val="21"/>
              </w:rPr>
              <w:t>其中</w:t>
            </w:r>
            <w:r>
              <w:rPr>
                <w:color w:val="000000"/>
                <w:szCs w:val="21"/>
              </w:rPr>
              <w:t>：</w:t>
            </w:r>
            <w:r>
              <w:rPr>
                <w:rFonts w:hint="eastAsia"/>
                <w:color w:val="000000"/>
                <w:szCs w:val="21"/>
              </w:rPr>
              <w:t>（1）</w:t>
            </w:r>
            <w:r>
              <w:rPr>
                <w:rFonts w:hint="eastAsia" w:ascii="宋体" w:hAnsi="宋体"/>
                <w:color w:val="000000"/>
                <w:szCs w:val="21"/>
              </w:rPr>
              <w:t>设计工期</w:t>
            </w:r>
            <w:r>
              <w:rPr>
                <w:rFonts w:hint="eastAsia" w:ascii="宋体" w:hAnsi="宋体"/>
                <w:color w:val="000000"/>
                <w:szCs w:val="21"/>
                <w:u w:val="single"/>
              </w:rPr>
              <w:t xml:space="preserve">      </w:t>
            </w:r>
            <w:r>
              <w:rPr>
                <w:rFonts w:hint="eastAsia"/>
                <w:color w:val="000000"/>
                <w:szCs w:val="21"/>
              </w:rPr>
              <w:t>日历天</w:t>
            </w:r>
          </w:p>
          <w:p>
            <w:pPr>
              <w:rPr>
                <w:rFonts w:hint="eastAsia"/>
                <w:color w:val="000000"/>
                <w:szCs w:val="21"/>
              </w:rPr>
            </w:pPr>
            <w:r>
              <w:rPr>
                <w:rFonts w:hint="eastAsia" w:ascii="宋体" w:hAnsi="宋体"/>
                <w:color w:val="000000"/>
                <w:szCs w:val="21"/>
              </w:rPr>
              <w:t>（2）施工工期</w:t>
            </w:r>
            <w:r>
              <w:rPr>
                <w:rFonts w:hint="eastAsia" w:ascii="宋体" w:hAnsi="宋体"/>
                <w:color w:val="000000"/>
                <w:szCs w:val="21"/>
                <w:u w:val="single"/>
              </w:rPr>
              <w:t xml:space="preserve">      </w:t>
            </w:r>
            <w:r>
              <w:rPr>
                <w:rFonts w:hint="eastAsia"/>
                <w:color w:val="000000"/>
                <w:szCs w:val="21"/>
              </w:rPr>
              <w:t>日历天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943" w:hRule="atLeast"/>
          <w:jc w:val="center"/>
        </w:trPr>
        <w:tc>
          <w:tcPr>
            <w:tcW w:w="718" w:type="dxa"/>
            <w:vMerge w:val="continue"/>
            <w:noWrap w:val="0"/>
            <w:vAlign w:val="top"/>
          </w:tcPr>
          <w:p>
            <w:pPr>
              <w:rPr>
                <w:color w:val="000000"/>
                <w:szCs w:val="21"/>
              </w:rPr>
            </w:pPr>
          </w:p>
        </w:tc>
        <w:tc>
          <w:tcPr>
            <w:tcW w:w="1338" w:type="dxa"/>
            <w:tcBorders>
              <w:right w:val="single" w:color="auto" w:sz="4" w:space="0"/>
            </w:tcBorders>
            <w:noWrap w:val="0"/>
            <w:vAlign w:val="center"/>
          </w:tcPr>
          <w:p>
            <w:pPr>
              <w:jc w:val="center"/>
              <w:rPr>
                <w:color w:val="000000"/>
                <w:szCs w:val="21"/>
              </w:rPr>
            </w:pPr>
            <w:r>
              <w:rPr>
                <w:rFonts w:hAnsi="宋体"/>
                <w:color w:val="000000"/>
                <w:szCs w:val="21"/>
              </w:rPr>
              <w:t>质量</w:t>
            </w:r>
          </w:p>
        </w:tc>
        <w:tc>
          <w:tcPr>
            <w:tcW w:w="8047" w:type="dxa"/>
            <w:gridSpan w:val="9"/>
            <w:tcBorders>
              <w:left w:val="single" w:color="auto" w:sz="4" w:space="0"/>
            </w:tcBorders>
            <w:noWrap w:val="0"/>
            <w:vAlign w:val="center"/>
          </w:tcPr>
          <w:p>
            <w:pPr>
              <w:ind w:right="105"/>
              <w:rPr>
                <w:rFonts w:hint="eastAsia"/>
                <w:color w:val="000000"/>
                <w:szCs w:val="21"/>
              </w:rPr>
            </w:pPr>
            <w:r>
              <w:rPr>
                <w:rFonts w:hint="eastAsia"/>
                <w:color w:val="000000"/>
                <w:szCs w:val="21"/>
              </w:rPr>
              <w:t>（1）设计质量：</w:t>
            </w:r>
          </w:p>
          <w:p>
            <w:pPr>
              <w:ind w:right="105"/>
              <w:rPr>
                <w:rFonts w:hint="eastAsia"/>
                <w:color w:val="000000"/>
                <w:szCs w:val="21"/>
              </w:rPr>
            </w:pPr>
            <w:r>
              <w:rPr>
                <w:rFonts w:hint="eastAsia"/>
                <w:color w:val="000000"/>
                <w:szCs w:val="21"/>
              </w:rPr>
              <w:t>（2）施工质量：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377" w:hRule="atLeast"/>
          <w:jc w:val="center"/>
        </w:trPr>
        <w:tc>
          <w:tcPr>
            <w:tcW w:w="3170" w:type="dxa"/>
            <w:gridSpan w:val="4"/>
            <w:noWrap w:val="0"/>
            <w:vAlign w:val="top"/>
          </w:tcPr>
          <w:p>
            <w:pPr>
              <w:rPr>
                <w:color w:val="000000"/>
                <w:szCs w:val="21"/>
              </w:rPr>
            </w:pPr>
            <w:r>
              <w:rPr>
                <w:rFonts w:hint="eastAsia" w:hAnsi="宋体"/>
                <w:color w:val="000000"/>
                <w:szCs w:val="21"/>
              </w:rPr>
              <w:t>代建单位（如有）</w:t>
            </w:r>
            <w:r>
              <w:rPr>
                <w:rFonts w:hAnsi="宋体"/>
                <w:color w:val="000000"/>
                <w:szCs w:val="21"/>
              </w:rPr>
              <w:t>：</w:t>
            </w:r>
          </w:p>
          <w:p>
            <w:pPr>
              <w:rPr>
                <w:color w:val="000000"/>
                <w:szCs w:val="21"/>
              </w:rPr>
            </w:pPr>
            <w:r>
              <w:rPr>
                <w:rFonts w:hAnsi="宋体"/>
                <w:color w:val="000000"/>
                <w:szCs w:val="21"/>
              </w:rPr>
              <w:t>（盖</w:t>
            </w:r>
            <w:r>
              <w:rPr>
                <w:rFonts w:hint="eastAsia" w:hAnsi="宋体"/>
                <w:color w:val="000000"/>
                <w:szCs w:val="21"/>
              </w:rPr>
              <w:t>单位公</w:t>
            </w:r>
            <w:r>
              <w:rPr>
                <w:rFonts w:hAnsi="宋体"/>
                <w:color w:val="000000"/>
                <w:szCs w:val="21"/>
              </w:rPr>
              <w:t>章）</w:t>
            </w:r>
          </w:p>
          <w:p>
            <w:pPr>
              <w:rPr>
                <w:color w:val="000000"/>
                <w:szCs w:val="21"/>
              </w:rPr>
            </w:pPr>
          </w:p>
          <w:p>
            <w:pPr>
              <w:rPr>
                <w:color w:val="000000"/>
                <w:szCs w:val="21"/>
              </w:rPr>
            </w:pPr>
          </w:p>
          <w:p>
            <w:pPr>
              <w:rPr>
                <w:color w:val="000000"/>
                <w:szCs w:val="21"/>
              </w:rPr>
            </w:pPr>
            <w:r>
              <w:rPr>
                <w:rFonts w:hAnsi="宋体"/>
                <w:color w:val="000000"/>
                <w:szCs w:val="21"/>
              </w:rPr>
              <w:t>法定代表人：</w:t>
            </w:r>
          </w:p>
          <w:p>
            <w:pPr>
              <w:rPr>
                <w:rFonts w:hint="eastAsia" w:hAnsi="宋体"/>
                <w:color w:val="000000"/>
                <w:szCs w:val="21"/>
              </w:rPr>
            </w:pPr>
            <w:r>
              <w:rPr>
                <w:rFonts w:hAnsi="宋体"/>
                <w:color w:val="000000"/>
                <w:szCs w:val="21"/>
              </w:rPr>
              <w:t>（签字或盖章）</w:t>
            </w:r>
          </w:p>
          <w:p>
            <w:pPr>
              <w:rPr>
                <w:rFonts w:hint="eastAsia"/>
                <w:color w:val="000000"/>
                <w:szCs w:val="21"/>
              </w:rPr>
            </w:pPr>
          </w:p>
          <w:p>
            <w:pPr>
              <w:ind w:firstLine="1260" w:firstLineChars="600"/>
              <w:jc w:val="right"/>
              <w:rPr>
                <w:rFonts w:hint="eastAsia" w:hAnsi="宋体"/>
                <w:color w:val="000000"/>
                <w:szCs w:val="21"/>
              </w:rPr>
            </w:pPr>
            <w:r>
              <w:rPr>
                <w:rFonts w:hAnsi="宋体"/>
                <w:color w:val="000000"/>
                <w:szCs w:val="21"/>
              </w:rPr>
              <w:t>年</w:t>
            </w:r>
            <w:r>
              <w:rPr>
                <w:color w:val="000000"/>
                <w:szCs w:val="21"/>
              </w:rPr>
              <w:t xml:space="preserve">    </w:t>
            </w:r>
            <w:r>
              <w:rPr>
                <w:rFonts w:hAnsi="宋体"/>
                <w:color w:val="000000"/>
                <w:szCs w:val="21"/>
              </w:rPr>
              <w:t>月</w:t>
            </w:r>
            <w:r>
              <w:rPr>
                <w:color w:val="000000"/>
                <w:szCs w:val="21"/>
              </w:rPr>
              <w:t xml:space="preserve">    </w:t>
            </w:r>
            <w:r>
              <w:rPr>
                <w:rFonts w:hAnsi="宋体"/>
                <w:color w:val="000000"/>
                <w:szCs w:val="21"/>
              </w:rPr>
              <w:t>日</w:t>
            </w:r>
          </w:p>
        </w:tc>
        <w:tc>
          <w:tcPr>
            <w:tcW w:w="2662" w:type="dxa"/>
            <w:gridSpan w:val="4"/>
            <w:noWrap w:val="0"/>
            <w:vAlign w:val="top"/>
          </w:tcPr>
          <w:p>
            <w:pPr>
              <w:rPr>
                <w:color w:val="000000"/>
                <w:szCs w:val="21"/>
              </w:rPr>
            </w:pPr>
            <w:r>
              <w:rPr>
                <w:rFonts w:hint="eastAsia" w:hAnsi="宋体"/>
                <w:color w:val="000000"/>
                <w:szCs w:val="21"/>
              </w:rPr>
              <w:t>建设单位</w:t>
            </w:r>
            <w:r>
              <w:rPr>
                <w:rFonts w:hAnsi="宋体"/>
                <w:color w:val="000000"/>
                <w:szCs w:val="21"/>
              </w:rPr>
              <w:t>：</w:t>
            </w:r>
          </w:p>
          <w:p>
            <w:pPr>
              <w:rPr>
                <w:color w:val="000000"/>
                <w:szCs w:val="21"/>
              </w:rPr>
            </w:pPr>
            <w:r>
              <w:rPr>
                <w:rFonts w:hAnsi="宋体"/>
                <w:color w:val="000000"/>
                <w:szCs w:val="21"/>
              </w:rPr>
              <w:t>（盖</w:t>
            </w:r>
            <w:r>
              <w:rPr>
                <w:rFonts w:hint="eastAsia" w:hAnsi="宋体"/>
                <w:color w:val="000000"/>
                <w:szCs w:val="21"/>
              </w:rPr>
              <w:t>单位公</w:t>
            </w:r>
            <w:r>
              <w:rPr>
                <w:rFonts w:hAnsi="宋体"/>
                <w:color w:val="000000"/>
                <w:szCs w:val="21"/>
              </w:rPr>
              <w:t>章）</w:t>
            </w:r>
          </w:p>
          <w:p>
            <w:pPr>
              <w:rPr>
                <w:color w:val="000000"/>
                <w:szCs w:val="21"/>
              </w:rPr>
            </w:pPr>
          </w:p>
          <w:p>
            <w:pPr>
              <w:rPr>
                <w:color w:val="000000"/>
                <w:szCs w:val="21"/>
              </w:rPr>
            </w:pPr>
          </w:p>
          <w:p>
            <w:pPr>
              <w:rPr>
                <w:color w:val="000000"/>
                <w:szCs w:val="21"/>
              </w:rPr>
            </w:pPr>
            <w:r>
              <w:rPr>
                <w:rFonts w:hAnsi="宋体"/>
                <w:color w:val="000000"/>
                <w:szCs w:val="21"/>
              </w:rPr>
              <w:t>法定代表人：</w:t>
            </w:r>
          </w:p>
          <w:p>
            <w:pPr>
              <w:rPr>
                <w:color w:val="000000"/>
                <w:szCs w:val="21"/>
              </w:rPr>
            </w:pPr>
            <w:r>
              <w:rPr>
                <w:rFonts w:hAnsi="宋体"/>
                <w:color w:val="000000"/>
                <w:szCs w:val="21"/>
              </w:rPr>
              <w:t>（签字或盖章）</w:t>
            </w:r>
          </w:p>
          <w:p>
            <w:pPr>
              <w:ind w:firstLine="1155" w:firstLineChars="550"/>
              <w:rPr>
                <w:rFonts w:hint="eastAsia" w:hAnsi="宋体"/>
                <w:color w:val="000000"/>
                <w:szCs w:val="21"/>
              </w:rPr>
            </w:pPr>
          </w:p>
          <w:p>
            <w:pPr>
              <w:rPr>
                <w:color w:val="000000"/>
                <w:szCs w:val="21"/>
              </w:rPr>
            </w:pPr>
            <w:r>
              <w:rPr>
                <w:rFonts w:hint="eastAsia" w:hAnsi="宋体"/>
                <w:color w:val="000000"/>
                <w:szCs w:val="21"/>
              </w:rPr>
              <w:t xml:space="preserve">         </w:t>
            </w:r>
            <w:r>
              <w:rPr>
                <w:rFonts w:hAnsi="宋体"/>
                <w:color w:val="000000"/>
                <w:szCs w:val="21"/>
              </w:rPr>
              <w:t>年</w:t>
            </w:r>
            <w:r>
              <w:rPr>
                <w:color w:val="000000"/>
                <w:szCs w:val="21"/>
              </w:rPr>
              <w:t xml:space="preserve">    </w:t>
            </w:r>
            <w:r>
              <w:rPr>
                <w:rFonts w:hAnsi="宋体"/>
                <w:color w:val="000000"/>
                <w:szCs w:val="21"/>
              </w:rPr>
              <w:t>月</w:t>
            </w:r>
            <w:r>
              <w:rPr>
                <w:color w:val="000000"/>
                <w:szCs w:val="21"/>
              </w:rPr>
              <w:t xml:space="preserve">    </w:t>
            </w:r>
            <w:r>
              <w:rPr>
                <w:rFonts w:hAnsi="宋体"/>
                <w:color w:val="000000"/>
                <w:szCs w:val="21"/>
              </w:rPr>
              <w:t>日</w:t>
            </w:r>
          </w:p>
        </w:tc>
        <w:tc>
          <w:tcPr>
            <w:tcW w:w="4271" w:type="dxa"/>
            <w:gridSpan w:val="3"/>
            <w:noWrap w:val="0"/>
            <w:vAlign w:val="top"/>
          </w:tcPr>
          <w:p>
            <w:pPr>
              <w:rPr>
                <w:color w:val="000000"/>
                <w:szCs w:val="21"/>
              </w:rPr>
            </w:pPr>
            <w:r>
              <w:rPr>
                <w:rFonts w:hint="eastAsia" w:hAnsi="宋体"/>
                <w:color w:val="000000"/>
                <w:szCs w:val="21"/>
              </w:rPr>
              <w:t>招标</w:t>
            </w:r>
            <w:r>
              <w:rPr>
                <w:rFonts w:hAnsi="宋体"/>
                <w:color w:val="000000"/>
                <w:szCs w:val="21"/>
              </w:rPr>
              <w:t>代理</w:t>
            </w:r>
            <w:r>
              <w:rPr>
                <w:rFonts w:hint="eastAsia" w:hAnsi="宋体"/>
                <w:color w:val="000000"/>
                <w:szCs w:val="21"/>
              </w:rPr>
              <w:t>机构</w:t>
            </w:r>
            <w:r>
              <w:rPr>
                <w:rFonts w:hAnsi="宋体"/>
                <w:color w:val="000000"/>
                <w:szCs w:val="21"/>
              </w:rPr>
              <w:t>：</w:t>
            </w:r>
          </w:p>
          <w:p>
            <w:pPr>
              <w:rPr>
                <w:color w:val="000000"/>
                <w:szCs w:val="21"/>
              </w:rPr>
            </w:pPr>
            <w:r>
              <w:rPr>
                <w:rFonts w:hAnsi="宋体"/>
                <w:color w:val="000000"/>
                <w:szCs w:val="21"/>
              </w:rPr>
              <w:t>（盖</w:t>
            </w:r>
            <w:r>
              <w:rPr>
                <w:rFonts w:hint="eastAsia" w:hAnsi="宋体"/>
                <w:color w:val="000000"/>
                <w:szCs w:val="21"/>
              </w:rPr>
              <w:t>单位公</w:t>
            </w:r>
            <w:r>
              <w:rPr>
                <w:rFonts w:hAnsi="宋体"/>
                <w:color w:val="000000"/>
                <w:szCs w:val="21"/>
              </w:rPr>
              <w:t>章）</w:t>
            </w:r>
          </w:p>
          <w:p>
            <w:pPr>
              <w:rPr>
                <w:color w:val="000000"/>
                <w:szCs w:val="21"/>
              </w:rPr>
            </w:pPr>
          </w:p>
          <w:p>
            <w:pPr>
              <w:rPr>
                <w:color w:val="000000"/>
                <w:szCs w:val="21"/>
              </w:rPr>
            </w:pPr>
          </w:p>
          <w:p>
            <w:pPr>
              <w:rPr>
                <w:color w:val="000000"/>
                <w:szCs w:val="21"/>
              </w:rPr>
            </w:pPr>
            <w:r>
              <w:rPr>
                <w:rFonts w:hAnsi="宋体"/>
                <w:color w:val="000000"/>
                <w:szCs w:val="21"/>
              </w:rPr>
              <w:t>法定代表人：</w:t>
            </w:r>
          </w:p>
          <w:p>
            <w:pPr>
              <w:rPr>
                <w:color w:val="000000"/>
                <w:szCs w:val="21"/>
              </w:rPr>
            </w:pPr>
            <w:r>
              <w:rPr>
                <w:rFonts w:hAnsi="宋体"/>
                <w:color w:val="000000"/>
                <w:szCs w:val="21"/>
              </w:rPr>
              <w:t>（签字或盖章）</w:t>
            </w:r>
          </w:p>
          <w:p>
            <w:pPr>
              <w:jc w:val="right"/>
              <w:rPr>
                <w:rFonts w:hint="eastAsia" w:hAnsi="宋体"/>
                <w:color w:val="000000"/>
                <w:szCs w:val="21"/>
              </w:rPr>
            </w:pPr>
          </w:p>
          <w:p>
            <w:pPr>
              <w:jc w:val="right"/>
              <w:rPr>
                <w:color w:val="000000"/>
                <w:szCs w:val="21"/>
              </w:rPr>
            </w:pPr>
            <w:r>
              <w:rPr>
                <w:rFonts w:hAnsi="宋体"/>
                <w:color w:val="000000"/>
                <w:szCs w:val="21"/>
              </w:rPr>
              <w:t>年</w:t>
            </w:r>
            <w:r>
              <w:rPr>
                <w:color w:val="000000"/>
                <w:szCs w:val="21"/>
              </w:rPr>
              <w:t xml:space="preserve">    </w:t>
            </w:r>
            <w:r>
              <w:rPr>
                <w:rFonts w:hAnsi="宋体"/>
                <w:color w:val="000000"/>
                <w:szCs w:val="21"/>
              </w:rPr>
              <w:t>月</w:t>
            </w:r>
            <w:r>
              <w:rPr>
                <w:color w:val="000000"/>
                <w:szCs w:val="21"/>
              </w:rPr>
              <w:t xml:space="preserve">    </w:t>
            </w:r>
            <w:r>
              <w:rPr>
                <w:rFonts w:hAnsi="宋体"/>
                <w:color w:val="000000"/>
                <w:szCs w:val="21"/>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719" w:hRule="atLeast"/>
          <w:jc w:val="center"/>
        </w:trPr>
        <w:tc>
          <w:tcPr>
            <w:tcW w:w="2056" w:type="dxa"/>
            <w:gridSpan w:val="2"/>
            <w:noWrap w:val="0"/>
            <w:vAlign w:val="center"/>
          </w:tcPr>
          <w:p>
            <w:pPr>
              <w:jc w:val="center"/>
              <w:rPr>
                <w:color w:val="000000"/>
                <w:szCs w:val="21"/>
              </w:rPr>
            </w:pPr>
            <w:r>
              <w:rPr>
                <w:rFonts w:hAnsi="宋体"/>
                <w:color w:val="000000"/>
                <w:szCs w:val="21"/>
              </w:rPr>
              <w:t>备注</w:t>
            </w:r>
          </w:p>
        </w:tc>
        <w:tc>
          <w:tcPr>
            <w:tcW w:w="8047" w:type="dxa"/>
            <w:gridSpan w:val="9"/>
            <w:noWrap w:val="0"/>
            <w:vAlign w:val="center"/>
          </w:tcPr>
          <w:p>
            <w:pPr>
              <w:rPr>
                <w:rFonts w:hint="eastAsia"/>
                <w:color w:val="000000"/>
                <w:szCs w:val="21"/>
              </w:rPr>
            </w:pPr>
            <w:r>
              <w:rPr>
                <w:rFonts w:hint="eastAsia"/>
                <w:color w:val="000000"/>
              </w:rPr>
              <w:t>中标人在收到</w:t>
            </w:r>
            <w:r>
              <w:rPr>
                <w:color w:val="000000"/>
              </w:rPr>
              <w:t>中标通知书后，须在</w:t>
            </w:r>
            <w:r>
              <w:rPr>
                <w:color w:val="000000"/>
                <w:u w:val="single"/>
              </w:rPr>
              <w:t xml:space="preserve">    </w:t>
            </w:r>
            <w:r>
              <w:rPr>
                <w:color w:val="000000"/>
              </w:rPr>
              <w:t>日内向</w:t>
            </w:r>
            <w:r>
              <w:rPr>
                <w:rFonts w:hint="eastAsia"/>
                <w:color w:val="000000"/>
              </w:rPr>
              <w:t>招标人足额</w:t>
            </w:r>
            <w:r>
              <w:rPr>
                <w:color w:val="000000"/>
              </w:rPr>
              <w:t>提交履约</w:t>
            </w:r>
            <w:r>
              <w:rPr>
                <w:rFonts w:hint="eastAsia"/>
                <w:color w:val="000000"/>
              </w:rPr>
              <w:t>保证金，否则招标人可以取消其中标资格。</w:t>
            </w:r>
            <w:r>
              <w:rPr>
                <w:color w:val="000000"/>
                <w:szCs w:val="21"/>
              </w:rPr>
              <w:t>招标人和中标人应当在投标有效期内以及中标通知书发出之日起30天内，根据招标文件和中标人的投标文件订立书面合同。</w:t>
            </w:r>
            <w:r>
              <w:rPr>
                <w:rFonts w:hint="eastAsia"/>
                <w:color w:val="000000"/>
                <w:szCs w:val="21"/>
              </w:rPr>
              <w:t>本通知的生效日期以招标人盖章并发出的日期为准</w:t>
            </w:r>
          </w:p>
        </w:tc>
      </w:tr>
    </w:tbl>
    <w:p>
      <w:pPr>
        <w:ind w:firstLine="420" w:firstLineChars="200"/>
        <w:rPr>
          <w:rFonts w:ascii="宋体" w:hAnsi="宋体"/>
          <w:b/>
          <w:color w:val="000000"/>
          <w:sz w:val="28"/>
          <w:szCs w:val="28"/>
        </w:rPr>
      </w:pPr>
      <w:r>
        <w:rPr>
          <w:rFonts w:hint="eastAsia" w:hAnsi="宋体"/>
          <w:color w:val="000000"/>
          <w:szCs w:val="21"/>
        </w:rPr>
        <w:t>一式13份。其中：招标人8</w:t>
      </w:r>
      <w:r>
        <w:rPr>
          <w:rFonts w:hAnsi="宋体"/>
          <w:color w:val="000000"/>
          <w:szCs w:val="21"/>
        </w:rPr>
        <w:t>份（用于办理工程质量监督、安全监督、施工许可证</w:t>
      </w:r>
      <w:r>
        <w:rPr>
          <w:rFonts w:hint="eastAsia" w:hAnsi="宋体"/>
          <w:color w:val="000000"/>
          <w:szCs w:val="21"/>
        </w:rPr>
        <w:t>以及存档</w:t>
      </w:r>
      <w:r>
        <w:rPr>
          <w:rFonts w:hAnsi="宋体"/>
          <w:color w:val="000000"/>
          <w:szCs w:val="21"/>
        </w:rPr>
        <w:t>等有关手续）、中标</w:t>
      </w:r>
      <w:r>
        <w:rPr>
          <w:rFonts w:hint="eastAsia" w:hAnsi="宋体"/>
          <w:color w:val="000000"/>
          <w:szCs w:val="21"/>
        </w:rPr>
        <w:t>人2</w:t>
      </w:r>
      <w:r>
        <w:rPr>
          <w:rFonts w:hAnsi="宋体"/>
          <w:color w:val="000000"/>
          <w:szCs w:val="21"/>
        </w:rPr>
        <w:t>份、</w:t>
      </w:r>
      <w:r>
        <w:rPr>
          <w:rFonts w:hint="eastAsia" w:hAnsi="宋体"/>
          <w:color w:val="000000"/>
          <w:szCs w:val="21"/>
        </w:rPr>
        <w:t>招标代理机构1</w:t>
      </w:r>
      <w:r>
        <w:rPr>
          <w:rFonts w:hAnsi="宋体"/>
          <w:color w:val="000000"/>
          <w:szCs w:val="21"/>
        </w:rPr>
        <w:t>份、</w:t>
      </w:r>
      <w:r>
        <w:rPr>
          <w:color w:val="000000"/>
          <w:szCs w:val="21"/>
        </w:rPr>
        <w:t>招投标监督管理部门</w:t>
      </w:r>
      <w:r>
        <w:rPr>
          <w:rFonts w:hint="eastAsia"/>
          <w:color w:val="000000"/>
          <w:szCs w:val="21"/>
        </w:rPr>
        <w:t>1份、交易中心1份</w:t>
      </w:r>
      <w:r>
        <w:rPr>
          <w:rFonts w:hAnsi="宋体"/>
          <w:color w:val="000000"/>
          <w:szCs w:val="21"/>
        </w:rPr>
        <w:t>。</w:t>
      </w:r>
      <w:r>
        <w:rPr>
          <w:rFonts w:ascii="宋体" w:hAnsi="宋体"/>
          <w:b/>
          <w:color w:val="000000"/>
          <w:sz w:val="28"/>
          <w:szCs w:val="28"/>
        </w:rPr>
        <w:br w:type="page"/>
      </w:r>
    </w:p>
    <w:p>
      <w:pPr>
        <w:pStyle w:val="4"/>
        <w:spacing w:line="240" w:lineRule="auto"/>
        <w:rPr>
          <w:rFonts w:ascii="宋体" w:hAnsi="宋体"/>
          <w:color w:val="000000"/>
          <w:sz w:val="28"/>
          <w:szCs w:val="28"/>
        </w:rPr>
      </w:pPr>
      <w:bookmarkStart w:id="754" w:name="_Toc59203062"/>
      <w:r>
        <w:rPr>
          <w:sz w:val="28"/>
          <w:szCs w:val="28"/>
        </w:rPr>
        <w:t>附表A-23：</w:t>
      </w:r>
      <w:r>
        <w:rPr>
          <w:rFonts w:hint="eastAsia"/>
          <w:sz w:val="28"/>
          <w:szCs w:val="28"/>
        </w:rPr>
        <w:t>中标公告</w:t>
      </w:r>
      <w:bookmarkEnd w:id="754"/>
    </w:p>
    <w:p>
      <w:pPr>
        <w:jc w:val="center"/>
        <w:rPr>
          <w:b/>
          <w:color w:val="000000"/>
          <w:sz w:val="28"/>
          <w:szCs w:val="28"/>
        </w:rPr>
      </w:pPr>
      <w:r>
        <w:rPr>
          <w:rFonts w:hint="eastAsia" w:eastAsia="黑体"/>
          <w:color w:val="000000"/>
          <w:sz w:val="28"/>
          <w:szCs w:val="28"/>
        </w:rPr>
        <w:t>中标公告</w:t>
      </w:r>
    </w:p>
    <w:tbl>
      <w:tblPr>
        <w:tblStyle w:val="83"/>
        <w:tblW w:w="9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41"/>
        <w:gridCol w:w="3079"/>
        <w:gridCol w:w="10"/>
        <w:gridCol w:w="1430"/>
        <w:gridCol w:w="25"/>
        <w:gridCol w:w="2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141" w:type="dxa"/>
            <w:noWrap w:val="0"/>
            <w:vAlign w:val="bottom"/>
          </w:tcPr>
          <w:p>
            <w:pPr>
              <w:widowControl/>
              <w:spacing w:line="360" w:lineRule="auto"/>
              <w:jc w:val="center"/>
              <w:rPr>
                <w:color w:val="000000"/>
                <w:kern w:val="0"/>
                <w:szCs w:val="21"/>
              </w:rPr>
            </w:pPr>
            <w:r>
              <w:rPr>
                <w:rFonts w:hAnsi="宋体"/>
                <w:color w:val="000000"/>
                <w:kern w:val="0"/>
                <w:szCs w:val="21"/>
              </w:rPr>
              <w:t>项目名称</w:t>
            </w:r>
          </w:p>
        </w:tc>
        <w:tc>
          <w:tcPr>
            <w:tcW w:w="7525" w:type="dxa"/>
            <w:gridSpan w:val="5"/>
            <w:noWrap w:val="0"/>
            <w:tcMar>
              <w:top w:w="0" w:type="dxa"/>
              <w:left w:w="75" w:type="dxa"/>
              <w:bottom w:w="0" w:type="dxa"/>
              <w:right w:w="0" w:type="dxa"/>
            </w:tcMar>
            <w:vAlign w:val="center"/>
          </w:tcPr>
          <w:p>
            <w:pPr>
              <w:widowControl/>
              <w:spacing w:line="360" w:lineRule="auto"/>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141" w:type="dxa"/>
            <w:noWrap w:val="0"/>
            <w:vAlign w:val="bottom"/>
          </w:tcPr>
          <w:p>
            <w:pPr>
              <w:widowControl/>
              <w:spacing w:line="360" w:lineRule="auto"/>
              <w:jc w:val="center"/>
              <w:rPr>
                <w:rFonts w:hAnsi="宋体"/>
                <w:color w:val="000000"/>
                <w:kern w:val="0"/>
                <w:szCs w:val="21"/>
              </w:rPr>
            </w:pPr>
            <w:r>
              <w:rPr>
                <w:rFonts w:hAnsi="宋体"/>
                <w:color w:val="000000"/>
                <w:szCs w:val="21"/>
              </w:rPr>
              <w:t>项目</w:t>
            </w:r>
            <w:r>
              <w:rPr>
                <w:rFonts w:hint="eastAsia" w:hAnsi="宋体"/>
                <w:color w:val="000000"/>
                <w:szCs w:val="21"/>
              </w:rPr>
              <w:t>招标</w:t>
            </w:r>
            <w:r>
              <w:rPr>
                <w:rFonts w:hAnsi="宋体"/>
                <w:color w:val="000000"/>
                <w:szCs w:val="21"/>
              </w:rPr>
              <w:t>编号</w:t>
            </w:r>
          </w:p>
        </w:tc>
        <w:tc>
          <w:tcPr>
            <w:tcW w:w="7525" w:type="dxa"/>
            <w:gridSpan w:val="5"/>
            <w:noWrap w:val="0"/>
            <w:tcMar>
              <w:top w:w="0" w:type="dxa"/>
              <w:left w:w="75" w:type="dxa"/>
              <w:bottom w:w="0" w:type="dxa"/>
              <w:right w:w="0" w:type="dxa"/>
            </w:tcMar>
            <w:vAlign w:val="center"/>
          </w:tcPr>
          <w:p>
            <w:pPr>
              <w:widowControl/>
              <w:spacing w:line="360" w:lineRule="auto"/>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141" w:type="dxa"/>
            <w:noWrap w:val="0"/>
            <w:vAlign w:val="bottom"/>
          </w:tcPr>
          <w:p>
            <w:pPr>
              <w:widowControl/>
              <w:spacing w:line="360" w:lineRule="auto"/>
              <w:jc w:val="center"/>
              <w:rPr>
                <w:rFonts w:hAnsi="宋体"/>
                <w:color w:val="000000"/>
                <w:kern w:val="0"/>
                <w:szCs w:val="21"/>
              </w:rPr>
            </w:pPr>
            <w:r>
              <w:rPr>
                <w:rFonts w:hint="eastAsia" w:hAnsi="宋体"/>
                <w:color w:val="000000"/>
                <w:kern w:val="0"/>
                <w:szCs w:val="21"/>
              </w:rPr>
              <w:t>代建单位（如有）</w:t>
            </w:r>
          </w:p>
        </w:tc>
        <w:tc>
          <w:tcPr>
            <w:tcW w:w="7525" w:type="dxa"/>
            <w:gridSpan w:val="5"/>
            <w:noWrap w:val="0"/>
            <w:tcMar>
              <w:top w:w="0" w:type="dxa"/>
              <w:left w:w="75" w:type="dxa"/>
              <w:bottom w:w="0" w:type="dxa"/>
              <w:right w:w="0" w:type="dxa"/>
            </w:tcMar>
            <w:vAlign w:val="center"/>
          </w:tcPr>
          <w:p>
            <w:pPr>
              <w:widowControl/>
              <w:spacing w:line="360" w:lineRule="auto"/>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141" w:type="dxa"/>
            <w:noWrap w:val="0"/>
            <w:vAlign w:val="bottom"/>
          </w:tcPr>
          <w:p>
            <w:pPr>
              <w:widowControl/>
              <w:spacing w:line="360" w:lineRule="auto"/>
              <w:jc w:val="center"/>
              <w:rPr>
                <w:rFonts w:hint="eastAsia" w:hAnsi="宋体"/>
                <w:color w:val="000000"/>
                <w:kern w:val="0"/>
                <w:szCs w:val="21"/>
              </w:rPr>
            </w:pPr>
            <w:r>
              <w:rPr>
                <w:rFonts w:hint="eastAsia" w:hAnsi="宋体"/>
                <w:color w:val="000000"/>
                <w:kern w:val="0"/>
                <w:szCs w:val="21"/>
              </w:rPr>
              <w:t>建设单位</w:t>
            </w:r>
          </w:p>
        </w:tc>
        <w:tc>
          <w:tcPr>
            <w:tcW w:w="7525" w:type="dxa"/>
            <w:gridSpan w:val="5"/>
            <w:noWrap w:val="0"/>
            <w:tcMar>
              <w:top w:w="0" w:type="dxa"/>
              <w:left w:w="75" w:type="dxa"/>
              <w:bottom w:w="0" w:type="dxa"/>
              <w:right w:w="0" w:type="dxa"/>
            </w:tcMar>
            <w:vAlign w:val="center"/>
          </w:tcPr>
          <w:p>
            <w:pPr>
              <w:widowControl/>
              <w:spacing w:line="360" w:lineRule="auto"/>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141" w:type="dxa"/>
            <w:noWrap w:val="0"/>
            <w:vAlign w:val="bottom"/>
          </w:tcPr>
          <w:p>
            <w:pPr>
              <w:widowControl/>
              <w:spacing w:line="360" w:lineRule="auto"/>
              <w:jc w:val="center"/>
              <w:rPr>
                <w:color w:val="000000"/>
                <w:kern w:val="0"/>
                <w:szCs w:val="21"/>
              </w:rPr>
            </w:pPr>
            <w:r>
              <w:rPr>
                <w:rFonts w:hAnsi="宋体"/>
                <w:color w:val="000000"/>
                <w:kern w:val="0"/>
                <w:szCs w:val="21"/>
              </w:rPr>
              <w:t>招标类别</w:t>
            </w:r>
          </w:p>
        </w:tc>
        <w:tc>
          <w:tcPr>
            <w:tcW w:w="3079" w:type="dxa"/>
            <w:noWrap w:val="0"/>
            <w:tcMar>
              <w:top w:w="0" w:type="dxa"/>
              <w:left w:w="75" w:type="dxa"/>
              <w:bottom w:w="0" w:type="dxa"/>
              <w:right w:w="0" w:type="dxa"/>
            </w:tcMar>
            <w:vAlign w:val="center"/>
          </w:tcPr>
          <w:p>
            <w:pPr>
              <w:widowControl/>
              <w:spacing w:line="360" w:lineRule="auto"/>
              <w:jc w:val="center"/>
              <w:rPr>
                <w:color w:val="000000"/>
                <w:kern w:val="0"/>
                <w:szCs w:val="21"/>
              </w:rPr>
            </w:pPr>
            <w:r>
              <w:rPr>
                <w:rFonts w:hint="eastAsia"/>
                <w:color w:val="000000"/>
                <w:kern w:val="0"/>
                <w:szCs w:val="21"/>
              </w:rPr>
              <w:t>□</w:t>
            </w:r>
            <w:r>
              <w:rPr>
                <w:rFonts w:hAnsi="宋体"/>
                <w:color w:val="000000"/>
                <w:kern w:val="0"/>
                <w:szCs w:val="21"/>
              </w:rPr>
              <w:t>委托招标</w:t>
            </w:r>
            <w:r>
              <w:rPr>
                <w:color w:val="000000"/>
                <w:kern w:val="0"/>
                <w:szCs w:val="21"/>
              </w:rPr>
              <w:t xml:space="preserve">    </w:t>
            </w:r>
            <w:r>
              <w:rPr>
                <w:rFonts w:hint="eastAsia"/>
                <w:color w:val="000000"/>
                <w:kern w:val="0"/>
                <w:szCs w:val="21"/>
              </w:rPr>
              <w:t>□</w:t>
            </w:r>
            <w:r>
              <w:rPr>
                <w:rFonts w:hAnsi="宋体"/>
                <w:color w:val="000000"/>
                <w:kern w:val="0"/>
                <w:szCs w:val="21"/>
              </w:rPr>
              <w:t>自行招标</w:t>
            </w:r>
          </w:p>
        </w:tc>
        <w:tc>
          <w:tcPr>
            <w:tcW w:w="1440" w:type="dxa"/>
            <w:gridSpan w:val="2"/>
            <w:noWrap w:val="0"/>
            <w:vAlign w:val="center"/>
          </w:tcPr>
          <w:p>
            <w:pPr>
              <w:widowControl/>
              <w:spacing w:line="360" w:lineRule="auto"/>
              <w:jc w:val="center"/>
              <w:rPr>
                <w:color w:val="000000"/>
                <w:kern w:val="0"/>
                <w:szCs w:val="21"/>
              </w:rPr>
            </w:pPr>
            <w:r>
              <w:rPr>
                <w:rFonts w:hAnsi="宋体"/>
                <w:color w:val="000000"/>
                <w:kern w:val="0"/>
                <w:szCs w:val="21"/>
              </w:rPr>
              <w:t>招标方式</w:t>
            </w:r>
          </w:p>
        </w:tc>
        <w:tc>
          <w:tcPr>
            <w:tcW w:w="3006" w:type="dxa"/>
            <w:gridSpan w:val="2"/>
            <w:noWrap w:val="0"/>
            <w:tcMar>
              <w:top w:w="0" w:type="dxa"/>
              <w:left w:w="75" w:type="dxa"/>
              <w:bottom w:w="0" w:type="dxa"/>
              <w:right w:w="0" w:type="dxa"/>
            </w:tcMar>
            <w:vAlign w:val="center"/>
          </w:tcPr>
          <w:p>
            <w:pPr>
              <w:widowControl/>
              <w:spacing w:line="360" w:lineRule="auto"/>
              <w:jc w:val="center"/>
              <w:rPr>
                <w:color w:val="000000"/>
                <w:kern w:val="0"/>
                <w:szCs w:val="21"/>
              </w:rPr>
            </w:pPr>
            <w:r>
              <w:rPr>
                <w:rFonts w:hint="eastAsia"/>
                <w:color w:val="000000"/>
                <w:kern w:val="0"/>
                <w:szCs w:val="21"/>
              </w:rPr>
              <w:t>□</w:t>
            </w:r>
            <w:r>
              <w:rPr>
                <w:rFonts w:hAnsi="宋体"/>
                <w:color w:val="000000"/>
                <w:kern w:val="0"/>
                <w:szCs w:val="21"/>
              </w:rPr>
              <w:t>公开招标</w:t>
            </w:r>
            <w:r>
              <w:rPr>
                <w:color w:val="000000"/>
                <w:kern w:val="0"/>
                <w:szCs w:val="21"/>
              </w:rPr>
              <w:t xml:space="preserve">    </w:t>
            </w:r>
            <w:r>
              <w:rPr>
                <w:rFonts w:hint="eastAsia"/>
                <w:color w:val="000000"/>
                <w:kern w:val="0"/>
                <w:szCs w:val="21"/>
              </w:rPr>
              <w:t>□</w:t>
            </w:r>
            <w:r>
              <w:rPr>
                <w:rFonts w:hAnsi="宋体"/>
                <w:color w:val="000000"/>
                <w:kern w:val="0"/>
                <w:szCs w:val="21"/>
              </w:rPr>
              <w:t>邀请招标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141" w:type="dxa"/>
            <w:noWrap w:val="0"/>
            <w:vAlign w:val="bottom"/>
          </w:tcPr>
          <w:p>
            <w:pPr>
              <w:widowControl/>
              <w:spacing w:line="360" w:lineRule="auto"/>
              <w:jc w:val="center"/>
              <w:rPr>
                <w:color w:val="000000"/>
                <w:kern w:val="0"/>
                <w:szCs w:val="21"/>
              </w:rPr>
            </w:pPr>
            <w:r>
              <w:rPr>
                <w:rFonts w:hAnsi="宋体"/>
                <w:color w:val="000000"/>
                <w:kern w:val="0"/>
                <w:szCs w:val="21"/>
              </w:rPr>
              <w:t>招标代理机构</w:t>
            </w:r>
          </w:p>
        </w:tc>
        <w:tc>
          <w:tcPr>
            <w:tcW w:w="7525" w:type="dxa"/>
            <w:gridSpan w:val="5"/>
            <w:noWrap w:val="0"/>
            <w:tcMar>
              <w:top w:w="0" w:type="dxa"/>
              <w:left w:w="75" w:type="dxa"/>
              <w:bottom w:w="0" w:type="dxa"/>
              <w:right w:w="0" w:type="dxa"/>
            </w:tcMar>
            <w:vAlign w:val="center"/>
          </w:tcPr>
          <w:p>
            <w:pPr>
              <w:widowControl/>
              <w:spacing w:line="360" w:lineRule="auto"/>
              <w:jc w:val="left"/>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141" w:type="dxa"/>
            <w:noWrap w:val="0"/>
            <w:vAlign w:val="bottom"/>
          </w:tcPr>
          <w:p>
            <w:pPr>
              <w:widowControl/>
              <w:spacing w:line="360" w:lineRule="auto"/>
              <w:jc w:val="center"/>
              <w:rPr>
                <w:color w:val="000000"/>
                <w:kern w:val="0"/>
                <w:szCs w:val="21"/>
              </w:rPr>
            </w:pPr>
            <w:r>
              <w:rPr>
                <w:rFonts w:hint="eastAsia" w:hAnsi="宋体"/>
                <w:color w:val="000000"/>
                <w:kern w:val="0"/>
                <w:szCs w:val="21"/>
              </w:rPr>
              <w:t>中标范围</w:t>
            </w:r>
          </w:p>
        </w:tc>
        <w:tc>
          <w:tcPr>
            <w:tcW w:w="7525" w:type="dxa"/>
            <w:gridSpan w:val="5"/>
            <w:noWrap w:val="0"/>
            <w:tcMar>
              <w:top w:w="0" w:type="dxa"/>
              <w:left w:w="75" w:type="dxa"/>
              <w:bottom w:w="0" w:type="dxa"/>
              <w:right w:w="0" w:type="dxa"/>
            </w:tcMar>
            <w:vAlign w:val="center"/>
          </w:tcPr>
          <w:p>
            <w:pPr>
              <w:widowControl/>
              <w:spacing w:line="360" w:lineRule="auto"/>
              <w:ind w:right="185" w:rightChars="88"/>
              <w:jc w:val="left"/>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61" w:hRule="atLeast"/>
          <w:jc w:val="center"/>
        </w:trPr>
        <w:tc>
          <w:tcPr>
            <w:tcW w:w="2141" w:type="dxa"/>
            <w:noWrap w:val="0"/>
            <w:vAlign w:val="bottom"/>
          </w:tcPr>
          <w:p>
            <w:pPr>
              <w:widowControl/>
              <w:spacing w:line="360" w:lineRule="auto"/>
              <w:jc w:val="center"/>
              <w:rPr>
                <w:color w:val="000000"/>
                <w:kern w:val="0"/>
                <w:szCs w:val="21"/>
              </w:rPr>
            </w:pPr>
            <w:r>
              <w:rPr>
                <w:rFonts w:hAnsi="宋体"/>
                <w:color w:val="000000"/>
                <w:kern w:val="0"/>
                <w:szCs w:val="21"/>
              </w:rPr>
              <w:t>开标时间</w:t>
            </w:r>
          </w:p>
        </w:tc>
        <w:tc>
          <w:tcPr>
            <w:tcW w:w="3089" w:type="dxa"/>
            <w:gridSpan w:val="2"/>
            <w:noWrap w:val="0"/>
            <w:tcMar>
              <w:top w:w="0" w:type="dxa"/>
              <w:left w:w="75" w:type="dxa"/>
              <w:bottom w:w="0" w:type="dxa"/>
              <w:right w:w="0" w:type="dxa"/>
            </w:tcMar>
            <w:vAlign w:val="center"/>
          </w:tcPr>
          <w:p>
            <w:pPr>
              <w:widowControl/>
              <w:spacing w:line="360" w:lineRule="auto"/>
              <w:jc w:val="left"/>
              <w:rPr>
                <w:color w:val="000000"/>
                <w:kern w:val="0"/>
                <w:szCs w:val="21"/>
              </w:rPr>
            </w:pPr>
          </w:p>
        </w:tc>
        <w:tc>
          <w:tcPr>
            <w:tcW w:w="1455" w:type="dxa"/>
            <w:gridSpan w:val="2"/>
            <w:noWrap w:val="0"/>
            <w:tcMar>
              <w:top w:w="0" w:type="dxa"/>
              <w:left w:w="75" w:type="dxa"/>
              <w:bottom w:w="0" w:type="dxa"/>
              <w:right w:w="0" w:type="dxa"/>
            </w:tcMar>
            <w:vAlign w:val="center"/>
          </w:tcPr>
          <w:p>
            <w:pPr>
              <w:widowControl/>
              <w:spacing w:line="360" w:lineRule="auto"/>
              <w:jc w:val="center"/>
              <w:rPr>
                <w:color w:val="000000"/>
                <w:kern w:val="0"/>
                <w:szCs w:val="21"/>
              </w:rPr>
            </w:pPr>
            <w:r>
              <w:rPr>
                <w:rFonts w:hAnsi="宋体"/>
                <w:color w:val="000000"/>
                <w:kern w:val="0"/>
                <w:szCs w:val="21"/>
              </w:rPr>
              <w:t>开标地点</w:t>
            </w:r>
          </w:p>
        </w:tc>
        <w:tc>
          <w:tcPr>
            <w:tcW w:w="2981" w:type="dxa"/>
            <w:noWrap w:val="0"/>
            <w:tcMar>
              <w:top w:w="0" w:type="dxa"/>
              <w:left w:w="75" w:type="dxa"/>
              <w:bottom w:w="0" w:type="dxa"/>
              <w:right w:w="0" w:type="dxa"/>
            </w:tcMar>
            <w:vAlign w:val="center"/>
          </w:tcPr>
          <w:p>
            <w:pPr>
              <w:widowControl/>
              <w:spacing w:line="360" w:lineRule="auto"/>
              <w:jc w:val="left"/>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141" w:type="dxa"/>
            <w:noWrap w:val="0"/>
            <w:vAlign w:val="bottom"/>
          </w:tcPr>
          <w:p>
            <w:pPr>
              <w:widowControl/>
              <w:spacing w:line="360" w:lineRule="auto"/>
              <w:jc w:val="center"/>
              <w:rPr>
                <w:color w:val="000000"/>
                <w:kern w:val="0"/>
                <w:szCs w:val="21"/>
              </w:rPr>
            </w:pPr>
            <w:r>
              <w:rPr>
                <w:rFonts w:hAnsi="宋体"/>
                <w:color w:val="000000"/>
                <w:kern w:val="0"/>
                <w:szCs w:val="21"/>
              </w:rPr>
              <w:t>中标人</w:t>
            </w:r>
          </w:p>
        </w:tc>
        <w:tc>
          <w:tcPr>
            <w:tcW w:w="7525" w:type="dxa"/>
            <w:gridSpan w:val="5"/>
            <w:noWrap w:val="0"/>
            <w:tcMar>
              <w:top w:w="0" w:type="dxa"/>
              <w:left w:w="75" w:type="dxa"/>
              <w:bottom w:w="0" w:type="dxa"/>
              <w:right w:w="0" w:type="dxa"/>
            </w:tcMar>
            <w:vAlign w:val="center"/>
          </w:tcPr>
          <w:p>
            <w:pPr>
              <w:widowControl/>
              <w:spacing w:line="360" w:lineRule="auto"/>
              <w:jc w:val="left"/>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141" w:type="dxa"/>
            <w:noWrap w:val="0"/>
            <w:vAlign w:val="bottom"/>
          </w:tcPr>
          <w:p>
            <w:pPr>
              <w:widowControl/>
              <w:spacing w:line="360" w:lineRule="auto"/>
              <w:jc w:val="center"/>
              <w:rPr>
                <w:color w:val="000000"/>
                <w:kern w:val="0"/>
                <w:szCs w:val="21"/>
              </w:rPr>
            </w:pPr>
            <w:r>
              <w:rPr>
                <w:rFonts w:hint="eastAsia" w:hAnsi="宋体"/>
                <w:color w:val="000000"/>
                <w:kern w:val="0"/>
                <w:szCs w:val="21"/>
              </w:rPr>
              <w:t>中标价</w:t>
            </w:r>
          </w:p>
        </w:tc>
        <w:tc>
          <w:tcPr>
            <w:tcW w:w="7525" w:type="dxa"/>
            <w:gridSpan w:val="5"/>
            <w:noWrap w:val="0"/>
            <w:tcMar>
              <w:top w:w="0" w:type="dxa"/>
              <w:left w:w="75" w:type="dxa"/>
              <w:bottom w:w="0" w:type="dxa"/>
              <w:right w:w="0" w:type="dxa"/>
            </w:tcMar>
            <w:vAlign w:val="center"/>
          </w:tcPr>
          <w:p>
            <w:pPr>
              <w:widowControl/>
              <w:spacing w:line="360" w:lineRule="auto"/>
              <w:jc w:val="left"/>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141" w:type="dxa"/>
            <w:noWrap w:val="0"/>
            <w:vAlign w:val="bottom"/>
          </w:tcPr>
          <w:p>
            <w:pPr>
              <w:widowControl/>
              <w:spacing w:line="360" w:lineRule="auto"/>
              <w:jc w:val="center"/>
              <w:rPr>
                <w:color w:val="000000"/>
                <w:kern w:val="0"/>
                <w:szCs w:val="21"/>
              </w:rPr>
            </w:pPr>
            <w:r>
              <w:rPr>
                <w:rFonts w:hAnsi="宋体"/>
                <w:color w:val="000000"/>
                <w:kern w:val="0"/>
                <w:szCs w:val="21"/>
              </w:rPr>
              <w:t>工期</w:t>
            </w:r>
          </w:p>
        </w:tc>
        <w:tc>
          <w:tcPr>
            <w:tcW w:w="7525" w:type="dxa"/>
            <w:gridSpan w:val="5"/>
            <w:noWrap w:val="0"/>
            <w:tcMar>
              <w:top w:w="0" w:type="dxa"/>
              <w:left w:w="75" w:type="dxa"/>
              <w:bottom w:w="0" w:type="dxa"/>
              <w:right w:w="0" w:type="dxa"/>
            </w:tcMar>
            <w:vAlign w:val="center"/>
          </w:tcPr>
          <w:p>
            <w:pPr>
              <w:widowControl/>
              <w:spacing w:line="360" w:lineRule="auto"/>
              <w:jc w:val="left"/>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141" w:type="dxa"/>
            <w:noWrap w:val="0"/>
            <w:vAlign w:val="bottom"/>
          </w:tcPr>
          <w:p>
            <w:pPr>
              <w:widowControl/>
              <w:spacing w:line="360" w:lineRule="auto"/>
              <w:jc w:val="center"/>
              <w:rPr>
                <w:color w:val="000000"/>
                <w:kern w:val="0"/>
                <w:szCs w:val="21"/>
              </w:rPr>
            </w:pPr>
            <w:r>
              <w:rPr>
                <w:rFonts w:hAnsi="宋体"/>
                <w:color w:val="000000"/>
                <w:kern w:val="0"/>
                <w:szCs w:val="21"/>
              </w:rPr>
              <w:t>质量等级</w:t>
            </w:r>
          </w:p>
        </w:tc>
        <w:tc>
          <w:tcPr>
            <w:tcW w:w="7525" w:type="dxa"/>
            <w:gridSpan w:val="5"/>
            <w:noWrap w:val="0"/>
            <w:tcMar>
              <w:top w:w="0" w:type="dxa"/>
              <w:left w:w="75" w:type="dxa"/>
              <w:bottom w:w="0" w:type="dxa"/>
              <w:right w:w="0" w:type="dxa"/>
            </w:tcMar>
            <w:vAlign w:val="center"/>
          </w:tcPr>
          <w:p>
            <w:pPr>
              <w:widowControl/>
              <w:spacing w:line="360" w:lineRule="auto"/>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141" w:type="dxa"/>
            <w:noWrap w:val="0"/>
            <w:vAlign w:val="center"/>
          </w:tcPr>
          <w:p>
            <w:pPr>
              <w:widowControl/>
              <w:spacing w:line="360" w:lineRule="auto"/>
              <w:jc w:val="center"/>
              <w:rPr>
                <w:rFonts w:hAnsi="宋体"/>
                <w:color w:val="000000"/>
                <w:kern w:val="0"/>
                <w:szCs w:val="21"/>
              </w:rPr>
            </w:pPr>
            <w:r>
              <w:rPr>
                <w:rFonts w:hint="eastAsia" w:hAnsi="宋体"/>
                <w:color w:val="000000"/>
                <w:kern w:val="0"/>
                <w:szCs w:val="21"/>
              </w:rPr>
              <w:t>评标委员会成员</w:t>
            </w:r>
          </w:p>
        </w:tc>
        <w:tc>
          <w:tcPr>
            <w:tcW w:w="7525" w:type="dxa"/>
            <w:gridSpan w:val="5"/>
            <w:noWrap w:val="0"/>
            <w:tcMar>
              <w:top w:w="0" w:type="dxa"/>
              <w:left w:w="75" w:type="dxa"/>
              <w:bottom w:w="0" w:type="dxa"/>
              <w:right w:w="0" w:type="dxa"/>
            </w:tcMar>
            <w:vAlign w:val="center"/>
          </w:tcPr>
          <w:p>
            <w:pPr>
              <w:widowControl/>
              <w:spacing w:line="360" w:lineRule="auto"/>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70" w:hRule="atLeast"/>
          <w:jc w:val="center"/>
        </w:trPr>
        <w:tc>
          <w:tcPr>
            <w:tcW w:w="2141" w:type="dxa"/>
            <w:noWrap w:val="0"/>
            <w:vAlign w:val="bottom"/>
          </w:tcPr>
          <w:p>
            <w:pPr>
              <w:widowControl/>
              <w:spacing w:line="360" w:lineRule="auto"/>
              <w:jc w:val="center"/>
              <w:rPr>
                <w:rFonts w:hAnsi="宋体"/>
                <w:color w:val="000000"/>
                <w:kern w:val="0"/>
                <w:szCs w:val="21"/>
              </w:rPr>
            </w:pPr>
            <w:r>
              <w:rPr>
                <w:rFonts w:hint="eastAsia" w:hAnsi="宋体"/>
                <w:color w:val="000000"/>
                <w:kern w:val="0"/>
                <w:szCs w:val="21"/>
              </w:rPr>
              <w:t>工程总承包项目经理</w:t>
            </w:r>
          </w:p>
        </w:tc>
        <w:tc>
          <w:tcPr>
            <w:tcW w:w="7525" w:type="dxa"/>
            <w:gridSpan w:val="5"/>
            <w:noWrap w:val="0"/>
            <w:tcMar>
              <w:top w:w="0" w:type="dxa"/>
              <w:left w:w="75" w:type="dxa"/>
              <w:bottom w:w="0" w:type="dxa"/>
              <w:right w:w="0" w:type="dxa"/>
            </w:tcMar>
            <w:vAlign w:val="center"/>
          </w:tcPr>
          <w:p>
            <w:pPr>
              <w:widowControl/>
              <w:spacing w:line="360" w:lineRule="auto"/>
              <w:jc w:val="center"/>
              <w:rPr>
                <w:rFonts w:hint="eastAsia"/>
                <w:color w:val="000000"/>
                <w:kern w:val="0"/>
                <w:szCs w:val="21"/>
              </w:rPr>
            </w:pPr>
            <w:r>
              <w:rPr>
                <w:rFonts w:hAnsi="宋体"/>
                <w:color w:val="000000"/>
                <w:kern w:val="0"/>
                <w:szCs w:val="21"/>
              </w:rPr>
              <w:t>（注册</w:t>
            </w:r>
            <w:r>
              <w:rPr>
                <w:rFonts w:hint="eastAsia" w:hAnsi="宋体"/>
                <w:color w:val="000000"/>
                <w:kern w:val="0"/>
                <w:szCs w:val="21"/>
              </w:rPr>
              <w:t>编</w:t>
            </w:r>
            <w:r>
              <w:rPr>
                <w:rFonts w:hAnsi="宋体"/>
                <w:color w:val="000000"/>
                <w:kern w:val="0"/>
                <w:szCs w:val="21"/>
              </w:rPr>
              <w:t>号：</w:t>
            </w:r>
            <w:r>
              <w:rPr>
                <w:color w:val="000000"/>
                <w:kern w:val="0"/>
                <w:szCs w:val="21"/>
              </w:rPr>
              <w:t xml:space="preserve">   </w:t>
            </w:r>
            <w:r>
              <w:rPr>
                <w:rFonts w:hint="eastAsia"/>
                <w:color w:val="000000"/>
                <w:kern w:val="0"/>
                <w:szCs w:val="21"/>
              </w:rPr>
              <w:t xml:space="preserve"> </w:t>
            </w:r>
            <w:r>
              <w:rPr>
                <w:color w:val="000000"/>
                <w:kern w:val="0"/>
                <w:szCs w:val="21"/>
              </w:rPr>
              <w:t xml:space="preserve"> </w:t>
            </w:r>
            <w:r>
              <w:rPr>
                <w:rFonts w:hAnsi="宋体"/>
                <w:color w:val="000000"/>
                <w:kern w:val="0"/>
                <w:szCs w:val="21"/>
              </w:rPr>
              <w:t>；</w:t>
            </w:r>
            <w:r>
              <w:rPr>
                <w:rFonts w:hint="eastAsia" w:hAnsi="宋体" w:cs="宋体"/>
                <w:color w:val="000000"/>
                <w:kern w:val="0"/>
              </w:rPr>
              <w:t>身份证号</w:t>
            </w:r>
            <w:r>
              <w:rPr>
                <w:rFonts w:hAnsi="宋体"/>
                <w:color w:val="000000"/>
                <w:kern w:val="0"/>
                <w:szCs w:val="21"/>
              </w:rPr>
              <w:t>：</w:t>
            </w:r>
            <w:r>
              <w:rPr>
                <w:color w:val="000000"/>
                <w:kern w:val="0"/>
                <w:szCs w:val="21"/>
              </w:rPr>
              <w:t xml:space="preserve">     </w:t>
            </w:r>
            <w:r>
              <w:rPr>
                <w:rFonts w:hAnsi="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141" w:type="dxa"/>
            <w:noWrap w:val="0"/>
            <w:vAlign w:val="bottom"/>
          </w:tcPr>
          <w:p>
            <w:pPr>
              <w:widowControl/>
              <w:spacing w:line="360" w:lineRule="auto"/>
              <w:jc w:val="center"/>
              <w:rPr>
                <w:rFonts w:hAnsi="宋体"/>
                <w:color w:val="000000"/>
                <w:kern w:val="0"/>
                <w:szCs w:val="21"/>
              </w:rPr>
            </w:pPr>
            <w:r>
              <w:rPr>
                <w:rFonts w:hint="eastAsia" w:hAnsi="宋体"/>
                <w:color w:val="000000"/>
                <w:kern w:val="0"/>
                <w:szCs w:val="21"/>
              </w:rPr>
              <w:t>项目设计负责人</w:t>
            </w:r>
          </w:p>
        </w:tc>
        <w:tc>
          <w:tcPr>
            <w:tcW w:w="7525" w:type="dxa"/>
            <w:gridSpan w:val="5"/>
            <w:noWrap w:val="0"/>
            <w:tcMar>
              <w:top w:w="0" w:type="dxa"/>
              <w:left w:w="75" w:type="dxa"/>
              <w:bottom w:w="0" w:type="dxa"/>
              <w:right w:w="0" w:type="dxa"/>
            </w:tcMar>
            <w:vAlign w:val="center"/>
          </w:tcPr>
          <w:p>
            <w:pPr>
              <w:widowControl/>
              <w:spacing w:line="360" w:lineRule="auto"/>
              <w:jc w:val="center"/>
              <w:rPr>
                <w:color w:val="000000"/>
                <w:kern w:val="0"/>
                <w:szCs w:val="21"/>
              </w:rPr>
            </w:pPr>
            <w:r>
              <w:rPr>
                <w:rFonts w:hAnsi="宋体"/>
                <w:color w:val="000000"/>
                <w:kern w:val="0"/>
                <w:szCs w:val="21"/>
              </w:rPr>
              <w:t>（注册</w:t>
            </w:r>
            <w:r>
              <w:rPr>
                <w:rFonts w:hint="eastAsia" w:hAnsi="宋体"/>
                <w:color w:val="000000"/>
                <w:kern w:val="0"/>
                <w:szCs w:val="21"/>
              </w:rPr>
              <w:t>编</w:t>
            </w:r>
            <w:r>
              <w:rPr>
                <w:rFonts w:hAnsi="宋体"/>
                <w:color w:val="000000"/>
                <w:kern w:val="0"/>
                <w:szCs w:val="21"/>
              </w:rPr>
              <w:t>号：</w:t>
            </w:r>
            <w:r>
              <w:rPr>
                <w:color w:val="000000"/>
                <w:kern w:val="0"/>
                <w:szCs w:val="21"/>
              </w:rPr>
              <w:t xml:space="preserve">   </w:t>
            </w:r>
            <w:r>
              <w:rPr>
                <w:rFonts w:hint="eastAsia"/>
                <w:color w:val="000000"/>
                <w:kern w:val="0"/>
                <w:szCs w:val="21"/>
              </w:rPr>
              <w:t xml:space="preserve"> </w:t>
            </w:r>
            <w:r>
              <w:rPr>
                <w:color w:val="000000"/>
                <w:kern w:val="0"/>
                <w:szCs w:val="21"/>
              </w:rPr>
              <w:t xml:space="preserve"> </w:t>
            </w:r>
            <w:r>
              <w:rPr>
                <w:rFonts w:hAnsi="宋体"/>
                <w:color w:val="000000"/>
                <w:kern w:val="0"/>
                <w:szCs w:val="21"/>
              </w:rPr>
              <w:t>；</w:t>
            </w:r>
            <w:r>
              <w:rPr>
                <w:rFonts w:hint="eastAsia" w:hAnsi="宋体" w:cs="宋体"/>
                <w:color w:val="000000"/>
                <w:kern w:val="0"/>
              </w:rPr>
              <w:t>身份证号</w:t>
            </w:r>
            <w:r>
              <w:rPr>
                <w:rFonts w:hAnsi="宋体"/>
                <w:color w:val="000000"/>
                <w:kern w:val="0"/>
                <w:szCs w:val="21"/>
              </w:rPr>
              <w:t>：</w:t>
            </w:r>
            <w:r>
              <w:rPr>
                <w:color w:val="000000"/>
                <w:kern w:val="0"/>
                <w:szCs w:val="21"/>
              </w:rPr>
              <w:t xml:space="preserve">     </w:t>
            </w:r>
            <w:r>
              <w:rPr>
                <w:rFonts w:hAnsi="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105" w:hRule="atLeast"/>
          <w:jc w:val="center"/>
        </w:trPr>
        <w:tc>
          <w:tcPr>
            <w:tcW w:w="2141" w:type="dxa"/>
            <w:noWrap w:val="0"/>
            <w:vAlign w:val="bottom"/>
          </w:tcPr>
          <w:p>
            <w:pPr>
              <w:widowControl/>
              <w:spacing w:line="360" w:lineRule="auto"/>
              <w:jc w:val="center"/>
              <w:rPr>
                <w:color w:val="000000"/>
                <w:kern w:val="0"/>
                <w:szCs w:val="21"/>
              </w:rPr>
            </w:pPr>
            <w:r>
              <w:rPr>
                <w:rFonts w:hint="eastAsia" w:hAnsi="宋体"/>
                <w:color w:val="000000"/>
                <w:kern w:val="0"/>
                <w:szCs w:val="21"/>
              </w:rPr>
              <w:t>施工项目经理</w:t>
            </w:r>
          </w:p>
        </w:tc>
        <w:tc>
          <w:tcPr>
            <w:tcW w:w="7525" w:type="dxa"/>
            <w:gridSpan w:val="5"/>
            <w:noWrap w:val="0"/>
            <w:tcMar>
              <w:top w:w="0" w:type="dxa"/>
              <w:left w:w="75" w:type="dxa"/>
              <w:bottom w:w="0" w:type="dxa"/>
              <w:right w:w="0" w:type="dxa"/>
            </w:tcMar>
            <w:vAlign w:val="center"/>
          </w:tcPr>
          <w:p>
            <w:pPr>
              <w:widowControl/>
              <w:spacing w:line="360" w:lineRule="auto"/>
              <w:ind w:firstLine="1680" w:firstLineChars="800"/>
              <w:rPr>
                <w:color w:val="000000"/>
                <w:kern w:val="0"/>
                <w:szCs w:val="21"/>
              </w:rPr>
            </w:pPr>
            <w:r>
              <w:rPr>
                <w:rFonts w:hint="eastAsia" w:hAnsi="宋体"/>
                <w:color w:val="000000"/>
                <w:kern w:val="0"/>
                <w:szCs w:val="21"/>
              </w:rPr>
              <w:t>（</w:t>
            </w:r>
            <w:r>
              <w:rPr>
                <w:rFonts w:hAnsi="宋体"/>
                <w:color w:val="000000"/>
                <w:kern w:val="0"/>
                <w:szCs w:val="21"/>
              </w:rPr>
              <w:t>注册</w:t>
            </w:r>
            <w:r>
              <w:rPr>
                <w:rFonts w:hint="eastAsia" w:hAnsi="宋体"/>
                <w:color w:val="000000"/>
                <w:kern w:val="0"/>
                <w:szCs w:val="21"/>
              </w:rPr>
              <w:t>编号</w:t>
            </w:r>
            <w:r>
              <w:rPr>
                <w:rFonts w:hAnsi="宋体"/>
                <w:color w:val="000000"/>
                <w:kern w:val="0"/>
                <w:szCs w:val="21"/>
              </w:rPr>
              <w:t>：</w:t>
            </w:r>
            <w:r>
              <w:rPr>
                <w:color w:val="000000"/>
                <w:kern w:val="0"/>
                <w:szCs w:val="21"/>
              </w:rPr>
              <w:t xml:space="preserve">     </w:t>
            </w:r>
            <w:r>
              <w:rPr>
                <w:rFonts w:hint="eastAsia"/>
                <w:color w:val="000000"/>
                <w:kern w:val="0"/>
                <w:szCs w:val="21"/>
              </w:rPr>
              <w:t xml:space="preserve">      </w:t>
            </w:r>
            <w:r>
              <w:rPr>
                <w:color w:val="000000"/>
                <w:kern w:val="0"/>
                <w:szCs w:val="21"/>
              </w:rPr>
              <w:t xml:space="preserve"> </w:t>
            </w:r>
            <w:r>
              <w:rPr>
                <w:rFonts w:hAnsi="宋体"/>
                <w:color w:val="000000"/>
                <w:kern w:val="0"/>
                <w:szCs w:val="21"/>
              </w:rPr>
              <w:t>；</w:t>
            </w:r>
            <w:r>
              <w:rPr>
                <w:rFonts w:hint="eastAsia" w:hAnsi="宋体" w:cs="宋体"/>
                <w:color w:val="000000"/>
                <w:kern w:val="0"/>
              </w:rPr>
              <w:t>身份证号</w:t>
            </w:r>
            <w:r>
              <w:rPr>
                <w:rFonts w:hAnsi="宋体"/>
                <w:color w:val="000000"/>
                <w:kern w:val="0"/>
                <w:szCs w:val="21"/>
              </w:rPr>
              <w:t>：</w:t>
            </w:r>
            <w:r>
              <w:rPr>
                <w:color w:val="000000"/>
                <w:kern w:val="0"/>
                <w:szCs w:val="21"/>
              </w:rPr>
              <w:t xml:space="preserve">        </w:t>
            </w:r>
            <w:r>
              <w:rPr>
                <w:rFonts w:hint="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141" w:type="dxa"/>
            <w:noWrap w:val="0"/>
            <w:vAlign w:val="bottom"/>
          </w:tcPr>
          <w:p>
            <w:pPr>
              <w:widowControl/>
              <w:spacing w:line="360" w:lineRule="auto"/>
              <w:jc w:val="center"/>
              <w:rPr>
                <w:color w:val="000000"/>
                <w:kern w:val="0"/>
                <w:szCs w:val="21"/>
              </w:rPr>
            </w:pPr>
            <w:r>
              <w:rPr>
                <w:rFonts w:hAnsi="宋体"/>
                <w:color w:val="000000"/>
                <w:kern w:val="0"/>
                <w:szCs w:val="21"/>
              </w:rPr>
              <w:t>公</w:t>
            </w:r>
            <w:r>
              <w:rPr>
                <w:rFonts w:hint="eastAsia" w:hAnsi="宋体"/>
                <w:color w:val="000000"/>
                <w:kern w:val="0"/>
                <w:szCs w:val="21"/>
              </w:rPr>
              <w:t>告</w:t>
            </w:r>
            <w:r>
              <w:rPr>
                <w:rFonts w:hAnsi="宋体"/>
                <w:color w:val="000000"/>
                <w:kern w:val="0"/>
                <w:szCs w:val="21"/>
              </w:rPr>
              <w:t>媒介</w:t>
            </w:r>
          </w:p>
        </w:tc>
        <w:tc>
          <w:tcPr>
            <w:tcW w:w="7525" w:type="dxa"/>
            <w:gridSpan w:val="5"/>
            <w:noWrap w:val="0"/>
            <w:tcMar>
              <w:top w:w="0" w:type="dxa"/>
              <w:left w:w="75" w:type="dxa"/>
              <w:bottom w:w="0" w:type="dxa"/>
              <w:right w:w="0" w:type="dxa"/>
            </w:tcMar>
            <w:vAlign w:val="center"/>
          </w:tcPr>
          <w:p>
            <w:pPr>
              <w:widowControl/>
              <w:spacing w:line="360" w:lineRule="auto"/>
              <w:ind w:right="178" w:rightChars="85"/>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 w:hRule="atLeast"/>
          <w:jc w:val="center"/>
        </w:trPr>
        <w:tc>
          <w:tcPr>
            <w:tcW w:w="2141" w:type="dxa"/>
            <w:noWrap w:val="0"/>
            <w:vAlign w:val="bottom"/>
          </w:tcPr>
          <w:p>
            <w:pPr>
              <w:widowControl/>
              <w:spacing w:line="360" w:lineRule="auto"/>
              <w:jc w:val="center"/>
              <w:rPr>
                <w:rFonts w:hAnsi="宋体"/>
                <w:color w:val="000000"/>
                <w:kern w:val="0"/>
                <w:szCs w:val="21"/>
              </w:rPr>
            </w:pPr>
            <w:r>
              <w:rPr>
                <w:rFonts w:hint="eastAsia" w:hAnsi="宋体"/>
                <w:color w:val="000000"/>
                <w:kern w:val="0"/>
                <w:szCs w:val="21"/>
              </w:rPr>
              <w:t>公告日期（即中标通知书签发日期）</w:t>
            </w:r>
          </w:p>
        </w:tc>
        <w:tc>
          <w:tcPr>
            <w:tcW w:w="7525" w:type="dxa"/>
            <w:gridSpan w:val="5"/>
            <w:noWrap w:val="0"/>
            <w:tcMar>
              <w:top w:w="0" w:type="dxa"/>
              <w:left w:w="75" w:type="dxa"/>
              <w:bottom w:w="0" w:type="dxa"/>
              <w:right w:w="0" w:type="dxa"/>
            </w:tcMar>
            <w:vAlign w:val="center"/>
          </w:tcPr>
          <w:p>
            <w:pPr>
              <w:widowControl/>
              <w:spacing w:line="360" w:lineRule="auto"/>
              <w:ind w:right="178" w:rightChars="85"/>
              <w:rPr>
                <w:color w:val="000000"/>
                <w:szCs w:val="21"/>
              </w:rPr>
            </w:pPr>
          </w:p>
        </w:tc>
      </w:tr>
    </w:tbl>
    <w:p>
      <w:pPr>
        <w:rPr>
          <w:b/>
          <w:color w:val="000000"/>
          <w:szCs w:val="21"/>
        </w:rPr>
      </w:pPr>
    </w:p>
    <w:p>
      <w:pPr>
        <w:widowControl/>
        <w:rPr>
          <w:rFonts w:hint="eastAsia"/>
          <w:color w:val="000000"/>
          <w:szCs w:val="21"/>
        </w:rPr>
      </w:pPr>
      <w:r>
        <w:rPr>
          <w:rFonts w:hint="eastAsia"/>
          <w:color w:val="000000"/>
          <w:szCs w:val="21"/>
        </w:rPr>
        <w:t>【备注：1、招标人应在发布招</w:t>
      </w:r>
      <w:r>
        <w:rPr>
          <w:color w:val="000000"/>
          <w:szCs w:val="21"/>
        </w:rPr>
        <w:t>标</w:t>
      </w:r>
      <w:r>
        <w:rPr>
          <w:rFonts w:hint="eastAsia"/>
          <w:color w:val="000000"/>
          <w:szCs w:val="21"/>
        </w:rPr>
        <w:t>公告媒介上发布中标公告；2、以上身份证号在公告时应隐藏中间部分数字。】</w:t>
      </w:r>
    </w:p>
    <w:p>
      <w:pPr>
        <w:pStyle w:val="4"/>
        <w:spacing w:line="240" w:lineRule="auto"/>
        <w:rPr>
          <w:color w:val="000000"/>
          <w:sz w:val="28"/>
          <w:szCs w:val="28"/>
        </w:rPr>
      </w:pPr>
      <w:r>
        <w:rPr>
          <w:rFonts w:ascii="宋体" w:hAnsi="宋体"/>
          <w:color w:val="000000"/>
        </w:rPr>
        <w:br w:type="page"/>
      </w:r>
      <w:bookmarkStart w:id="755" w:name="_Toc59203063"/>
      <w:r>
        <w:rPr>
          <w:sz w:val="28"/>
          <w:szCs w:val="28"/>
        </w:rPr>
        <w:t>附表A-24：</w:t>
      </w:r>
      <w:r>
        <w:rPr>
          <w:rFonts w:hint="eastAsia"/>
          <w:sz w:val="28"/>
          <w:szCs w:val="28"/>
        </w:rPr>
        <w:t>中标结果通知书</w:t>
      </w:r>
      <w:bookmarkEnd w:id="755"/>
    </w:p>
    <w:p>
      <w:pPr>
        <w:spacing w:line="360" w:lineRule="exact"/>
        <w:ind w:firstLine="435"/>
        <w:rPr>
          <w:color w:val="000000"/>
          <w:szCs w:val="21"/>
        </w:rPr>
      </w:pPr>
    </w:p>
    <w:p>
      <w:pPr>
        <w:spacing w:before="100" w:beforeAutospacing="1" w:after="100" w:afterAutospacing="1" w:line="360" w:lineRule="exact"/>
        <w:ind w:firstLine="437"/>
        <w:jc w:val="center"/>
        <w:rPr>
          <w:b/>
          <w:color w:val="000000"/>
          <w:sz w:val="32"/>
          <w:szCs w:val="32"/>
        </w:rPr>
      </w:pPr>
      <w:r>
        <w:rPr>
          <w:rFonts w:hint="eastAsia"/>
          <w:b/>
          <w:color w:val="000000"/>
          <w:sz w:val="32"/>
          <w:szCs w:val="32"/>
        </w:rPr>
        <w:t>中标结果通知书</w:t>
      </w:r>
    </w:p>
    <w:p>
      <w:pPr>
        <w:spacing w:line="360" w:lineRule="exact"/>
        <w:ind w:firstLine="437"/>
        <w:rPr>
          <w:color w:val="000000"/>
          <w:szCs w:val="21"/>
          <w:u w:val="single"/>
        </w:rPr>
      </w:pPr>
    </w:p>
    <w:p>
      <w:pPr>
        <w:spacing w:line="440" w:lineRule="exact"/>
        <w:ind w:left="630" w:leftChars="200" w:hanging="210" w:hangingChars="100"/>
        <w:rPr>
          <w:color w:val="000000"/>
          <w:szCs w:val="21"/>
        </w:rPr>
      </w:pPr>
      <w:r>
        <w:rPr>
          <w:rFonts w:hint="eastAsia"/>
          <w:color w:val="000000"/>
          <w:szCs w:val="21"/>
          <w:u w:val="single"/>
        </w:rPr>
        <w:t>　　　　　　　</w:t>
      </w:r>
      <w:r>
        <w:rPr>
          <w:rFonts w:hint="eastAsia"/>
          <w:color w:val="000000"/>
          <w:szCs w:val="21"/>
        </w:rPr>
        <w:t>（未中标人名称）：</w:t>
      </w:r>
    </w:p>
    <w:p>
      <w:pPr>
        <w:spacing w:line="360" w:lineRule="exact"/>
        <w:ind w:firstLine="437"/>
        <w:rPr>
          <w:color w:val="000000"/>
          <w:szCs w:val="21"/>
        </w:rPr>
      </w:pPr>
    </w:p>
    <w:p>
      <w:pPr>
        <w:spacing w:line="440" w:lineRule="exact"/>
        <w:ind w:left="630" w:leftChars="200" w:hanging="210" w:hangingChars="100"/>
        <w:rPr>
          <w:color w:val="000000"/>
          <w:szCs w:val="21"/>
        </w:rPr>
      </w:pPr>
      <w:r>
        <w:rPr>
          <w:rFonts w:hint="eastAsia"/>
          <w:color w:val="000000"/>
          <w:szCs w:val="21"/>
        </w:rPr>
        <w:t>我方已接受</w:t>
      </w:r>
      <w:r>
        <w:rPr>
          <w:rFonts w:hint="eastAsia"/>
          <w:color w:val="000000"/>
          <w:szCs w:val="21"/>
          <w:u w:val="single"/>
        </w:rPr>
        <w:t>　　        　　</w:t>
      </w:r>
      <w:r>
        <w:rPr>
          <w:rFonts w:hint="eastAsia"/>
          <w:color w:val="000000"/>
          <w:szCs w:val="21"/>
        </w:rPr>
        <w:t>（中标人名称）于</w:t>
      </w:r>
      <w:r>
        <w:rPr>
          <w:color w:val="000000"/>
          <w:szCs w:val="21"/>
        </w:rPr>
        <w:t xml:space="preserve"> </w:t>
      </w:r>
      <w:r>
        <w:rPr>
          <w:color w:val="000000"/>
          <w:szCs w:val="21"/>
          <w:u w:val="single"/>
        </w:rPr>
        <w:t xml:space="preserve">   </w:t>
      </w:r>
      <w:r>
        <w:rPr>
          <w:rFonts w:hint="eastAsia"/>
          <w:color w:val="000000"/>
          <w:szCs w:val="21"/>
          <w:u w:val="single"/>
        </w:rPr>
        <w:t>　</w:t>
      </w:r>
      <w:r>
        <w:rPr>
          <w:color w:val="000000"/>
          <w:szCs w:val="21"/>
          <w:u w:val="single"/>
        </w:rPr>
        <w:t xml:space="preserve">    </w:t>
      </w:r>
      <w:r>
        <w:rPr>
          <w:rFonts w:hint="eastAsia"/>
          <w:color w:val="000000"/>
          <w:szCs w:val="21"/>
        </w:rPr>
        <w:t>（投标日期）所递交的</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rFonts w:hint="eastAsia"/>
          <w:color w:val="000000"/>
          <w:szCs w:val="21"/>
        </w:rPr>
        <w:t>项目</w:t>
      </w:r>
      <w:r>
        <w:rPr>
          <w:rFonts w:hint="eastAsia"/>
          <w:color w:val="000000"/>
          <w:szCs w:val="21"/>
          <w:u w:val="single"/>
        </w:rPr>
        <w:t xml:space="preserve">        </w:t>
      </w:r>
      <w:r>
        <w:rPr>
          <w:rFonts w:hint="eastAsia"/>
          <w:color w:val="000000"/>
          <w:szCs w:val="21"/>
        </w:rPr>
        <w:t>总承包（    ）投标文件，确定</w:t>
      </w:r>
      <w:r>
        <w:rPr>
          <w:rFonts w:hint="eastAsia"/>
          <w:color w:val="000000"/>
          <w:szCs w:val="21"/>
          <w:u w:val="single"/>
        </w:rPr>
        <w:t>　</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rFonts w:hint="eastAsia"/>
          <w:color w:val="000000"/>
          <w:szCs w:val="21"/>
        </w:rPr>
        <w:t>（中标人名称）为中标人。</w:t>
      </w:r>
    </w:p>
    <w:p>
      <w:pPr>
        <w:spacing w:line="440" w:lineRule="exact"/>
        <w:ind w:firstLine="437"/>
        <w:rPr>
          <w:color w:val="000000"/>
          <w:szCs w:val="21"/>
        </w:rPr>
      </w:pPr>
    </w:p>
    <w:p>
      <w:pPr>
        <w:spacing w:line="440" w:lineRule="exact"/>
        <w:ind w:firstLine="437"/>
        <w:rPr>
          <w:color w:val="000000"/>
          <w:szCs w:val="21"/>
        </w:rPr>
      </w:pPr>
      <w:r>
        <w:rPr>
          <w:rFonts w:hint="eastAsia"/>
          <w:color w:val="000000"/>
          <w:szCs w:val="21"/>
        </w:rPr>
        <w:t>感谢你单位对我们工作的大力支持！</w:t>
      </w:r>
    </w:p>
    <w:p>
      <w:pPr>
        <w:spacing w:line="360" w:lineRule="exact"/>
        <w:ind w:firstLine="437"/>
        <w:rPr>
          <w:color w:val="000000"/>
          <w:szCs w:val="21"/>
        </w:rPr>
      </w:pPr>
    </w:p>
    <w:p>
      <w:pPr>
        <w:spacing w:line="360" w:lineRule="exact"/>
        <w:ind w:firstLine="437"/>
        <w:rPr>
          <w:color w:val="000000"/>
          <w:szCs w:val="21"/>
        </w:rPr>
      </w:pPr>
    </w:p>
    <w:p>
      <w:pPr>
        <w:spacing w:line="360" w:lineRule="exact"/>
        <w:ind w:firstLine="437"/>
        <w:rPr>
          <w:color w:val="000000"/>
          <w:szCs w:val="21"/>
        </w:rPr>
      </w:pPr>
      <w:r>
        <w:rPr>
          <w:rFonts w:hint="eastAsia"/>
          <w:color w:val="000000"/>
          <w:szCs w:val="21"/>
        </w:rPr>
        <w:t>　　　　　　　　　　　　　　　　　　　  　招标人：</w:t>
      </w:r>
      <w:r>
        <w:rPr>
          <w:rFonts w:hint="eastAsia"/>
          <w:color w:val="000000"/>
          <w:szCs w:val="21"/>
          <w:u w:val="single"/>
        </w:rPr>
        <w:t>　　　　　　　</w:t>
      </w:r>
      <w:r>
        <w:rPr>
          <w:rFonts w:hint="eastAsia"/>
          <w:color w:val="000000"/>
          <w:szCs w:val="21"/>
        </w:rPr>
        <w:t>（盖单位章）</w:t>
      </w:r>
    </w:p>
    <w:p>
      <w:pPr>
        <w:spacing w:line="360" w:lineRule="exact"/>
        <w:ind w:firstLine="437"/>
        <w:rPr>
          <w:color w:val="000000"/>
          <w:szCs w:val="21"/>
        </w:rPr>
      </w:pPr>
    </w:p>
    <w:p>
      <w:pPr>
        <w:spacing w:line="360" w:lineRule="exact"/>
        <w:ind w:firstLine="437"/>
        <w:rPr>
          <w:color w:val="000000"/>
          <w:szCs w:val="21"/>
        </w:rPr>
      </w:pPr>
      <w:r>
        <w:rPr>
          <w:rFonts w:hint="eastAsia"/>
          <w:color w:val="000000"/>
          <w:szCs w:val="21"/>
        </w:rPr>
        <w:t>　　　　　　　　　　　　　　　　　　　　　法定代表人：</w:t>
      </w:r>
      <w:r>
        <w:rPr>
          <w:rFonts w:hint="eastAsia"/>
          <w:color w:val="000000"/>
          <w:szCs w:val="21"/>
          <w:u w:val="single"/>
        </w:rPr>
        <w:t>　　　　  　</w:t>
      </w:r>
      <w:r>
        <w:rPr>
          <w:rFonts w:hint="eastAsia"/>
          <w:color w:val="000000"/>
          <w:szCs w:val="21"/>
        </w:rPr>
        <w:t>（</w:t>
      </w:r>
      <w:r>
        <w:rPr>
          <w:rFonts w:hAnsi="宋体"/>
          <w:color w:val="000000"/>
          <w:szCs w:val="21"/>
        </w:rPr>
        <w:t>签字或盖章</w:t>
      </w:r>
      <w:r>
        <w:rPr>
          <w:rFonts w:hint="eastAsia"/>
          <w:color w:val="000000"/>
          <w:szCs w:val="21"/>
        </w:rPr>
        <w:t>）</w:t>
      </w:r>
    </w:p>
    <w:p>
      <w:pPr>
        <w:spacing w:line="360" w:lineRule="exact"/>
        <w:ind w:firstLine="437"/>
        <w:rPr>
          <w:color w:val="000000"/>
          <w:szCs w:val="21"/>
        </w:rPr>
      </w:pPr>
    </w:p>
    <w:p>
      <w:pPr>
        <w:spacing w:line="360" w:lineRule="exact"/>
        <w:ind w:firstLine="437"/>
        <w:rPr>
          <w:color w:val="000000"/>
          <w:szCs w:val="21"/>
        </w:rPr>
      </w:pPr>
      <w:r>
        <w:rPr>
          <w:rFonts w:hint="eastAsia"/>
          <w:color w:val="000000"/>
          <w:szCs w:val="21"/>
        </w:rPr>
        <w:t>　　　　　　　　　　　　　　　　　　　　　</w:t>
      </w:r>
      <w:r>
        <w:rPr>
          <w:color w:val="000000"/>
          <w:szCs w:val="21"/>
          <w:u w:val="single"/>
        </w:rPr>
        <w:t xml:space="preserve">         </w:t>
      </w:r>
      <w:r>
        <w:rPr>
          <w:rFonts w:hint="eastAsia"/>
          <w:color w:val="000000"/>
          <w:szCs w:val="21"/>
        </w:rPr>
        <w:t>年</w:t>
      </w:r>
      <w:r>
        <w:rPr>
          <w:color w:val="000000"/>
          <w:szCs w:val="21"/>
          <w:u w:val="single"/>
        </w:rPr>
        <w:t xml:space="preserve">       </w:t>
      </w:r>
      <w:r>
        <w:rPr>
          <w:rFonts w:hint="eastAsia"/>
          <w:color w:val="000000"/>
          <w:szCs w:val="21"/>
        </w:rPr>
        <w:t>月</w:t>
      </w:r>
      <w:r>
        <w:rPr>
          <w:color w:val="000000"/>
          <w:szCs w:val="21"/>
          <w:u w:val="single"/>
        </w:rPr>
        <w:t xml:space="preserve">       </w:t>
      </w:r>
      <w:r>
        <w:rPr>
          <w:rFonts w:hint="eastAsia"/>
          <w:color w:val="000000"/>
          <w:szCs w:val="21"/>
        </w:rPr>
        <w:t>日</w:t>
      </w:r>
    </w:p>
    <w:p>
      <w:pPr>
        <w:rPr>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pStyle w:val="4"/>
        <w:spacing w:line="240" w:lineRule="auto"/>
        <w:rPr>
          <w:sz w:val="28"/>
          <w:szCs w:val="28"/>
        </w:rPr>
      </w:pPr>
      <w:bookmarkStart w:id="756" w:name="_Toc59203064"/>
      <w:r>
        <w:rPr>
          <w:sz w:val="28"/>
          <w:szCs w:val="28"/>
        </w:rPr>
        <w:t>附表A-25：</w:t>
      </w:r>
      <w:r>
        <w:rPr>
          <w:rFonts w:hint="eastAsia"/>
          <w:sz w:val="28"/>
          <w:szCs w:val="28"/>
        </w:rPr>
        <w:t>确认通知</w:t>
      </w:r>
      <w:bookmarkEnd w:id="756"/>
    </w:p>
    <w:p>
      <w:pPr>
        <w:spacing w:line="360" w:lineRule="exact"/>
        <w:ind w:firstLine="435"/>
        <w:rPr>
          <w:color w:val="000000"/>
          <w:szCs w:val="21"/>
        </w:rPr>
      </w:pPr>
    </w:p>
    <w:p>
      <w:pPr>
        <w:spacing w:before="100" w:beforeAutospacing="1" w:after="100" w:afterAutospacing="1" w:line="360" w:lineRule="exact"/>
        <w:ind w:firstLine="437"/>
        <w:jc w:val="center"/>
        <w:rPr>
          <w:b/>
          <w:color w:val="000000"/>
          <w:sz w:val="32"/>
          <w:szCs w:val="32"/>
        </w:rPr>
      </w:pPr>
      <w:r>
        <w:rPr>
          <w:rFonts w:hint="eastAsia"/>
          <w:b/>
          <w:color w:val="000000"/>
          <w:sz w:val="32"/>
          <w:szCs w:val="32"/>
        </w:rPr>
        <w:t>确认通知</w:t>
      </w:r>
    </w:p>
    <w:p>
      <w:pPr>
        <w:spacing w:line="360" w:lineRule="exact"/>
        <w:ind w:firstLine="435"/>
        <w:rPr>
          <w:color w:val="000000"/>
          <w:szCs w:val="21"/>
          <w:u w:val="single"/>
        </w:rPr>
      </w:pPr>
    </w:p>
    <w:p>
      <w:pPr>
        <w:spacing w:line="360" w:lineRule="exact"/>
        <w:rPr>
          <w:color w:val="000000"/>
          <w:szCs w:val="21"/>
        </w:rPr>
      </w:pPr>
      <w:r>
        <w:rPr>
          <w:rFonts w:hint="eastAsia"/>
          <w:color w:val="000000"/>
          <w:szCs w:val="21"/>
          <w:u w:val="single"/>
        </w:rPr>
        <w:t>　　　                         　　</w:t>
      </w:r>
      <w:r>
        <w:rPr>
          <w:rFonts w:hint="eastAsia"/>
          <w:color w:val="000000"/>
          <w:szCs w:val="21"/>
        </w:rPr>
        <w:t>（招标人名称）：</w:t>
      </w:r>
    </w:p>
    <w:p>
      <w:pPr>
        <w:spacing w:line="360" w:lineRule="exact"/>
        <w:ind w:firstLine="435"/>
        <w:rPr>
          <w:color w:val="000000"/>
          <w:szCs w:val="21"/>
        </w:rPr>
      </w:pPr>
    </w:p>
    <w:p>
      <w:pPr>
        <w:spacing w:line="440" w:lineRule="exact"/>
        <w:ind w:firstLine="420" w:firstLineChars="200"/>
        <w:rPr>
          <w:color w:val="000000"/>
          <w:szCs w:val="21"/>
        </w:rPr>
      </w:pPr>
      <w:r>
        <w:rPr>
          <w:rFonts w:hint="eastAsia"/>
          <w:color w:val="000000"/>
          <w:szCs w:val="21"/>
        </w:rPr>
        <w:t>我方已接到你方</w:t>
      </w:r>
      <w:r>
        <w:rPr>
          <w:color w:val="000000"/>
          <w:szCs w:val="21"/>
          <w:u w:val="single"/>
        </w:rPr>
        <w:t xml:space="preserve">     </w:t>
      </w:r>
      <w:r>
        <w:rPr>
          <w:rFonts w:hint="eastAsia"/>
          <w:color w:val="000000"/>
          <w:szCs w:val="21"/>
        </w:rPr>
        <w:t>年</w:t>
      </w:r>
      <w:r>
        <w:rPr>
          <w:color w:val="000000"/>
          <w:szCs w:val="21"/>
          <w:u w:val="single"/>
        </w:rPr>
        <w:t xml:space="preserve">     </w:t>
      </w:r>
      <w:r>
        <w:rPr>
          <w:rFonts w:hint="eastAsia"/>
          <w:color w:val="000000"/>
          <w:szCs w:val="21"/>
        </w:rPr>
        <w:t>月</w:t>
      </w:r>
      <w:r>
        <w:rPr>
          <w:color w:val="000000"/>
          <w:szCs w:val="21"/>
          <w:u w:val="single"/>
        </w:rPr>
        <w:t xml:space="preserve">     </w:t>
      </w:r>
      <w:r>
        <w:rPr>
          <w:rFonts w:hint="eastAsia"/>
          <w:color w:val="000000"/>
          <w:szCs w:val="21"/>
        </w:rPr>
        <w:t>日发出的</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rFonts w:hint="eastAsia"/>
          <w:color w:val="000000"/>
          <w:szCs w:val="21"/>
          <w:u w:val="single"/>
        </w:rPr>
        <w:t xml:space="preserve">  </w:t>
      </w:r>
      <w:r>
        <w:rPr>
          <w:rFonts w:hint="eastAsia"/>
          <w:color w:val="000000"/>
          <w:szCs w:val="21"/>
        </w:rPr>
        <w:t>项目</w:t>
      </w:r>
      <w:r>
        <w:rPr>
          <w:rFonts w:hint="eastAsia"/>
          <w:color w:val="000000"/>
          <w:szCs w:val="21"/>
          <w:u w:val="single"/>
        </w:rPr>
        <w:t xml:space="preserve">       </w:t>
      </w:r>
      <w:r>
        <w:rPr>
          <w:rFonts w:hint="eastAsia"/>
          <w:color w:val="000000"/>
          <w:szCs w:val="21"/>
        </w:rPr>
        <w:t xml:space="preserve"> 工程总承包（</w:t>
      </w:r>
      <w:r>
        <w:rPr>
          <w:rFonts w:hint="eastAsia"/>
          <w:color w:val="000000"/>
          <w:szCs w:val="21"/>
          <w:u w:val="single"/>
        </w:rPr>
        <w:t xml:space="preserve">   </w:t>
      </w:r>
      <w:r>
        <w:rPr>
          <w:rFonts w:hint="eastAsia"/>
          <w:color w:val="000000"/>
          <w:szCs w:val="21"/>
        </w:rPr>
        <w:t>）关于</w:t>
      </w:r>
      <w:r>
        <w:rPr>
          <w:color w:val="000000"/>
          <w:szCs w:val="21"/>
          <w:u w:val="single"/>
        </w:rPr>
        <w:t xml:space="preserve">    </w:t>
      </w:r>
      <w:r>
        <w:rPr>
          <w:rFonts w:hint="eastAsia"/>
          <w:color w:val="000000"/>
          <w:szCs w:val="21"/>
          <w:u w:val="single"/>
        </w:rPr>
        <w:t>中标结果</w:t>
      </w:r>
      <w:r>
        <w:rPr>
          <w:color w:val="000000"/>
          <w:szCs w:val="21"/>
          <w:u w:val="single"/>
        </w:rPr>
        <w:t xml:space="preserve">   </w:t>
      </w:r>
      <w:r>
        <w:rPr>
          <w:rFonts w:hint="eastAsia"/>
          <w:color w:val="000000"/>
          <w:szCs w:val="21"/>
        </w:rPr>
        <w:t>的通知，我方已于</w:t>
      </w:r>
      <w:r>
        <w:rPr>
          <w:color w:val="000000"/>
          <w:szCs w:val="21"/>
          <w:u w:val="single"/>
        </w:rPr>
        <w:t xml:space="preserve">      </w:t>
      </w:r>
      <w:r>
        <w:rPr>
          <w:rFonts w:hint="eastAsia"/>
          <w:color w:val="000000"/>
          <w:szCs w:val="21"/>
        </w:rPr>
        <w:t>年</w:t>
      </w:r>
      <w:r>
        <w:rPr>
          <w:color w:val="000000"/>
          <w:szCs w:val="21"/>
          <w:u w:val="single"/>
        </w:rPr>
        <w:t xml:space="preserve">     </w:t>
      </w:r>
      <w:r>
        <w:rPr>
          <w:rFonts w:hint="eastAsia"/>
          <w:color w:val="000000"/>
          <w:szCs w:val="21"/>
        </w:rPr>
        <w:t>月</w:t>
      </w:r>
      <w:r>
        <w:rPr>
          <w:color w:val="000000"/>
          <w:szCs w:val="21"/>
          <w:u w:val="single"/>
        </w:rPr>
        <w:t xml:space="preserve">     </w:t>
      </w:r>
      <w:r>
        <w:rPr>
          <w:rFonts w:hint="eastAsia"/>
          <w:color w:val="000000"/>
          <w:szCs w:val="21"/>
        </w:rPr>
        <w:t>日收到。</w:t>
      </w:r>
    </w:p>
    <w:p>
      <w:pPr>
        <w:spacing w:line="440" w:lineRule="exact"/>
        <w:ind w:firstLine="435"/>
        <w:rPr>
          <w:color w:val="000000"/>
          <w:szCs w:val="21"/>
        </w:rPr>
      </w:pPr>
      <w:r>
        <w:rPr>
          <w:rFonts w:hint="eastAsia"/>
          <w:color w:val="000000"/>
          <w:szCs w:val="21"/>
        </w:rPr>
        <w:t>特此通知。</w:t>
      </w:r>
    </w:p>
    <w:p>
      <w:pPr>
        <w:spacing w:line="360" w:lineRule="exact"/>
        <w:ind w:firstLine="435"/>
        <w:rPr>
          <w:color w:val="000000"/>
          <w:szCs w:val="21"/>
        </w:rPr>
      </w:pPr>
    </w:p>
    <w:p>
      <w:pPr>
        <w:spacing w:line="360" w:lineRule="exact"/>
        <w:ind w:firstLine="435"/>
        <w:rPr>
          <w:color w:val="000000"/>
          <w:szCs w:val="21"/>
        </w:rPr>
      </w:pPr>
    </w:p>
    <w:p>
      <w:pPr>
        <w:spacing w:line="360" w:lineRule="exact"/>
        <w:ind w:firstLine="435"/>
        <w:rPr>
          <w:color w:val="000000"/>
          <w:szCs w:val="21"/>
        </w:rPr>
      </w:pPr>
      <w:r>
        <w:rPr>
          <w:rFonts w:hint="eastAsia"/>
          <w:color w:val="000000"/>
          <w:szCs w:val="21"/>
        </w:rPr>
        <w:t>　　　　　　　　　　　　　　　　　　　</w:t>
      </w:r>
    </w:p>
    <w:p>
      <w:pPr>
        <w:spacing w:line="360" w:lineRule="exact"/>
        <w:ind w:firstLine="435"/>
        <w:rPr>
          <w:color w:val="000000"/>
          <w:szCs w:val="21"/>
        </w:rPr>
      </w:pPr>
      <w:r>
        <w:rPr>
          <w:rFonts w:hint="eastAsia"/>
          <w:color w:val="000000"/>
          <w:szCs w:val="21"/>
        </w:rPr>
        <w:t>　　　　　　　　　　　　　　　　　　　中标人：</w:t>
      </w:r>
      <w:r>
        <w:rPr>
          <w:rFonts w:hint="eastAsia"/>
          <w:color w:val="000000"/>
          <w:szCs w:val="21"/>
          <w:u w:val="single"/>
        </w:rPr>
        <w:t>　　　　　　　</w:t>
      </w:r>
      <w:r>
        <w:rPr>
          <w:rFonts w:hint="eastAsia"/>
          <w:color w:val="000000"/>
          <w:szCs w:val="21"/>
        </w:rPr>
        <w:t>（盖单位章）</w:t>
      </w:r>
    </w:p>
    <w:p>
      <w:pPr>
        <w:spacing w:line="360" w:lineRule="exact"/>
        <w:ind w:firstLine="435"/>
        <w:rPr>
          <w:color w:val="000000"/>
          <w:szCs w:val="21"/>
        </w:rPr>
      </w:pPr>
      <w:r>
        <w:rPr>
          <w:rFonts w:hint="eastAsia"/>
          <w:color w:val="000000"/>
          <w:szCs w:val="21"/>
        </w:rPr>
        <w:t>　　　　　　　　　　　　　　　　　　　　　</w:t>
      </w:r>
      <w:r>
        <w:rPr>
          <w:color w:val="000000"/>
          <w:szCs w:val="21"/>
          <w:u w:val="single"/>
        </w:rPr>
        <w:t xml:space="preserve">         </w:t>
      </w:r>
      <w:r>
        <w:rPr>
          <w:rFonts w:hint="eastAsia"/>
          <w:color w:val="000000"/>
          <w:szCs w:val="21"/>
        </w:rPr>
        <w:t>年</w:t>
      </w:r>
      <w:r>
        <w:rPr>
          <w:color w:val="000000"/>
          <w:szCs w:val="21"/>
          <w:u w:val="single"/>
        </w:rPr>
        <w:t xml:space="preserve">       </w:t>
      </w:r>
      <w:r>
        <w:rPr>
          <w:rFonts w:hint="eastAsia"/>
          <w:color w:val="000000"/>
          <w:szCs w:val="21"/>
        </w:rPr>
        <w:t>月</w:t>
      </w:r>
      <w:r>
        <w:rPr>
          <w:color w:val="000000"/>
          <w:szCs w:val="21"/>
          <w:u w:val="single"/>
        </w:rPr>
        <w:t xml:space="preserve">       </w:t>
      </w:r>
      <w:r>
        <w:rPr>
          <w:rFonts w:hint="eastAsia"/>
          <w:color w:val="000000"/>
          <w:szCs w:val="21"/>
        </w:rPr>
        <w:t>日</w:t>
      </w:r>
    </w:p>
    <w:p>
      <w:pPr>
        <w:rPr>
          <w:rFonts w:hint="eastAsia" w:ascii="宋体" w:hAnsi="宋体"/>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rPr>
          <w:rFonts w:hint="eastAsia"/>
          <w:color w:val="000000"/>
          <w:szCs w:val="21"/>
        </w:rPr>
      </w:pPr>
    </w:p>
    <w:p>
      <w:pPr>
        <w:widowControl/>
        <w:rPr>
          <w:rFonts w:hint="eastAsia"/>
          <w:color w:val="000000"/>
          <w:szCs w:val="21"/>
        </w:rPr>
      </w:pPr>
      <w:bookmarkStart w:id="757" w:name="_Toc4784158"/>
      <w:bookmarkEnd w:id="757"/>
      <w:bookmarkStart w:id="758" w:name="_Toc4784171"/>
      <w:bookmarkEnd w:id="758"/>
      <w:bookmarkStart w:id="759" w:name="_Toc4784168"/>
      <w:bookmarkEnd w:id="759"/>
      <w:bookmarkStart w:id="760" w:name="_Toc4784175"/>
      <w:bookmarkEnd w:id="760"/>
      <w:bookmarkStart w:id="761" w:name="_Toc4784154"/>
      <w:bookmarkEnd w:id="761"/>
      <w:bookmarkStart w:id="762" w:name="_Toc4784166"/>
      <w:bookmarkEnd w:id="762"/>
      <w:bookmarkStart w:id="763" w:name="_Toc4784170"/>
      <w:bookmarkEnd w:id="763"/>
      <w:bookmarkStart w:id="764" w:name="_Toc4784169"/>
      <w:bookmarkEnd w:id="764"/>
      <w:bookmarkStart w:id="765" w:name="_Toc4784156"/>
      <w:bookmarkEnd w:id="765"/>
      <w:bookmarkStart w:id="766" w:name="_Toc4784157"/>
      <w:bookmarkEnd w:id="766"/>
      <w:bookmarkStart w:id="767" w:name="_Toc4784165"/>
      <w:bookmarkEnd w:id="767"/>
      <w:bookmarkStart w:id="768" w:name="_Toc54862196"/>
      <w:bookmarkEnd w:id="768"/>
      <w:bookmarkStart w:id="769" w:name="_Toc54862195"/>
      <w:bookmarkEnd w:id="769"/>
      <w:bookmarkStart w:id="770" w:name="_Toc51505124"/>
      <w:bookmarkEnd w:id="770"/>
      <w:bookmarkStart w:id="771" w:name="_Toc4784159"/>
      <w:bookmarkEnd w:id="771"/>
      <w:bookmarkStart w:id="772" w:name="_Toc4784172"/>
      <w:bookmarkEnd w:id="772"/>
      <w:bookmarkStart w:id="773" w:name="_Toc51505125"/>
      <w:bookmarkEnd w:id="773"/>
      <w:bookmarkStart w:id="774" w:name="_Toc4784155"/>
      <w:bookmarkEnd w:id="774"/>
      <w:bookmarkStart w:id="775" w:name="_Toc4784163"/>
      <w:bookmarkEnd w:id="775"/>
      <w:bookmarkStart w:id="776" w:name="_Toc51505123"/>
      <w:bookmarkEnd w:id="776"/>
      <w:bookmarkStart w:id="777" w:name="_Toc4784161"/>
      <w:bookmarkEnd w:id="777"/>
      <w:bookmarkStart w:id="778" w:name="_Toc4784162"/>
      <w:bookmarkEnd w:id="778"/>
      <w:bookmarkStart w:id="779" w:name="_Toc54862197"/>
      <w:bookmarkEnd w:id="779"/>
      <w:bookmarkStart w:id="780" w:name="_Toc4784174"/>
      <w:bookmarkEnd w:id="780"/>
      <w:bookmarkStart w:id="781" w:name="_Toc4784173"/>
      <w:bookmarkEnd w:id="781"/>
      <w:bookmarkStart w:id="782" w:name="_Toc4784160"/>
      <w:bookmarkEnd w:id="782"/>
      <w:bookmarkStart w:id="783" w:name="_Toc4784167"/>
      <w:bookmarkEnd w:id="783"/>
      <w:bookmarkStart w:id="784" w:name="_Toc4784164"/>
      <w:bookmarkEnd w:id="784"/>
      <w:bookmarkStart w:id="785" w:name="_Toc4784193"/>
      <w:bookmarkEnd w:id="785"/>
      <w:bookmarkStart w:id="786" w:name="_Toc4784276"/>
      <w:bookmarkEnd w:id="786"/>
      <w:bookmarkStart w:id="787" w:name="_Toc4784194"/>
      <w:bookmarkEnd w:id="787"/>
      <w:bookmarkStart w:id="788" w:name="_Toc4784277"/>
      <w:bookmarkEnd w:id="788"/>
      <w:bookmarkStart w:id="789" w:name="_Toc4784195"/>
      <w:bookmarkEnd w:id="789"/>
      <w:bookmarkStart w:id="790" w:name="_Toc4784272"/>
      <w:bookmarkEnd w:id="790"/>
      <w:bookmarkStart w:id="791" w:name="_Toc4784273"/>
      <w:bookmarkEnd w:id="791"/>
    </w:p>
    <w:p>
      <w:pPr>
        <w:pStyle w:val="2"/>
        <w:jc w:val="center"/>
        <w:rPr>
          <w:rFonts w:hint="eastAsia"/>
          <w:color w:val="000000"/>
        </w:rPr>
      </w:pPr>
      <w:bookmarkStart w:id="792" w:name="_Toc433988694"/>
      <w:bookmarkStart w:id="793" w:name="_Toc57191192"/>
      <w:bookmarkStart w:id="794" w:name="_Toc419363661"/>
      <w:bookmarkStart w:id="795" w:name="_Toc419320205"/>
      <w:bookmarkStart w:id="796" w:name="_Toc419321241"/>
      <w:bookmarkStart w:id="797" w:name="_Toc419364332"/>
      <w:bookmarkStart w:id="798" w:name="_Toc59203065"/>
      <w:r>
        <w:rPr>
          <w:color w:val="000000"/>
        </w:rPr>
        <w:t>第</w:t>
      </w:r>
      <w:r>
        <w:rPr>
          <w:rFonts w:hint="eastAsia"/>
          <w:color w:val="000000"/>
        </w:rPr>
        <w:t>四</w:t>
      </w:r>
      <w:r>
        <w:rPr>
          <w:color w:val="000000"/>
        </w:rPr>
        <w:t xml:space="preserve">章 </w:t>
      </w:r>
      <w:r>
        <w:rPr>
          <w:rFonts w:hint="eastAsia"/>
          <w:color w:val="000000"/>
        </w:rPr>
        <w:t xml:space="preserve"> 合同条款及格式</w:t>
      </w:r>
      <w:bookmarkEnd w:id="792"/>
      <w:bookmarkEnd w:id="793"/>
      <w:bookmarkEnd w:id="794"/>
      <w:bookmarkEnd w:id="795"/>
      <w:bookmarkEnd w:id="796"/>
      <w:bookmarkEnd w:id="797"/>
      <w:bookmarkEnd w:id="798"/>
    </w:p>
    <w:p>
      <w:pPr>
        <w:pStyle w:val="3"/>
        <w:jc w:val="center"/>
        <w:rPr>
          <w:sz w:val="30"/>
          <w:szCs w:val="30"/>
        </w:rPr>
      </w:pPr>
      <w:bookmarkStart w:id="799" w:name="_Toc54862164"/>
      <w:bookmarkStart w:id="800" w:name="_Toc59203066"/>
      <w:bookmarkStart w:id="801" w:name="_Toc433988695"/>
      <w:bookmarkStart w:id="802" w:name="_Toc419363662"/>
      <w:bookmarkStart w:id="803" w:name="_Toc419364333"/>
      <w:bookmarkStart w:id="804" w:name="_Toc419321242"/>
      <w:bookmarkStart w:id="805" w:name="_Toc419320206"/>
      <w:bookmarkStart w:id="806" w:name="_Toc57191193"/>
      <w:r>
        <w:rPr>
          <w:rFonts w:hint="eastAsia"/>
          <w:sz w:val="30"/>
          <w:szCs w:val="30"/>
        </w:rPr>
        <w:t>第一部分</w:t>
      </w:r>
      <w:r>
        <w:rPr>
          <w:sz w:val="30"/>
          <w:szCs w:val="30"/>
        </w:rPr>
        <w:t xml:space="preserve"> </w:t>
      </w:r>
      <w:r>
        <w:rPr>
          <w:rFonts w:hint="eastAsia"/>
          <w:sz w:val="30"/>
          <w:szCs w:val="30"/>
        </w:rPr>
        <w:t>合同协议书</w:t>
      </w:r>
      <w:bookmarkEnd w:id="799"/>
      <w:bookmarkEnd w:id="800"/>
    </w:p>
    <w:p>
      <w:pPr>
        <w:spacing w:line="400" w:lineRule="exact"/>
        <w:ind w:firstLine="600"/>
        <w:rPr>
          <w:rFonts w:hint="eastAsia" w:ascii="宋体" w:hAnsi="宋体" w:cs="宋体"/>
          <w:szCs w:val="21"/>
          <w:u w:val="single"/>
        </w:rPr>
      </w:pPr>
      <w:r>
        <w:rPr>
          <w:rFonts w:hint="eastAsia" w:ascii="宋体" w:hAnsi="宋体" w:cs="宋体"/>
          <w:szCs w:val="21"/>
        </w:rPr>
        <w:t>发包人（全称）：</w:t>
      </w:r>
      <w:r>
        <w:rPr>
          <w:rFonts w:hint="eastAsia" w:ascii="宋体" w:hAnsi="宋体" w:cs="宋体"/>
          <w:szCs w:val="21"/>
          <w:u w:val="single"/>
        </w:rPr>
        <w:t xml:space="preserve">                                    </w:t>
      </w:r>
    </w:p>
    <w:p>
      <w:pPr>
        <w:spacing w:line="400" w:lineRule="exact"/>
        <w:ind w:firstLine="600"/>
        <w:rPr>
          <w:rFonts w:hint="eastAsia" w:ascii="宋体" w:hAnsi="宋体" w:cs="宋体"/>
          <w:szCs w:val="21"/>
        </w:rPr>
      </w:pPr>
      <w:r>
        <w:rPr>
          <w:rFonts w:hint="eastAsia" w:ascii="宋体" w:hAnsi="宋体" w:cs="宋体"/>
          <w:szCs w:val="21"/>
        </w:rPr>
        <w:t>承包人（全称）：</w:t>
      </w:r>
      <w:r>
        <w:rPr>
          <w:rFonts w:hint="eastAsia" w:ascii="宋体" w:hAnsi="宋体" w:cs="宋体"/>
          <w:szCs w:val="21"/>
          <w:u w:val="single"/>
        </w:rPr>
        <w:t xml:space="preserve">                                    </w:t>
      </w:r>
    </w:p>
    <w:p>
      <w:pPr>
        <w:spacing w:line="400" w:lineRule="exact"/>
        <w:ind w:firstLine="600"/>
        <w:rPr>
          <w:rFonts w:hint="eastAsia" w:ascii="宋体" w:hAnsi="宋体" w:cs="宋体"/>
          <w:szCs w:val="21"/>
        </w:rPr>
      </w:pPr>
      <w:r>
        <w:rPr>
          <w:rFonts w:hint="eastAsia" w:ascii="宋体" w:hAnsi="宋体" w:cs="宋体"/>
          <w:szCs w:val="21"/>
        </w:rPr>
        <w:t>根据《中华人民共和国民法典》、《中华人民共和国建筑法》及有关法律规定，遵循平等、自愿、公平和诚实信用的原则，双方就</w:t>
      </w:r>
      <w:r>
        <w:rPr>
          <w:rFonts w:hint="eastAsia" w:ascii="宋体" w:hAnsi="宋体" w:cs="宋体"/>
          <w:szCs w:val="21"/>
          <w:u w:val="single"/>
        </w:rPr>
        <w:t xml:space="preserve">             </w:t>
      </w:r>
      <w:r>
        <w:rPr>
          <w:rFonts w:hint="eastAsia" w:ascii="宋体" w:hAnsi="宋体" w:cs="宋体"/>
          <w:szCs w:val="21"/>
        </w:rPr>
        <w:t>项目的工程总承包及有关事项协商一致，共同达成如下协议：</w:t>
      </w:r>
    </w:p>
    <w:p>
      <w:pPr>
        <w:pStyle w:val="691"/>
        <w:numPr>
          <w:ilvl w:val="0"/>
          <w:numId w:val="0"/>
        </w:numPr>
        <w:tabs>
          <w:tab w:val="clear" w:pos="312"/>
        </w:tabs>
        <w:spacing w:line="400" w:lineRule="exact"/>
        <w:rPr>
          <w:rFonts w:hint="eastAsia" w:cs="宋体"/>
          <w:b w:val="0"/>
          <w:sz w:val="21"/>
          <w:szCs w:val="21"/>
        </w:rPr>
      </w:pPr>
      <w:bookmarkStart w:id="807" w:name="_Toc59203067"/>
      <w:bookmarkStart w:id="808" w:name="_Toc54862165"/>
      <w:r>
        <w:rPr>
          <w:rFonts w:hint="eastAsia" w:cs="宋体"/>
          <w:b w:val="0"/>
          <w:sz w:val="21"/>
          <w:szCs w:val="21"/>
        </w:rPr>
        <w:t>一、工程概况</w:t>
      </w:r>
      <w:bookmarkEnd w:id="807"/>
      <w:bookmarkEnd w:id="808"/>
    </w:p>
    <w:p>
      <w:pPr>
        <w:spacing w:line="400" w:lineRule="exact"/>
        <w:ind w:firstLine="600"/>
        <w:rPr>
          <w:rFonts w:hint="eastAsia" w:ascii="宋体" w:hAnsi="宋体" w:cs="宋体"/>
          <w:szCs w:val="21"/>
        </w:rPr>
      </w:pPr>
      <w:r>
        <w:rPr>
          <w:rFonts w:hint="eastAsia" w:ascii="宋体" w:hAnsi="宋体" w:cs="宋体"/>
          <w:szCs w:val="21"/>
        </w:rPr>
        <w:t>1. 工程名称：</w:t>
      </w:r>
      <w:r>
        <w:rPr>
          <w:rFonts w:hint="eastAsia" w:ascii="宋体" w:hAnsi="宋体" w:cs="宋体"/>
          <w:szCs w:val="21"/>
          <w:u w:val="single"/>
        </w:rPr>
        <w:t xml:space="preserve">                                    </w:t>
      </w:r>
      <w:r>
        <w:rPr>
          <w:rFonts w:hint="eastAsia" w:ascii="宋体" w:hAnsi="宋体" w:cs="宋体"/>
          <w:szCs w:val="21"/>
        </w:rPr>
        <w:t>。</w:t>
      </w:r>
    </w:p>
    <w:p>
      <w:pPr>
        <w:spacing w:line="400" w:lineRule="exact"/>
        <w:ind w:firstLine="600"/>
        <w:rPr>
          <w:rFonts w:hint="eastAsia" w:ascii="宋体" w:hAnsi="宋体" w:cs="宋体"/>
          <w:szCs w:val="21"/>
        </w:rPr>
      </w:pPr>
      <w:r>
        <w:rPr>
          <w:rFonts w:hint="eastAsia" w:ascii="宋体" w:hAnsi="宋体" w:cs="宋体"/>
          <w:szCs w:val="21"/>
        </w:rPr>
        <w:t>2. 工程地点：</w:t>
      </w:r>
      <w:r>
        <w:rPr>
          <w:rFonts w:hint="eastAsia" w:ascii="宋体" w:hAnsi="宋体" w:cs="宋体"/>
          <w:szCs w:val="21"/>
          <w:u w:val="single"/>
        </w:rPr>
        <w:t xml:space="preserve">                                    </w:t>
      </w:r>
      <w:r>
        <w:rPr>
          <w:rFonts w:hint="eastAsia" w:ascii="宋体" w:hAnsi="宋体" w:cs="宋体"/>
          <w:szCs w:val="21"/>
        </w:rPr>
        <w:t>。</w:t>
      </w:r>
    </w:p>
    <w:p>
      <w:pPr>
        <w:spacing w:line="400" w:lineRule="exact"/>
        <w:ind w:firstLine="600"/>
        <w:rPr>
          <w:rFonts w:hint="eastAsia" w:ascii="宋体" w:hAnsi="宋体" w:cs="宋体"/>
          <w:szCs w:val="21"/>
        </w:rPr>
      </w:pPr>
      <w:r>
        <w:rPr>
          <w:rFonts w:hint="eastAsia" w:ascii="宋体" w:hAnsi="宋体" w:cs="宋体"/>
          <w:szCs w:val="21"/>
        </w:rPr>
        <w:t>3. 工程审批、核准或备案文号：</w:t>
      </w:r>
      <w:r>
        <w:rPr>
          <w:rFonts w:hint="eastAsia" w:ascii="宋体" w:hAnsi="宋体" w:cs="宋体"/>
          <w:szCs w:val="21"/>
          <w:u w:val="single"/>
        </w:rPr>
        <w:t xml:space="preserve">                    </w:t>
      </w:r>
      <w:r>
        <w:rPr>
          <w:rFonts w:hint="eastAsia" w:ascii="宋体" w:hAnsi="宋体" w:cs="宋体"/>
          <w:szCs w:val="21"/>
        </w:rPr>
        <w:t>。</w:t>
      </w:r>
    </w:p>
    <w:p>
      <w:pPr>
        <w:spacing w:line="400" w:lineRule="exact"/>
        <w:ind w:firstLine="600"/>
        <w:rPr>
          <w:rFonts w:hint="eastAsia" w:ascii="宋体" w:hAnsi="宋体" w:cs="宋体"/>
          <w:szCs w:val="21"/>
        </w:rPr>
      </w:pPr>
      <w:r>
        <w:rPr>
          <w:rFonts w:hint="eastAsia" w:ascii="宋体" w:hAnsi="宋体" w:cs="宋体"/>
          <w:szCs w:val="21"/>
        </w:rPr>
        <w:t>4. 资金来源：</w:t>
      </w:r>
      <w:r>
        <w:rPr>
          <w:rFonts w:hint="eastAsia" w:ascii="宋体" w:hAnsi="宋体" w:cs="宋体"/>
          <w:szCs w:val="21"/>
          <w:u w:val="single"/>
        </w:rPr>
        <w:t xml:space="preserve">                                    </w:t>
      </w:r>
      <w:r>
        <w:rPr>
          <w:rFonts w:hint="eastAsia" w:ascii="宋体" w:hAnsi="宋体" w:cs="宋体"/>
          <w:szCs w:val="21"/>
        </w:rPr>
        <w:t>。</w:t>
      </w:r>
    </w:p>
    <w:p>
      <w:pPr>
        <w:spacing w:line="400" w:lineRule="exact"/>
        <w:ind w:firstLine="600"/>
        <w:rPr>
          <w:rFonts w:hint="eastAsia" w:ascii="宋体" w:hAnsi="宋体" w:cs="宋体"/>
          <w:szCs w:val="21"/>
        </w:rPr>
      </w:pPr>
      <w:r>
        <w:rPr>
          <w:rFonts w:hint="eastAsia" w:ascii="宋体" w:hAnsi="宋体" w:cs="宋体"/>
          <w:szCs w:val="21"/>
        </w:rPr>
        <w:t>5. 工程内容及规模：</w:t>
      </w:r>
      <w:r>
        <w:rPr>
          <w:rFonts w:hint="eastAsia" w:ascii="宋体" w:hAnsi="宋体" w:cs="宋体"/>
          <w:szCs w:val="21"/>
          <w:u w:val="single"/>
        </w:rPr>
        <w:t xml:space="preserve">                              </w:t>
      </w:r>
      <w:r>
        <w:rPr>
          <w:rFonts w:hint="eastAsia" w:ascii="宋体" w:hAnsi="宋体" w:cs="宋体"/>
          <w:szCs w:val="21"/>
        </w:rPr>
        <w:t>。</w:t>
      </w:r>
    </w:p>
    <w:p>
      <w:pPr>
        <w:spacing w:line="400" w:lineRule="exact"/>
        <w:ind w:firstLine="600"/>
        <w:rPr>
          <w:rFonts w:hint="eastAsia" w:ascii="宋体" w:hAnsi="宋体" w:cs="宋体"/>
          <w:szCs w:val="21"/>
        </w:rPr>
      </w:pPr>
      <w:r>
        <w:rPr>
          <w:rFonts w:hint="eastAsia" w:ascii="宋体" w:hAnsi="宋体" w:cs="宋体"/>
          <w:szCs w:val="21"/>
        </w:rPr>
        <w:t>6. 工程承包范围：</w:t>
      </w:r>
      <w:r>
        <w:rPr>
          <w:rFonts w:hint="eastAsia" w:ascii="宋体" w:hAnsi="宋体" w:cs="宋体"/>
          <w:szCs w:val="21"/>
          <w:u w:val="single"/>
        </w:rPr>
        <w:t xml:space="preserve">                                </w:t>
      </w:r>
      <w:r>
        <w:rPr>
          <w:rFonts w:hint="eastAsia" w:ascii="宋体" w:hAnsi="宋体" w:cs="宋体"/>
          <w:szCs w:val="21"/>
        </w:rPr>
        <w:t>。</w:t>
      </w:r>
    </w:p>
    <w:p>
      <w:pPr>
        <w:pStyle w:val="691"/>
        <w:numPr>
          <w:ilvl w:val="0"/>
          <w:numId w:val="0"/>
        </w:numPr>
        <w:tabs>
          <w:tab w:val="clear" w:pos="312"/>
        </w:tabs>
        <w:spacing w:line="400" w:lineRule="exact"/>
        <w:rPr>
          <w:rFonts w:hint="eastAsia" w:cs="宋体"/>
          <w:b w:val="0"/>
          <w:sz w:val="21"/>
          <w:szCs w:val="21"/>
        </w:rPr>
      </w:pPr>
      <w:bookmarkStart w:id="809" w:name="_Toc54862166"/>
      <w:bookmarkStart w:id="810" w:name="_Toc59203068"/>
      <w:r>
        <w:rPr>
          <w:rFonts w:hint="eastAsia" w:cs="宋体"/>
          <w:b w:val="0"/>
          <w:sz w:val="21"/>
          <w:szCs w:val="21"/>
        </w:rPr>
        <w:t>二、合同工期</w:t>
      </w:r>
      <w:bookmarkEnd w:id="809"/>
      <w:bookmarkEnd w:id="810"/>
    </w:p>
    <w:p>
      <w:pPr>
        <w:spacing w:line="400" w:lineRule="exact"/>
        <w:ind w:firstLine="600"/>
        <w:rPr>
          <w:rFonts w:hint="eastAsia" w:ascii="宋体" w:hAnsi="宋体" w:cs="宋体"/>
          <w:szCs w:val="21"/>
        </w:rPr>
      </w:pPr>
      <w:r>
        <w:rPr>
          <w:rFonts w:hint="eastAsia" w:ascii="宋体" w:hAnsi="宋体" w:cs="宋体"/>
          <w:szCs w:val="21"/>
        </w:rPr>
        <w:t>计划开始工作日期：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spacing w:line="400" w:lineRule="exact"/>
        <w:ind w:firstLine="600"/>
        <w:rPr>
          <w:rFonts w:hint="eastAsia" w:ascii="宋体" w:hAnsi="宋体" w:cs="宋体"/>
          <w:szCs w:val="21"/>
        </w:rPr>
      </w:pPr>
      <w:r>
        <w:rPr>
          <w:rFonts w:hint="eastAsia" w:ascii="宋体" w:hAnsi="宋体" w:cs="宋体"/>
          <w:szCs w:val="21"/>
        </w:rPr>
        <w:t>计划开始现场施工日期：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spacing w:line="400" w:lineRule="exact"/>
        <w:ind w:firstLine="600"/>
        <w:rPr>
          <w:rFonts w:hint="eastAsia" w:ascii="宋体" w:hAnsi="宋体" w:cs="宋体"/>
          <w:szCs w:val="21"/>
        </w:rPr>
      </w:pPr>
      <w:r>
        <w:rPr>
          <w:rFonts w:hint="eastAsia" w:ascii="宋体" w:hAnsi="宋体" w:cs="宋体"/>
          <w:szCs w:val="21"/>
        </w:rPr>
        <w:t>计划竣工日期：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spacing w:line="400" w:lineRule="exact"/>
        <w:ind w:firstLine="600"/>
        <w:rPr>
          <w:rFonts w:hint="eastAsia" w:ascii="宋体" w:hAnsi="宋体" w:cs="宋体"/>
          <w:szCs w:val="21"/>
        </w:rPr>
      </w:pPr>
      <w:r>
        <w:rPr>
          <w:rFonts w:hint="eastAsia" w:ascii="宋体" w:hAnsi="宋体" w:cs="宋体"/>
          <w:szCs w:val="21"/>
        </w:rPr>
        <w:t>工期总日历天数：</w:t>
      </w:r>
      <w:r>
        <w:rPr>
          <w:rFonts w:hint="eastAsia" w:ascii="宋体" w:hAnsi="宋体" w:cs="宋体"/>
          <w:szCs w:val="21"/>
          <w:u w:val="single"/>
        </w:rPr>
        <w:t xml:space="preserve">        </w:t>
      </w:r>
      <w:r>
        <w:rPr>
          <w:rFonts w:hint="eastAsia" w:ascii="宋体" w:hAnsi="宋体" w:cs="宋体"/>
          <w:szCs w:val="21"/>
        </w:rPr>
        <w:t>天，工期总日历天数与根据前述计划日期计算的工期天数不一致的，以工期总日历天数为准。</w:t>
      </w:r>
    </w:p>
    <w:p>
      <w:pPr>
        <w:pStyle w:val="691"/>
        <w:numPr>
          <w:ilvl w:val="0"/>
          <w:numId w:val="0"/>
        </w:numPr>
        <w:tabs>
          <w:tab w:val="clear" w:pos="312"/>
        </w:tabs>
        <w:spacing w:line="400" w:lineRule="exact"/>
        <w:rPr>
          <w:rFonts w:hint="eastAsia" w:cs="宋体"/>
          <w:b w:val="0"/>
          <w:sz w:val="21"/>
          <w:szCs w:val="21"/>
        </w:rPr>
      </w:pPr>
      <w:bookmarkStart w:id="811" w:name="_Toc54862167"/>
      <w:bookmarkStart w:id="812" w:name="_Toc59203069"/>
      <w:r>
        <w:rPr>
          <w:rFonts w:hint="eastAsia" w:cs="宋体"/>
          <w:b w:val="0"/>
          <w:sz w:val="21"/>
          <w:szCs w:val="21"/>
        </w:rPr>
        <w:t>三、质量标准</w:t>
      </w:r>
      <w:bookmarkEnd w:id="811"/>
      <w:bookmarkEnd w:id="812"/>
    </w:p>
    <w:p>
      <w:pPr>
        <w:spacing w:line="400" w:lineRule="exact"/>
        <w:ind w:firstLine="600"/>
        <w:rPr>
          <w:rFonts w:hint="eastAsia" w:ascii="宋体" w:hAnsi="宋体" w:cs="宋体"/>
          <w:szCs w:val="21"/>
        </w:rPr>
      </w:pPr>
      <w:r>
        <w:rPr>
          <w:rFonts w:hint="eastAsia" w:ascii="宋体" w:hAnsi="宋体" w:cs="宋体"/>
          <w:szCs w:val="21"/>
        </w:rPr>
        <w:t>工程质量标准：</w:t>
      </w:r>
      <w:r>
        <w:rPr>
          <w:rFonts w:hint="eastAsia" w:ascii="宋体" w:hAnsi="宋体" w:cs="宋体"/>
          <w:szCs w:val="21"/>
          <w:u w:val="single"/>
        </w:rPr>
        <w:t xml:space="preserve">                                </w:t>
      </w:r>
      <w:r>
        <w:rPr>
          <w:rFonts w:hint="eastAsia" w:ascii="宋体" w:hAnsi="宋体" w:cs="宋体"/>
          <w:szCs w:val="21"/>
        </w:rPr>
        <w:t>。</w:t>
      </w:r>
    </w:p>
    <w:p>
      <w:pPr>
        <w:pStyle w:val="691"/>
        <w:numPr>
          <w:ilvl w:val="0"/>
          <w:numId w:val="0"/>
        </w:numPr>
        <w:tabs>
          <w:tab w:val="clear" w:pos="312"/>
        </w:tabs>
        <w:spacing w:line="400" w:lineRule="exact"/>
        <w:rPr>
          <w:rFonts w:hint="eastAsia" w:cs="宋体"/>
          <w:b w:val="0"/>
          <w:sz w:val="21"/>
          <w:szCs w:val="21"/>
        </w:rPr>
      </w:pPr>
      <w:bookmarkStart w:id="813" w:name="_Toc54862168"/>
      <w:bookmarkStart w:id="814" w:name="_Toc59203070"/>
      <w:r>
        <w:rPr>
          <w:rFonts w:hint="eastAsia" w:cs="宋体"/>
          <w:b w:val="0"/>
          <w:sz w:val="21"/>
          <w:szCs w:val="21"/>
        </w:rPr>
        <w:t>四、签约合同价与合同价格形式</w:t>
      </w:r>
      <w:bookmarkEnd w:id="813"/>
      <w:bookmarkEnd w:id="814"/>
    </w:p>
    <w:p>
      <w:pPr>
        <w:spacing w:line="400" w:lineRule="exact"/>
        <w:ind w:firstLine="600"/>
        <w:rPr>
          <w:rFonts w:hint="eastAsia" w:ascii="宋体" w:hAnsi="宋体" w:cs="宋体"/>
          <w:szCs w:val="21"/>
        </w:rPr>
      </w:pPr>
      <w:r>
        <w:rPr>
          <w:rFonts w:hint="eastAsia" w:ascii="宋体" w:hAnsi="宋体" w:cs="宋体"/>
          <w:szCs w:val="21"/>
        </w:rPr>
        <w:t>1. 签约合同价（含税）为：</w:t>
      </w:r>
    </w:p>
    <w:p>
      <w:pPr>
        <w:spacing w:line="400" w:lineRule="exact"/>
        <w:ind w:firstLine="600"/>
        <w:rPr>
          <w:rFonts w:hint="eastAsia" w:ascii="宋体" w:hAnsi="宋体" w:cs="宋体"/>
          <w:szCs w:val="21"/>
        </w:rPr>
      </w:pPr>
      <w:r>
        <w:rPr>
          <w:rFonts w:hint="eastAsia" w:ascii="宋体" w:hAnsi="宋体" w:cs="宋体"/>
          <w:szCs w:val="21"/>
        </w:rPr>
        <w:t xml:space="preserve">人民币（大写) </w:t>
      </w:r>
      <w:r>
        <w:rPr>
          <w:rFonts w:hint="eastAsia" w:ascii="宋体" w:hAnsi="宋体" w:cs="宋体"/>
          <w:szCs w:val="21"/>
          <w:u w:val="single"/>
        </w:rPr>
        <w:t xml:space="preserve">                </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元）。</w:t>
      </w:r>
    </w:p>
    <w:p>
      <w:pPr>
        <w:spacing w:line="400" w:lineRule="exact"/>
        <w:ind w:firstLine="600"/>
        <w:rPr>
          <w:rFonts w:hint="eastAsia" w:ascii="宋体" w:hAnsi="宋体" w:cs="宋体"/>
          <w:szCs w:val="21"/>
        </w:rPr>
      </w:pPr>
      <w:r>
        <w:rPr>
          <w:rFonts w:hint="eastAsia" w:ascii="宋体" w:hAnsi="宋体" w:cs="宋体"/>
          <w:szCs w:val="21"/>
        </w:rPr>
        <w:t xml:space="preserve">具体构成详见价格清单。其中： </w:t>
      </w:r>
    </w:p>
    <w:p>
      <w:pPr>
        <w:spacing w:line="400" w:lineRule="exact"/>
        <w:ind w:firstLine="600"/>
        <w:rPr>
          <w:rFonts w:hint="eastAsia" w:ascii="宋体" w:hAnsi="宋体" w:cs="宋体"/>
          <w:szCs w:val="21"/>
        </w:rPr>
      </w:pPr>
      <w:r>
        <w:rPr>
          <w:rFonts w:hint="eastAsia" w:ascii="宋体" w:hAnsi="宋体" w:cs="宋体"/>
          <w:szCs w:val="21"/>
        </w:rPr>
        <w:t>（1） 设计费（含税）：</w:t>
      </w:r>
    </w:p>
    <w:p>
      <w:pPr>
        <w:spacing w:line="400" w:lineRule="exact"/>
        <w:ind w:firstLine="600"/>
        <w:rPr>
          <w:rFonts w:hint="eastAsia" w:ascii="宋体" w:hAnsi="宋体" w:cs="宋体"/>
          <w:szCs w:val="21"/>
        </w:rPr>
      </w:pPr>
      <w:r>
        <w:rPr>
          <w:rFonts w:hint="eastAsia" w:ascii="宋体" w:hAnsi="宋体" w:cs="宋体"/>
          <w:szCs w:val="21"/>
        </w:rPr>
        <w:t xml:space="preserve">人民币（大写) </w:t>
      </w:r>
      <w:r>
        <w:rPr>
          <w:rFonts w:hint="eastAsia" w:ascii="宋体" w:hAnsi="宋体" w:cs="宋体"/>
          <w:szCs w:val="21"/>
          <w:u w:val="single"/>
        </w:rPr>
        <w:t xml:space="preserve">            </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元）；适用税率：</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color w:val="000000"/>
          <w:szCs w:val="21"/>
        </w:rPr>
        <w:t>如要求按BIM建模，</w:t>
      </w:r>
      <w:r>
        <w:rPr>
          <w:rFonts w:hint="eastAsia" w:ascii="宋体" w:hAnsi="宋体" w:cs="宋体"/>
          <w:color w:val="000000"/>
          <w:szCs w:val="21"/>
          <w:shd w:val="clear" w:color="auto" w:fill="FFFFFF"/>
        </w:rPr>
        <w:t>设计费应包含BIM建模费。</w:t>
      </w:r>
    </w:p>
    <w:p>
      <w:pPr>
        <w:spacing w:line="400" w:lineRule="exact"/>
        <w:ind w:firstLine="600"/>
        <w:rPr>
          <w:rFonts w:hint="eastAsia" w:ascii="宋体" w:hAnsi="宋体" w:cs="宋体"/>
          <w:szCs w:val="21"/>
        </w:rPr>
      </w:pPr>
      <w:r>
        <w:rPr>
          <w:rFonts w:hint="eastAsia" w:ascii="宋体" w:hAnsi="宋体" w:cs="宋体"/>
          <w:szCs w:val="21"/>
        </w:rPr>
        <w:t>（2） 建筑安装工程费（含税）：</w:t>
      </w:r>
    </w:p>
    <w:p>
      <w:pPr>
        <w:spacing w:line="400" w:lineRule="exact"/>
        <w:ind w:firstLine="600"/>
        <w:rPr>
          <w:rFonts w:hint="eastAsia" w:ascii="宋体" w:hAnsi="宋体" w:cs="宋体"/>
          <w:szCs w:val="21"/>
        </w:rPr>
      </w:pPr>
      <w:r>
        <w:rPr>
          <w:rFonts w:hint="eastAsia" w:ascii="宋体" w:hAnsi="宋体" w:cs="宋体"/>
          <w:szCs w:val="21"/>
        </w:rPr>
        <w:t>人民币（大写)             （¥        元）；适用税率：   %；</w:t>
      </w:r>
      <w:r>
        <w:rPr>
          <w:rFonts w:hint="eastAsia" w:ascii="宋体" w:hAnsi="宋体" w:cs="宋体"/>
          <w:color w:val="000000"/>
          <w:szCs w:val="21"/>
        </w:rPr>
        <w:t>其中固定总价部分为        元，暂估价为        元，暂列金额为            元。</w:t>
      </w:r>
    </w:p>
    <w:p>
      <w:pPr>
        <w:spacing w:line="400" w:lineRule="exact"/>
        <w:ind w:firstLine="420" w:firstLineChars="200"/>
        <w:rPr>
          <w:rFonts w:hint="eastAsia" w:ascii="宋体" w:hAnsi="宋体" w:cs="宋体"/>
          <w:color w:val="000000"/>
          <w:kern w:val="0"/>
          <w:szCs w:val="21"/>
          <w:shd w:val="clear" w:color="auto" w:fill="FFFFFF"/>
        </w:rPr>
      </w:pPr>
      <w:r>
        <w:rPr>
          <w:rFonts w:hint="eastAsia" w:ascii="宋体" w:hAnsi="宋体" w:cs="宋体"/>
          <w:color w:val="000000"/>
          <w:kern w:val="0"/>
          <w:szCs w:val="21"/>
          <w:shd w:val="clear" w:color="auto" w:fill="FFFFFF"/>
        </w:rPr>
        <w:t>（3）承包人指定的开户银行及银行账户：</w:t>
      </w:r>
    </w:p>
    <w:p>
      <w:pPr>
        <w:spacing w:line="400" w:lineRule="exact"/>
        <w:ind w:firstLine="420" w:firstLineChars="200"/>
        <w:jc w:val="left"/>
        <w:rPr>
          <w:rFonts w:hint="eastAsia" w:ascii="宋体" w:hAnsi="宋体" w:cs="宋体"/>
          <w:color w:val="000000"/>
          <w:szCs w:val="21"/>
        </w:rPr>
      </w:pPr>
      <w:r>
        <w:rPr>
          <w:rFonts w:hint="eastAsia" w:ascii="宋体" w:hAnsi="宋体" w:cs="宋体"/>
          <w:color w:val="000000"/>
          <w:szCs w:val="21"/>
        </w:rPr>
        <w:t>单位名称：</w:t>
      </w:r>
      <w:r>
        <w:rPr>
          <w:rFonts w:hint="eastAsia" w:ascii="宋体" w:hAnsi="宋体" w:cs="宋体"/>
          <w:color w:val="000000"/>
          <w:szCs w:val="21"/>
          <w:u w:val="single"/>
        </w:rPr>
        <w:t xml:space="preserve">                                     </w:t>
      </w:r>
    </w:p>
    <w:p>
      <w:pPr>
        <w:spacing w:line="400" w:lineRule="exact"/>
        <w:ind w:firstLine="420" w:firstLineChars="200"/>
        <w:jc w:val="left"/>
        <w:rPr>
          <w:rFonts w:hint="eastAsia" w:ascii="宋体" w:hAnsi="宋体" w:cs="宋体"/>
          <w:color w:val="000000"/>
          <w:szCs w:val="21"/>
          <w:u w:val="single"/>
        </w:rPr>
      </w:pPr>
      <w:r>
        <w:rPr>
          <w:rFonts w:hint="eastAsia" w:ascii="宋体" w:hAnsi="宋体" w:cs="宋体"/>
          <w:color w:val="000000"/>
          <w:szCs w:val="21"/>
        </w:rPr>
        <w:t>开户银行：</w:t>
      </w:r>
      <w:r>
        <w:rPr>
          <w:rFonts w:hint="eastAsia" w:ascii="宋体" w:hAnsi="宋体" w:cs="宋体"/>
          <w:color w:val="000000"/>
          <w:szCs w:val="21"/>
          <w:u w:val="single"/>
        </w:rPr>
        <w:t xml:space="preserve">                                     </w:t>
      </w:r>
    </w:p>
    <w:p>
      <w:pPr>
        <w:adjustRightInd w:val="0"/>
        <w:snapToGrid w:val="0"/>
        <w:spacing w:line="400" w:lineRule="exact"/>
        <w:ind w:firstLine="420" w:firstLineChars="200"/>
        <w:rPr>
          <w:rFonts w:hint="eastAsia" w:ascii="宋体" w:hAnsi="宋体" w:cs="宋体"/>
          <w:color w:val="000000"/>
          <w:szCs w:val="21"/>
          <w:u w:val="single"/>
        </w:rPr>
      </w:pPr>
      <w:r>
        <w:rPr>
          <w:rFonts w:hint="eastAsia" w:ascii="宋体" w:hAnsi="宋体" w:cs="宋体"/>
          <w:color w:val="000000"/>
          <w:szCs w:val="21"/>
        </w:rPr>
        <w:t>账　　号：</w:t>
      </w:r>
      <w:r>
        <w:rPr>
          <w:rFonts w:hint="eastAsia" w:ascii="宋体" w:hAnsi="宋体" w:cs="宋体"/>
          <w:color w:val="000000"/>
          <w:szCs w:val="21"/>
          <w:u w:val="single"/>
        </w:rPr>
        <w:t xml:space="preserve">                                     </w:t>
      </w:r>
    </w:p>
    <w:p>
      <w:pPr>
        <w:spacing w:line="400" w:lineRule="exact"/>
        <w:ind w:firstLine="600"/>
        <w:rPr>
          <w:rFonts w:hint="eastAsia" w:ascii="宋体" w:hAnsi="宋体" w:cs="宋体"/>
          <w:szCs w:val="21"/>
        </w:rPr>
      </w:pPr>
      <w:r>
        <w:rPr>
          <w:rFonts w:hint="eastAsia" w:ascii="宋体" w:hAnsi="宋体" w:cs="宋体"/>
          <w:szCs w:val="21"/>
        </w:rPr>
        <w:t>2. 合同价格形式：</w:t>
      </w:r>
    </w:p>
    <w:p>
      <w:pPr>
        <w:spacing w:line="400" w:lineRule="exact"/>
        <w:ind w:firstLine="600"/>
        <w:rPr>
          <w:rFonts w:hint="eastAsia" w:ascii="宋体" w:hAnsi="宋体" w:cs="宋体"/>
          <w:szCs w:val="21"/>
        </w:rPr>
      </w:pPr>
      <w:r>
        <w:rPr>
          <w:rFonts w:hint="eastAsia" w:ascii="宋体" w:hAnsi="宋体" w:cs="宋体"/>
          <w:szCs w:val="21"/>
        </w:rPr>
        <w:t>合同价格形式为总价合同，除根据合同约定的在工程实施过程中需进行增减的款项外，合同价格不予调整，但合同当事人另有约定的除外。</w:t>
      </w:r>
    </w:p>
    <w:p>
      <w:pPr>
        <w:kinsoku w:val="0"/>
        <w:spacing w:line="400" w:lineRule="exact"/>
        <w:ind w:left="263" w:leftChars="125" w:firstLine="210" w:firstLineChars="100"/>
        <w:jc w:val="left"/>
        <w:rPr>
          <w:rFonts w:hint="eastAsia" w:ascii="宋体" w:hAnsi="宋体" w:cs="宋体"/>
          <w:szCs w:val="21"/>
        </w:rPr>
      </w:pPr>
      <w:r>
        <w:rPr>
          <w:rFonts w:hint="eastAsia" w:ascii="宋体" w:hAnsi="宋体" w:cs="宋体"/>
          <w:szCs w:val="21"/>
        </w:rPr>
        <w:t>合同当事人对合同价格形式的其他约定：</w:t>
      </w:r>
      <w:r>
        <w:rPr>
          <w:rFonts w:hint="eastAsia" w:ascii="宋体" w:hAnsi="宋体" w:cs="宋体"/>
          <w:szCs w:val="21"/>
          <w:u w:val="single"/>
        </w:rPr>
        <w:t xml:space="preserve">               </w:t>
      </w:r>
      <w:r>
        <w:rPr>
          <w:rFonts w:hint="eastAsia" w:ascii="宋体" w:hAnsi="宋体" w:cs="宋体"/>
          <w:szCs w:val="21"/>
        </w:rPr>
        <w:t>。</w:t>
      </w:r>
    </w:p>
    <w:p>
      <w:pPr>
        <w:pStyle w:val="691"/>
        <w:numPr>
          <w:ilvl w:val="0"/>
          <w:numId w:val="0"/>
        </w:numPr>
        <w:tabs>
          <w:tab w:val="clear" w:pos="312"/>
        </w:tabs>
        <w:spacing w:line="400" w:lineRule="exact"/>
        <w:rPr>
          <w:rFonts w:hint="eastAsia" w:cs="宋体"/>
          <w:b w:val="0"/>
          <w:sz w:val="21"/>
          <w:szCs w:val="21"/>
        </w:rPr>
      </w:pPr>
      <w:bookmarkStart w:id="815" w:name="_Toc59203071"/>
      <w:bookmarkStart w:id="816" w:name="_Toc54862169"/>
      <w:r>
        <w:rPr>
          <w:rFonts w:hint="eastAsia" w:cs="宋体"/>
          <w:b w:val="0"/>
          <w:sz w:val="21"/>
          <w:szCs w:val="21"/>
        </w:rPr>
        <w:t>五、工程总承包项目经理</w:t>
      </w:r>
      <w:bookmarkEnd w:id="815"/>
      <w:bookmarkEnd w:id="816"/>
    </w:p>
    <w:p>
      <w:pPr>
        <w:spacing w:line="400" w:lineRule="exact"/>
        <w:rPr>
          <w:rFonts w:hint="eastAsia" w:ascii="宋体" w:hAnsi="宋体" w:cs="宋体"/>
          <w:color w:val="000000"/>
          <w:szCs w:val="21"/>
        </w:rPr>
      </w:pPr>
      <w:r>
        <w:rPr>
          <w:rFonts w:hint="eastAsia" w:ascii="宋体" w:hAnsi="宋体" w:cs="宋体"/>
          <w:color w:val="000000"/>
          <w:szCs w:val="21"/>
        </w:rPr>
        <w:t xml:space="preserve"> 工程总承包项目经理：</w:t>
      </w:r>
      <w:r>
        <w:rPr>
          <w:rFonts w:hint="eastAsia" w:ascii="宋体" w:hAnsi="宋体" w:cs="宋体"/>
          <w:color w:val="000000"/>
          <w:szCs w:val="21"/>
          <w:u w:val="single"/>
        </w:rPr>
        <w:t xml:space="preserve">          </w:t>
      </w:r>
      <w:r>
        <w:rPr>
          <w:rFonts w:hint="eastAsia" w:ascii="宋体" w:hAnsi="宋体" w:cs="宋体"/>
          <w:color w:val="000000"/>
          <w:szCs w:val="21"/>
        </w:rPr>
        <w:t>；项目设计负责人：</w:t>
      </w:r>
      <w:r>
        <w:rPr>
          <w:rFonts w:hint="eastAsia" w:ascii="宋体" w:hAnsi="宋体" w:cs="宋体"/>
          <w:color w:val="000000"/>
          <w:szCs w:val="21"/>
          <w:u w:val="single"/>
        </w:rPr>
        <w:t xml:space="preserve">          </w:t>
      </w:r>
      <w:r>
        <w:rPr>
          <w:rFonts w:hint="eastAsia" w:ascii="宋体" w:hAnsi="宋体" w:cs="宋体"/>
          <w:color w:val="000000"/>
          <w:szCs w:val="21"/>
        </w:rPr>
        <w:t>；施工项目经理：</w:t>
      </w:r>
      <w:r>
        <w:rPr>
          <w:rFonts w:hint="eastAsia" w:ascii="宋体" w:hAnsi="宋体" w:cs="宋体"/>
          <w:color w:val="000000"/>
          <w:szCs w:val="21"/>
          <w:u w:val="single"/>
        </w:rPr>
        <w:t xml:space="preserve">          ；</w:t>
      </w:r>
      <w:r>
        <w:rPr>
          <w:rFonts w:hint="eastAsia" w:ascii="宋体" w:hAnsi="宋体" w:cs="宋体"/>
          <w:color w:val="000000"/>
          <w:szCs w:val="21"/>
        </w:rPr>
        <w:t>项目施工专职安全生产管理人员：</w:t>
      </w:r>
      <w:r>
        <w:rPr>
          <w:rFonts w:hint="eastAsia" w:ascii="宋体" w:hAnsi="宋体" w:cs="宋体"/>
          <w:color w:val="000000"/>
          <w:szCs w:val="21"/>
          <w:u w:val="single"/>
        </w:rPr>
        <w:t xml:space="preserve">          </w:t>
      </w:r>
      <w:r>
        <w:rPr>
          <w:rFonts w:hint="eastAsia" w:ascii="宋体" w:hAnsi="宋体" w:cs="宋体"/>
          <w:color w:val="000000"/>
          <w:szCs w:val="21"/>
        </w:rPr>
        <w:t xml:space="preserve">。  </w:t>
      </w:r>
    </w:p>
    <w:p>
      <w:pPr>
        <w:pStyle w:val="691"/>
        <w:numPr>
          <w:ilvl w:val="0"/>
          <w:numId w:val="0"/>
        </w:numPr>
        <w:tabs>
          <w:tab w:val="clear" w:pos="312"/>
        </w:tabs>
        <w:spacing w:line="400" w:lineRule="exact"/>
        <w:rPr>
          <w:rFonts w:hint="eastAsia" w:cs="宋体"/>
          <w:b w:val="0"/>
          <w:sz w:val="21"/>
          <w:szCs w:val="21"/>
        </w:rPr>
      </w:pPr>
      <w:bookmarkStart w:id="817" w:name="_Toc54862170"/>
      <w:bookmarkStart w:id="818" w:name="_Toc59203072"/>
      <w:r>
        <w:rPr>
          <w:rFonts w:hint="eastAsia" w:cs="宋体"/>
          <w:b w:val="0"/>
          <w:sz w:val="21"/>
          <w:szCs w:val="21"/>
        </w:rPr>
        <w:t>六、合同文件构成</w:t>
      </w:r>
      <w:bookmarkEnd w:id="817"/>
      <w:bookmarkEnd w:id="818"/>
    </w:p>
    <w:p>
      <w:pPr>
        <w:spacing w:line="400" w:lineRule="exact"/>
        <w:ind w:firstLine="600"/>
        <w:rPr>
          <w:rFonts w:hint="eastAsia" w:ascii="宋体" w:hAnsi="宋体" w:cs="宋体"/>
          <w:szCs w:val="21"/>
        </w:rPr>
      </w:pPr>
      <w:r>
        <w:rPr>
          <w:rFonts w:hint="eastAsia" w:ascii="宋体" w:hAnsi="宋体" w:cs="宋体"/>
          <w:szCs w:val="21"/>
        </w:rPr>
        <w:t xml:space="preserve">本协议书与下列文件一起构成合同文件： </w:t>
      </w:r>
    </w:p>
    <w:p>
      <w:pPr>
        <w:spacing w:line="400" w:lineRule="exact"/>
        <w:ind w:firstLine="600"/>
        <w:rPr>
          <w:rFonts w:hint="eastAsia" w:ascii="宋体" w:hAnsi="宋体" w:cs="宋体"/>
          <w:szCs w:val="21"/>
        </w:rPr>
      </w:pPr>
      <w:r>
        <w:rPr>
          <w:rFonts w:hint="eastAsia" w:ascii="宋体" w:hAnsi="宋体" w:cs="宋体"/>
          <w:szCs w:val="21"/>
        </w:rPr>
        <w:t>（1） 中标通知书（如果有）；</w:t>
      </w:r>
    </w:p>
    <w:p>
      <w:pPr>
        <w:spacing w:line="400" w:lineRule="exact"/>
        <w:ind w:firstLine="600"/>
        <w:rPr>
          <w:rFonts w:hint="eastAsia" w:ascii="宋体" w:hAnsi="宋体" w:cs="宋体"/>
          <w:szCs w:val="21"/>
        </w:rPr>
      </w:pPr>
      <w:r>
        <w:rPr>
          <w:rFonts w:hint="eastAsia" w:ascii="宋体" w:hAnsi="宋体" w:cs="宋体"/>
          <w:szCs w:val="21"/>
        </w:rPr>
        <w:t>（2） 投标函及投标函附录（如果有）；</w:t>
      </w:r>
    </w:p>
    <w:p>
      <w:pPr>
        <w:spacing w:line="400" w:lineRule="exact"/>
        <w:ind w:firstLine="600"/>
        <w:rPr>
          <w:rFonts w:hint="eastAsia" w:ascii="宋体" w:hAnsi="宋体" w:cs="宋体"/>
          <w:szCs w:val="21"/>
        </w:rPr>
      </w:pPr>
      <w:r>
        <w:rPr>
          <w:rFonts w:hint="eastAsia" w:ascii="宋体" w:hAnsi="宋体" w:cs="宋体"/>
          <w:szCs w:val="21"/>
        </w:rPr>
        <w:t>（3） 专用合同条件及《发包人要求》等附件；</w:t>
      </w:r>
    </w:p>
    <w:p>
      <w:pPr>
        <w:spacing w:line="400" w:lineRule="exact"/>
        <w:ind w:firstLine="600"/>
        <w:rPr>
          <w:rFonts w:hint="eastAsia" w:ascii="宋体" w:hAnsi="宋体" w:cs="宋体"/>
          <w:szCs w:val="21"/>
        </w:rPr>
      </w:pPr>
      <w:r>
        <w:rPr>
          <w:rFonts w:hint="eastAsia" w:ascii="宋体" w:hAnsi="宋体" w:cs="宋体"/>
          <w:szCs w:val="21"/>
        </w:rPr>
        <w:t>（4） 通用合同条件；</w:t>
      </w:r>
    </w:p>
    <w:p>
      <w:pPr>
        <w:spacing w:line="400" w:lineRule="exact"/>
        <w:ind w:firstLine="630" w:firstLineChars="300"/>
        <w:rPr>
          <w:rFonts w:hint="eastAsia" w:ascii="宋体" w:hAnsi="宋体" w:cs="宋体"/>
          <w:szCs w:val="21"/>
        </w:rPr>
      </w:pPr>
      <w:r>
        <w:rPr>
          <w:rFonts w:hint="eastAsia" w:ascii="宋体" w:hAnsi="宋体" w:cs="宋体"/>
          <w:szCs w:val="21"/>
        </w:rPr>
        <w:t>（5）</w:t>
      </w:r>
      <w:r>
        <w:rPr>
          <w:rFonts w:hint="eastAsia" w:ascii="宋体" w:hAnsi="宋体" w:cs="宋体"/>
          <w:color w:val="000000"/>
          <w:szCs w:val="21"/>
        </w:rPr>
        <w:t>标准、规范及有关技术文件</w:t>
      </w:r>
      <w:r>
        <w:rPr>
          <w:rFonts w:hint="eastAsia" w:ascii="宋体" w:hAnsi="宋体" w:cs="宋体"/>
          <w:szCs w:val="21"/>
        </w:rPr>
        <w:t xml:space="preserve">； </w:t>
      </w:r>
    </w:p>
    <w:p>
      <w:pPr>
        <w:spacing w:line="400" w:lineRule="exact"/>
        <w:ind w:firstLine="600"/>
        <w:rPr>
          <w:rFonts w:hint="eastAsia" w:ascii="宋体" w:hAnsi="宋体" w:cs="宋体"/>
          <w:szCs w:val="21"/>
        </w:rPr>
      </w:pPr>
      <w:r>
        <w:rPr>
          <w:rFonts w:hint="eastAsia" w:ascii="宋体" w:hAnsi="宋体" w:cs="宋体"/>
          <w:szCs w:val="21"/>
        </w:rPr>
        <w:t>（6） 价格清单；</w:t>
      </w:r>
    </w:p>
    <w:p>
      <w:pPr>
        <w:spacing w:line="400" w:lineRule="exact"/>
        <w:ind w:firstLine="600"/>
        <w:rPr>
          <w:rFonts w:hint="eastAsia" w:ascii="宋体" w:hAnsi="宋体" w:cs="宋体"/>
          <w:szCs w:val="21"/>
        </w:rPr>
      </w:pPr>
      <w:r>
        <w:rPr>
          <w:rFonts w:hint="eastAsia" w:ascii="宋体" w:hAnsi="宋体" w:cs="宋体"/>
          <w:szCs w:val="21"/>
        </w:rPr>
        <w:t>（7） 双方约定的其他合同文件。</w:t>
      </w:r>
    </w:p>
    <w:p>
      <w:pPr>
        <w:spacing w:line="400" w:lineRule="exact"/>
        <w:ind w:firstLine="600"/>
        <w:rPr>
          <w:rFonts w:hint="eastAsia" w:ascii="宋体" w:hAnsi="宋体" w:cs="宋体"/>
          <w:szCs w:val="21"/>
        </w:rPr>
      </w:pPr>
      <w:r>
        <w:rPr>
          <w:rFonts w:hint="eastAsia" w:ascii="宋体" w:hAnsi="宋体" w:cs="宋体"/>
          <w:szCs w:val="21"/>
        </w:rPr>
        <w:t>上述各项合同文件包括双方就该项合同文件所作出的补充和修改，属于同一类内容的合同文件应以最新签署的为准。专用合同条件及其附件须经合同当事人签字或盖章。</w:t>
      </w:r>
    </w:p>
    <w:p>
      <w:pPr>
        <w:pStyle w:val="691"/>
        <w:numPr>
          <w:ilvl w:val="0"/>
          <w:numId w:val="0"/>
        </w:numPr>
        <w:tabs>
          <w:tab w:val="clear" w:pos="312"/>
        </w:tabs>
        <w:spacing w:line="400" w:lineRule="exact"/>
        <w:rPr>
          <w:rFonts w:hint="eastAsia" w:cs="宋体"/>
          <w:b w:val="0"/>
          <w:sz w:val="21"/>
          <w:szCs w:val="21"/>
        </w:rPr>
      </w:pPr>
      <w:bookmarkStart w:id="819" w:name="_Toc54862171"/>
      <w:bookmarkStart w:id="820" w:name="_Toc59203073"/>
      <w:r>
        <w:rPr>
          <w:rFonts w:hint="eastAsia" w:cs="宋体"/>
          <w:b w:val="0"/>
          <w:sz w:val="21"/>
          <w:szCs w:val="21"/>
        </w:rPr>
        <w:t>七、承诺</w:t>
      </w:r>
      <w:bookmarkEnd w:id="819"/>
      <w:bookmarkEnd w:id="820"/>
    </w:p>
    <w:p>
      <w:pPr>
        <w:spacing w:line="400" w:lineRule="exact"/>
        <w:ind w:firstLine="600"/>
        <w:rPr>
          <w:rFonts w:hint="eastAsia" w:ascii="宋体" w:hAnsi="宋体" w:cs="宋体"/>
          <w:szCs w:val="21"/>
        </w:rPr>
      </w:pPr>
      <w:r>
        <w:rPr>
          <w:rFonts w:hint="eastAsia" w:ascii="宋体" w:hAnsi="宋体" w:cs="宋体"/>
          <w:szCs w:val="21"/>
        </w:rPr>
        <w:t>1. 发包人承诺按照法律规定履行项目审批手续、筹集工程建设资金并按照合同约定的期限和方式支付合同价款。</w:t>
      </w:r>
    </w:p>
    <w:p>
      <w:pPr>
        <w:spacing w:line="400" w:lineRule="exact"/>
        <w:ind w:firstLine="600"/>
        <w:rPr>
          <w:rFonts w:hint="eastAsia" w:ascii="宋体" w:hAnsi="宋体" w:cs="宋体"/>
          <w:szCs w:val="21"/>
        </w:rPr>
      </w:pPr>
      <w:r>
        <w:rPr>
          <w:rFonts w:hint="eastAsia" w:ascii="宋体" w:hAnsi="宋体" w:cs="宋体"/>
          <w:szCs w:val="21"/>
        </w:rPr>
        <w:t>2. 承包人承诺按照法律规定及合同约定组织完成工程的设计、采购和施工等工作，确保工程质量和安全，不进行转包及违法分包，并在缺陷责任期及保修期内承担相应的工程维修责任。</w:t>
      </w:r>
    </w:p>
    <w:p>
      <w:pPr>
        <w:pStyle w:val="691"/>
        <w:numPr>
          <w:ilvl w:val="0"/>
          <w:numId w:val="0"/>
        </w:numPr>
        <w:tabs>
          <w:tab w:val="clear" w:pos="312"/>
        </w:tabs>
        <w:spacing w:line="400" w:lineRule="exact"/>
        <w:rPr>
          <w:rFonts w:hint="eastAsia" w:cs="宋体"/>
          <w:b w:val="0"/>
          <w:sz w:val="21"/>
          <w:szCs w:val="21"/>
        </w:rPr>
      </w:pPr>
      <w:bookmarkStart w:id="821" w:name="_Toc59203074"/>
      <w:bookmarkStart w:id="822" w:name="_Toc54862172"/>
      <w:r>
        <w:rPr>
          <w:rFonts w:hint="eastAsia" w:cs="宋体"/>
          <w:b w:val="0"/>
          <w:sz w:val="21"/>
          <w:szCs w:val="21"/>
        </w:rPr>
        <w:t>八、订立时间</w:t>
      </w:r>
      <w:bookmarkEnd w:id="821"/>
      <w:bookmarkEnd w:id="822"/>
    </w:p>
    <w:p>
      <w:pPr>
        <w:spacing w:line="400" w:lineRule="exact"/>
        <w:ind w:firstLine="600"/>
        <w:rPr>
          <w:rFonts w:hint="eastAsia" w:ascii="宋体" w:hAnsi="宋体" w:cs="宋体"/>
          <w:szCs w:val="21"/>
        </w:rPr>
      </w:pPr>
      <w:r>
        <w:rPr>
          <w:rFonts w:hint="eastAsia" w:ascii="宋体" w:hAnsi="宋体" w:cs="宋体"/>
          <w:szCs w:val="21"/>
        </w:rPr>
        <w:t>本合同于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日订立。</w:t>
      </w:r>
    </w:p>
    <w:p>
      <w:pPr>
        <w:pStyle w:val="691"/>
        <w:numPr>
          <w:ilvl w:val="0"/>
          <w:numId w:val="0"/>
        </w:numPr>
        <w:tabs>
          <w:tab w:val="clear" w:pos="312"/>
        </w:tabs>
        <w:spacing w:line="400" w:lineRule="exact"/>
        <w:rPr>
          <w:rFonts w:hint="eastAsia" w:cs="宋体"/>
          <w:b w:val="0"/>
          <w:sz w:val="21"/>
          <w:szCs w:val="21"/>
        </w:rPr>
      </w:pPr>
      <w:bookmarkStart w:id="823" w:name="_Toc54862173"/>
      <w:bookmarkStart w:id="824" w:name="_Toc59203075"/>
      <w:r>
        <w:rPr>
          <w:rFonts w:hint="eastAsia" w:cs="宋体"/>
          <w:b w:val="0"/>
          <w:sz w:val="21"/>
          <w:szCs w:val="21"/>
        </w:rPr>
        <w:t>九、订立地点</w:t>
      </w:r>
      <w:bookmarkEnd w:id="823"/>
      <w:bookmarkEnd w:id="824"/>
    </w:p>
    <w:p>
      <w:pPr>
        <w:spacing w:line="400" w:lineRule="exact"/>
        <w:ind w:firstLine="600"/>
        <w:rPr>
          <w:rFonts w:hint="eastAsia" w:ascii="宋体" w:hAnsi="宋体" w:cs="宋体"/>
          <w:szCs w:val="21"/>
        </w:rPr>
      </w:pPr>
      <w:r>
        <w:rPr>
          <w:rFonts w:hint="eastAsia" w:ascii="宋体" w:hAnsi="宋体" w:cs="宋体"/>
          <w:szCs w:val="21"/>
        </w:rPr>
        <w:t>本合同在</w:t>
      </w:r>
      <w:r>
        <w:rPr>
          <w:rFonts w:hint="eastAsia" w:ascii="宋体" w:hAnsi="宋体" w:cs="宋体"/>
          <w:szCs w:val="21"/>
          <w:u w:val="single"/>
        </w:rPr>
        <w:t xml:space="preserve">                        </w:t>
      </w:r>
      <w:r>
        <w:rPr>
          <w:rFonts w:hint="eastAsia" w:ascii="宋体" w:hAnsi="宋体" w:cs="宋体"/>
          <w:szCs w:val="21"/>
        </w:rPr>
        <w:t>订立。</w:t>
      </w:r>
    </w:p>
    <w:p>
      <w:pPr>
        <w:pStyle w:val="691"/>
        <w:numPr>
          <w:ilvl w:val="0"/>
          <w:numId w:val="0"/>
        </w:numPr>
        <w:tabs>
          <w:tab w:val="clear" w:pos="312"/>
        </w:tabs>
        <w:spacing w:line="400" w:lineRule="exact"/>
        <w:rPr>
          <w:rFonts w:hint="eastAsia" w:cs="宋体"/>
          <w:b w:val="0"/>
          <w:sz w:val="21"/>
          <w:szCs w:val="21"/>
        </w:rPr>
      </w:pPr>
      <w:bookmarkStart w:id="825" w:name="_Toc54862174"/>
      <w:bookmarkStart w:id="826" w:name="_Toc59203076"/>
      <w:r>
        <w:rPr>
          <w:rFonts w:hint="eastAsia" w:cs="宋体"/>
          <w:b w:val="0"/>
          <w:sz w:val="21"/>
          <w:szCs w:val="21"/>
        </w:rPr>
        <w:t>十、合同生效</w:t>
      </w:r>
      <w:bookmarkEnd w:id="825"/>
      <w:bookmarkEnd w:id="826"/>
    </w:p>
    <w:p>
      <w:pPr>
        <w:spacing w:line="400" w:lineRule="exact"/>
        <w:ind w:firstLine="600"/>
        <w:rPr>
          <w:rFonts w:hint="eastAsia" w:ascii="宋体" w:hAnsi="宋体" w:cs="宋体"/>
          <w:szCs w:val="21"/>
        </w:rPr>
      </w:pPr>
      <w:r>
        <w:rPr>
          <w:rFonts w:hint="eastAsia" w:ascii="宋体" w:hAnsi="宋体" w:cs="宋体"/>
          <w:szCs w:val="21"/>
        </w:rPr>
        <w:t>本合同经双方签字或盖章后成立，并自</w:t>
      </w:r>
      <w:r>
        <w:rPr>
          <w:rFonts w:hint="eastAsia" w:ascii="宋体" w:hAnsi="宋体" w:cs="宋体"/>
          <w:szCs w:val="21"/>
          <w:u w:val="single"/>
        </w:rPr>
        <w:t xml:space="preserve">            </w:t>
      </w:r>
      <w:r>
        <w:rPr>
          <w:rFonts w:hint="eastAsia" w:ascii="宋体" w:hAnsi="宋体" w:cs="宋体"/>
          <w:szCs w:val="21"/>
        </w:rPr>
        <w:t>生效。</w:t>
      </w:r>
    </w:p>
    <w:p>
      <w:pPr>
        <w:pStyle w:val="691"/>
        <w:numPr>
          <w:ilvl w:val="0"/>
          <w:numId w:val="0"/>
        </w:numPr>
        <w:tabs>
          <w:tab w:val="clear" w:pos="312"/>
        </w:tabs>
        <w:spacing w:line="400" w:lineRule="exact"/>
        <w:rPr>
          <w:rFonts w:hint="eastAsia" w:cs="宋体"/>
          <w:b w:val="0"/>
          <w:sz w:val="21"/>
          <w:szCs w:val="21"/>
        </w:rPr>
      </w:pPr>
      <w:bookmarkStart w:id="827" w:name="_Toc59203077"/>
      <w:bookmarkStart w:id="828" w:name="_Toc54862175"/>
      <w:r>
        <w:rPr>
          <w:rFonts w:hint="eastAsia" w:cs="宋体"/>
          <w:b w:val="0"/>
          <w:sz w:val="21"/>
          <w:szCs w:val="21"/>
        </w:rPr>
        <w:t>十一、合同份数</w:t>
      </w:r>
      <w:bookmarkEnd w:id="827"/>
      <w:bookmarkEnd w:id="828"/>
    </w:p>
    <w:p>
      <w:pPr>
        <w:spacing w:line="400" w:lineRule="exact"/>
        <w:ind w:firstLine="600"/>
        <w:rPr>
          <w:rFonts w:hint="eastAsia" w:ascii="宋体" w:hAnsi="宋体" w:cs="宋体"/>
          <w:szCs w:val="21"/>
        </w:rPr>
      </w:pPr>
      <w:r>
        <w:rPr>
          <w:rFonts w:hint="eastAsia" w:ascii="宋体" w:hAnsi="宋体" w:cs="宋体"/>
          <w:szCs w:val="21"/>
        </w:rPr>
        <w:t>本合同一式</w:t>
      </w:r>
      <w:r>
        <w:rPr>
          <w:rFonts w:hint="eastAsia" w:ascii="宋体" w:hAnsi="宋体" w:cs="宋体"/>
          <w:szCs w:val="21"/>
          <w:u w:val="single"/>
        </w:rPr>
        <w:t xml:space="preserve">    </w:t>
      </w:r>
      <w:r>
        <w:rPr>
          <w:rFonts w:hint="eastAsia" w:ascii="宋体" w:hAnsi="宋体" w:cs="宋体"/>
          <w:szCs w:val="21"/>
        </w:rPr>
        <w:t>份，均具有同等法律效力，发包人执</w:t>
      </w:r>
      <w:r>
        <w:rPr>
          <w:rFonts w:hint="eastAsia" w:ascii="宋体" w:hAnsi="宋体" w:cs="宋体"/>
          <w:szCs w:val="21"/>
          <w:u w:val="single"/>
        </w:rPr>
        <w:t xml:space="preserve">    </w:t>
      </w:r>
      <w:r>
        <w:rPr>
          <w:rFonts w:hint="eastAsia" w:ascii="宋体" w:hAnsi="宋体" w:cs="宋体"/>
          <w:szCs w:val="21"/>
        </w:rPr>
        <w:t>份，承包人执</w:t>
      </w:r>
      <w:r>
        <w:rPr>
          <w:rFonts w:hint="eastAsia" w:ascii="宋体" w:hAnsi="宋体" w:cs="宋体"/>
          <w:szCs w:val="21"/>
          <w:u w:val="single"/>
        </w:rPr>
        <w:t xml:space="preserve">    </w:t>
      </w:r>
      <w:r>
        <w:rPr>
          <w:rFonts w:hint="eastAsia" w:ascii="宋体" w:hAnsi="宋体" w:cs="宋体"/>
          <w:szCs w:val="21"/>
        </w:rPr>
        <w:t>份。</w:t>
      </w:r>
    </w:p>
    <w:p>
      <w:pPr>
        <w:spacing w:line="400" w:lineRule="exact"/>
        <w:ind w:firstLine="600"/>
        <w:rPr>
          <w:rFonts w:hint="eastAsia" w:ascii="宋体" w:hAnsi="宋体" w:cs="宋体"/>
          <w:szCs w:val="21"/>
        </w:rPr>
      </w:pPr>
    </w:p>
    <w:p>
      <w:pPr>
        <w:spacing w:line="400" w:lineRule="exact"/>
        <w:ind w:firstLine="600"/>
        <w:rPr>
          <w:rFonts w:hint="eastAsia" w:ascii="宋体" w:hAnsi="宋体" w:cs="宋体"/>
          <w:szCs w:val="21"/>
        </w:rPr>
      </w:pPr>
    </w:p>
    <w:tbl>
      <w:tblPr>
        <w:tblStyle w:val="83"/>
        <w:tblpPr w:leftFromText="180" w:rightFromText="180" w:vertAnchor="text" w:horzAnchor="page" w:tblpX="1702" w:tblpY="119"/>
        <w:tblW w:w="0" w:type="auto"/>
        <w:tblInd w:w="0" w:type="dxa"/>
        <w:tblLayout w:type="fixed"/>
        <w:tblCellMar>
          <w:top w:w="0" w:type="dxa"/>
          <w:left w:w="108" w:type="dxa"/>
          <w:bottom w:w="0" w:type="dxa"/>
          <w:right w:w="108" w:type="dxa"/>
        </w:tblCellMar>
      </w:tblPr>
      <w:tblGrid>
        <w:gridCol w:w="4507"/>
        <w:gridCol w:w="4565"/>
      </w:tblGrid>
      <w:tr>
        <w:tblPrEx>
          <w:tblCellMar>
            <w:top w:w="0" w:type="dxa"/>
            <w:left w:w="108" w:type="dxa"/>
            <w:bottom w:w="0" w:type="dxa"/>
            <w:right w:w="108" w:type="dxa"/>
          </w:tblCellMar>
        </w:tblPrEx>
        <w:tc>
          <w:tcPr>
            <w:tcW w:w="4507" w:type="dxa"/>
            <w:noWrap w:val="0"/>
            <w:vAlign w:val="top"/>
          </w:tcPr>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发包人：（公章）</w:t>
            </w:r>
          </w:p>
          <w:p>
            <w:pPr>
              <w:pStyle w:val="620"/>
              <w:spacing w:after="50" w:line="400" w:lineRule="exact"/>
              <w:rPr>
                <w:rFonts w:hint="eastAsia" w:ascii="宋体" w:hAnsi="宋体" w:eastAsia="宋体" w:cs="宋体"/>
                <w:sz w:val="21"/>
                <w:szCs w:val="21"/>
              </w:rPr>
            </w:pPr>
          </w:p>
          <w:p>
            <w:pPr>
              <w:pStyle w:val="620"/>
              <w:spacing w:after="50" w:line="400" w:lineRule="exact"/>
              <w:rPr>
                <w:rFonts w:hint="eastAsia" w:ascii="宋体" w:hAnsi="宋体" w:eastAsia="宋体" w:cs="宋体"/>
                <w:sz w:val="21"/>
                <w:szCs w:val="21"/>
              </w:rPr>
            </w:pPr>
          </w:p>
        </w:tc>
        <w:tc>
          <w:tcPr>
            <w:tcW w:w="4565" w:type="dxa"/>
            <w:noWrap w:val="0"/>
            <w:vAlign w:val="top"/>
          </w:tcPr>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承包人：（公章）</w:t>
            </w:r>
          </w:p>
          <w:p>
            <w:pPr>
              <w:pStyle w:val="620"/>
              <w:spacing w:after="50" w:line="400" w:lineRule="exact"/>
              <w:rPr>
                <w:rFonts w:hint="eastAsia" w:ascii="宋体" w:hAnsi="宋体" w:eastAsia="宋体" w:cs="宋体"/>
                <w:sz w:val="21"/>
                <w:szCs w:val="21"/>
              </w:rPr>
            </w:pPr>
          </w:p>
          <w:p>
            <w:pPr>
              <w:pStyle w:val="620"/>
              <w:spacing w:after="50" w:line="400" w:lineRule="exact"/>
              <w:rPr>
                <w:rFonts w:hint="eastAsia" w:ascii="宋体" w:hAnsi="宋体" w:eastAsia="宋体" w:cs="宋体"/>
                <w:sz w:val="21"/>
                <w:szCs w:val="21"/>
              </w:rPr>
            </w:pPr>
          </w:p>
        </w:tc>
      </w:tr>
      <w:tr>
        <w:tblPrEx>
          <w:tblCellMar>
            <w:top w:w="0" w:type="dxa"/>
            <w:left w:w="108" w:type="dxa"/>
            <w:bottom w:w="0" w:type="dxa"/>
            <w:right w:w="108" w:type="dxa"/>
          </w:tblCellMar>
        </w:tblPrEx>
        <w:tc>
          <w:tcPr>
            <w:tcW w:w="4507" w:type="dxa"/>
            <w:noWrap w:val="0"/>
            <w:vAlign w:val="top"/>
          </w:tcPr>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法定代表人或其委托代理人：</w:t>
            </w:r>
          </w:p>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（签字）</w:t>
            </w:r>
          </w:p>
          <w:p>
            <w:pPr>
              <w:pStyle w:val="620"/>
              <w:spacing w:after="50" w:line="400" w:lineRule="exact"/>
              <w:rPr>
                <w:rFonts w:hint="eastAsia" w:ascii="宋体" w:hAnsi="宋体" w:eastAsia="宋体" w:cs="宋体"/>
                <w:sz w:val="21"/>
                <w:szCs w:val="21"/>
              </w:rPr>
            </w:pPr>
          </w:p>
        </w:tc>
        <w:tc>
          <w:tcPr>
            <w:tcW w:w="4565" w:type="dxa"/>
            <w:noWrap w:val="0"/>
            <w:vAlign w:val="top"/>
          </w:tcPr>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法定代表人或其委托代理人：</w:t>
            </w:r>
          </w:p>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（签字）</w:t>
            </w:r>
          </w:p>
          <w:p>
            <w:pPr>
              <w:pStyle w:val="620"/>
              <w:spacing w:after="50" w:line="400" w:lineRule="exact"/>
              <w:rPr>
                <w:rFonts w:hint="eastAsia" w:ascii="宋体" w:hAnsi="宋体" w:eastAsia="宋体" w:cs="宋体"/>
                <w:sz w:val="21"/>
                <w:szCs w:val="21"/>
              </w:rPr>
            </w:pPr>
          </w:p>
        </w:tc>
      </w:tr>
      <w:tr>
        <w:tblPrEx>
          <w:tblCellMar>
            <w:top w:w="0" w:type="dxa"/>
            <w:left w:w="108" w:type="dxa"/>
            <w:bottom w:w="0" w:type="dxa"/>
            <w:right w:w="108" w:type="dxa"/>
          </w:tblCellMar>
        </w:tblPrEx>
        <w:tc>
          <w:tcPr>
            <w:tcW w:w="4507" w:type="dxa"/>
            <w:noWrap w:val="0"/>
            <w:vAlign w:val="top"/>
          </w:tcPr>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统一社会信用代码：</w:t>
            </w:r>
            <w:r>
              <w:rPr>
                <w:rFonts w:hint="eastAsia" w:ascii="宋体" w:hAnsi="宋体" w:eastAsia="宋体" w:cs="宋体"/>
                <w:sz w:val="21"/>
                <w:szCs w:val="21"/>
                <w:u w:val="single"/>
              </w:rPr>
              <w:t xml:space="preserve">            </w:t>
            </w:r>
          </w:p>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地址：</w:t>
            </w:r>
            <w:r>
              <w:rPr>
                <w:rFonts w:hint="eastAsia" w:ascii="宋体" w:hAnsi="宋体" w:eastAsia="宋体" w:cs="宋体"/>
                <w:sz w:val="21"/>
                <w:szCs w:val="21"/>
                <w:u w:val="single"/>
              </w:rPr>
              <w:t xml:space="preserve">                       </w:t>
            </w:r>
          </w:p>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邮政编码：</w:t>
            </w:r>
            <w:r>
              <w:rPr>
                <w:rFonts w:hint="eastAsia" w:ascii="宋体" w:hAnsi="宋体" w:eastAsia="宋体" w:cs="宋体"/>
                <w:sz w:val="21"/>
                <w:szCs w:val="21"/>
                <w:u w:val="single"/>
              </w:rPr>
              <w:t xml:space="preserve">                      </w:t>
            </w:r>
          </w:p>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法定代表人：</w:t>
            </w:r>
            <w:r>
              <w:rPr>
                <w:rFonts w:hint="eastAsia" w:ascii="宋体" w:hAnsi="宋体" w:eastAsia="宋体" w:cs="宋体"/>
                <w:sz w:val="21"/>
                <w:szCs w:val="21"/>
                <w:u w:val="single"/>
              </w:rPr>
              <w:t xml:space="preserve">                 </w:t>
            </w:r>
          </w:p>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委托代理人：</w:t>
            </w:r>
            <w:r>
              <w:rPr>
                <w:rFonts w:hint="eastAsia" w:ascii="宋体" w:hAnsi="宋体" w:eastAsia="宋体" w:cs="宋体"/>
                <w:sz w:val="21"/>
                <w:szCs w:val="21"/>
                <w:u w:val="single"/>
              </w:rPr>
              <w:t xml:space="preserve">                 </w:t>
            </w:r>
          </w:p>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电话：</w:t>
            </w:r>
            <w:r>
              <w:rPr>
                <w:rFonts w:hint="eastAsia" w:ascii="宋体" w:hAnsi="宋体" w:eastAsia="宋体" w:cs="宋体"/>
                <w:sz w:val="21"/>
                <w:szCs w:val="21"/>
                <w:u w:val="single"/>
              </w:rPr>
              <w:t xml:space="preserve">                       </w:t>
            </w:r>
          </w:p>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 xml:space="preserve">传真： </w:t>
            </w:r>
            <w:r>
              <w:rPr>
                <w:rFonts w:hint="eastAsia" w:ascii="宋体" w:hAnsi="宋体" w:eastAsia="宋体" w:cs="宋体"/>
                <w:sz w:val="21"/>
                <w:szCs w:val="21"/>
                <w:u w:val="single"/>
              </w:rPr>
              <w:t xml:space="preserve">                      </w:t>
            </w:r>
          </w:p>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电子信箱：</w:t>
            </w:r>
            <w:r>
              <w:rPr>
                <w:rFonts w:hint="eastAsia" w:ascii="宋体" w:hAnsi="宋体" w:eastAsia="宋体" w:cs="宋体"/>
                <w:sz w:val="21"/>
                <w:szCs w:val="21"/>
                <w:u w:val="single"/>
              </w:rPr>
              <w:t xml:space="preserve">                    </w:t>
            </w:r>
          </w:p>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开户银行：</w:t>
            </w:r>
            <w:r>
              <w:rPr>
                <w:rFonts w:hint="eastAsia" w:ascii="宋体" w:hAnsi="宋体" w:eastAsia="宋体" w:cs="宋体"/>
                <w:sz w:val="21"/>
                <w:szCs w:val="21"/>
                <w:u w:val="single"/>
              </w:rPr>
              <w:t xml:space="preserve">                   </w:t>
            </w:r>
          </w:p>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账号：</w:t>
            </w:r>
            <w:r>
              <w:rPr>
                <w:rFonts w:hint="eastAsia" w:ascii="宋体" w:hAnsi="宋体" w:eastAsia="宋体" w:cs="宋体"/>
                <w:sz w:val="21"/>
                <w:szCs w:val="21"/>
                <w:u w:val="single"/>
              </w:rPr>
              <w:t xml:space="preserve">                       </w:t>
            </w:r>
          </w:p>
        </w:tc>
        <w:tc>
          <w:tcPr>
            <w:tcW w:w="4565" w:type="dxa"/>
            <w:noWrap w:val="0"/>
            <w:vAlign w:val="top"/>
          </w:tcPr>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统一社会信用代码：</w:t>
            </w:r>
            <w:r>
              <w:rPr>
                <w:rFonts w:hint="eastAsia" w:ascii="宋体" w:hAnsi="宋体" w:eastAsia="宋体" w:cs="宋体"/>
                <w:sz w:val="21"/>
                <w:szCs w:val="21"/>
                <w:u w:val="single"/>
              </w:rPr>
              <w:t xml:space="preserve">            </w:t>
            </w:r>
          </w:p>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地址：</w:t>
            </w:r>
            <w:r>
              <w:rPr>
                <w:rFonts w:hint="eastAsia" w:ascii="宋体" w:hAnsi="宋体" w:eastAsia="宋体" w:cs="宋体"/>
                <w:sz w:val="21"/>
                <w:szCs w:val="21"/>
                <w:u w:val="single"/>
              </w:rPr>
              <w:t xml:space="preserve">                        </w:t>
            </w:r>
          </w:p>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邮政编码：</w:t>
            </w:r>
            <w:r>
              <w:rPr>
                <w:rFonts w:hint="eastAsia" w:ascii="宋体" w:hAnsi="宋体" w:eastAsia="宋体" w:cs="宋体"/>
                <w:sz w:val="21"/>
                <w:szCs w:val="21"/>
                <w:u w:val="single"/>
              </w:rPr>
              <w:t xml:space="preserve">                      </w:t>
            </w:r>
          </w:p>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法定代表人：</w:t>
            </w:r>
            <w:r>
              <w:rPr>
                <w:rFonts w:hint="eastAsia" w:ascii="宋体" w:hAnsi="宋体" w:eastAsia="宋体" w:cs="宋体"/>
                <w:sz w:val="21"/>
                <w:szCs w:val="21"/>
                <w:u w:val="single"/>
              </w:rPr>
              <w:t xml:space="preserve">                  </w:t>
            </w:r>
          </w:p>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委托代理人：</w:t>
            </w:r>
            <w:r>
              <w:rPr>
                <w:rFonts w:hint="eastAsia" w:ascii="宋体" w:hAnsi="宋体" w:eastAsia="宋体" w:cs="宋体"/>
                <w:sz w:val="21"/>
                <w:szCs w:val="21"/>
                <w:u w:val="single"/>
              </w:rPr>
              <w:t xml:space="preserve">                 </w:t>
            </w:r>
          </w:p>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电话：</w:t>
            </w:r>
            <w:r>
              <w:rPr>
                <w:rFonts w:hint="eastAsia" w:ascii="宋体" w:hAnsi="宋体" w:eastAsia="宋体" w:cs="宋体"/>
                <w:sz w:val="21"/>
                <w:szCs w:val="21"/>
                <w:u w:val="single"/>
              </w:rPr>
              <w:t xml:space="preserve">                       </w:t>
            </w:r>
          </w:p>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传真：</w:t>
            </w:r>
            <w:r>
              <w:rPr>
                <w:rFonts w:hint="eastAsia" w:ascii="宋体" w:hAnsi="宋体" w:eastAsia="宋体" w:cs="宋体"/>
                <w:sz w:val="21"/>
                <w:szCs w:val="21"/>
                <w:u w:val="single"/>
              </w:rPr>
              <w:t xml:space="preserve">                       </w:t>
            </w:r>
          </w:p>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电子信箱：</w:t>
            </w:r>
            <w:r>
              <w:rPr>
                <w:rFonts w:hint="eastAsia" w:ascii="宋体" w:hAnsi="宋体" w:eastAsia="宋体" w:cs="宋体"/>
                <w:sz w:val="21"/>
                <w:szCs w:val="21"/>
                <w:u w:val="single"/>
              </w:rPr>
              <w:t xml:space="preserve">                   </w:t>
            </w:r>
          </w:p>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开户银行：</w:t>
            </w:r>
            <w:r>
              <w:rPr>
                <w:rFonts w:hint="eastAsia" w:ascii="宋体" w:hAnsi="宋体" w:eastAsia="宋体" w:cs="宋体"/>
                <w:sz w:val="21"/>
                <w:szCs w:val="21"/>
                <w:u w:val="single"/>
              </w:rPr>
              <w:t xml:space="preserve">                   </w:t>
            </w:r>
          </w:p>
          <w:p>
            <w:pPr>
              <w:pStyle w:val="620"/>
              <w:spacing w:after="50" w:line="400" w:lineRule="exact"/>
              <w:rPr>
                <w:rFonts w:hint="eastAsia" w:ascii="宋体" w:hAnsi="宋体" w:eastAsia="宋体" w:cs="宋体"/>
                <w:sz w:val="21"/>
                <w:szCs w:val="21"/>
              </w:rPr>
            </w:pPr>
            <w:r>
              <w:rPr>
                <w:rFonts w:hint="eastAsia" w:ascii="宋体" w:hAnsi="宋体" w:eastAsia="宋体" w:cs="宋体"/>
                <w:sz w:val="21"/>
                <w:szCs w:val="21"/>
              </w:rPr>
              <w:t>账号：</w:t>
            </w:r>
            <w:r>
              <w:rPr>
                <w:rFonts w:hint="eastAsia" w:ascii="宋体" w:hAnsi="宋体" w:eastAsia="宋体" w:cs="宋体"/>
                <w:sz w:val="21"/>
                <w:szCs w:val="21"/>
                <w:u w:val="single"/>
              </w:rPr>
              <w:t xml:space="preserve">                       </w:t>
            </w:r>
          </w:p>
        </w:tc>
      </w:tr>
    </w:tbl>
    <w:p>
      <w:pPr>
        <w:spacing w:line="400" w:lineRule="exact"/>
        <w:rPr>
          <w:rFonts w:hint="eastAsia" w:ascii="宋体" w:hAnsi="宋体" w:cs="宋体"/>
          <w:szCs w:val="21"/>
        </w:rPr>
        <w:sectPr>
          <w:footerReference r:id="rId7" w:type="default"/>
          <w:pgSz w:w="11906" w:h="16838"/>
          <w:pgMar w:top="1440" w:right="1800" w:bottom="1440" w:left="1800" w:header="720" w:footer="850" w:gutter="0"/>
          <w:pgNumType w:start="1"/>
          <w:cols w:space="720" w:num="1"/>
          <w:docGrid w:linePitch="326" w:charSpace="0"/>
        </w:sectPr>
      </w:pPr>
      <w:r>
        <w:rPr>
          <w:rFonts w:hint="eastAsia" w:ascii="宋体" w:hAnsi="宋体" w:cs="宋体"/>
          <w:szCs w:val="21"/>
        </w:rPr>
        <w:tab/>
      </w:r>
    </w:p>
    <w:bookmarkEnd w:id="801"/>
    <w:bookmarkEnd w:id="802"/>
    <w:bookmarkEnd w:id="803"/>
    <w:bookmarkEnd w:id="804"/>
    <w:bookmarkEnd w:id="805"/>
    <w:bookmarkEnd w:id="806"/>
    <w:p>
      <w:pPr>
        <w:widowControl/>
        <w:rPr>
          <w:rFonts w:hint="eastAsia"/>
          <w:color w:val="000000"/>
          <w:szCs w:val="21"/>
        </w:rPr>
      </w:pPr>
    </w:p>
    <w:p>
      <w:pPr>
        <w:pStyle w:val="3"/>
        <w:jc w:val="center"/>
        <w:rPr>
          <w:rFonts w:hint="eastAsia"/>
          <w:color w:val="000000"/>
          <w:sz w:val="32"/>
        </w:rPr>
      </w:pPr>
      <w:bookmarkStart w:id="829" w:name="_Toc57191194"/>
      <w:bookmarkStart w:id="830" w:name="_Toc59203078"/>
      <w:r>
        <w:rPr>
          <w:rFonts w:hint="eastAsia"/>
          <w:color w:val="000000"/>
          <w:sz w:val="32"/>
        </w:rPr>
        <w:t>第二部分</w:t>
      </w:r>
      <w:r>
        <w:rPr>
          <w:color w:val="000000"/>
          <w:sz w:val="32"/>
        </w:rPr>
        <w:t xml:space="preserve">  </w:t>
      </w:r>
      <w:r>
        <w:rPr>
          <w:rFonts w:hint="eastAsia"/>
          <w:color w:val="000000"/>
          <w:sz w:val="32"/>
        </w:rPr>
        <w:t>通用合同条款</w:t>
      </w:r>
      <w:bookmarkEnd w:id="829"/>
      <w:bookmarkEnd w:id="830"/>
    </w:p>
    <w:p>
      <w:pPr>
        <w:pStyle w:val="684"/>
        <w:numPr>
          <w:ilvl w:val="0"/>
          <w:numId w:val="0"/>
        </w:numPr>
        <w:spacing w:line="400" w:lineRule="exact"/>
        <w:rPr>
          <w:rFonts w:hint="eastAsia" w:ascii="宋体" w:hAnsi="宋体" w:eastAsia="宋体" w:cs="宋体"/>
          <w:b w:val="0"/>
          <w:szCs w:val="21"/>
        </w:rPr>
      </w:pPr>
      <w:bookmarkStart w:id="831" w:name="_Toc59203079"/>
      <w:bookmarkStart w:id="832" w:name="_Ref508893699"/>
      <w:bookmarkStart w:id="833" w:name="_Toc54862177"/>
      <w:bookmarkStart w:id="834" w:name="_Ref509040831"/>
      <w:bookmarkStart w:id="835" w:name="_Ref509040826"/>
      <w:bookmarkStart w:id="836" w:name="_Toc57191238"/>
      <w:r>
        <w:rPr>
          <w:rFonts w:hint="eastAsia" w:ascii="宋体" w:hAnsi="宋体" w:eastAsia="宋体" w:cs="宋体"/>
          <w:b w:val="0"/>
          <w:szCs w:val="21"/>
        </w:rPr>
        <w:t>第1条 一般约定</w:t>
      </w:r>
      <w:bookmarkEnd w:id="831"/>
      <w:bookmarkEnd w:id="832"/>
      <w:bookmarkEnd w:id="833"/>
    </w:p>
    <w:p>
      <w:pPr>
        <w:pStyle w:val="685"/>
        <w:widowControl/>
        <w:numPr>
          <w:ilvl w:val="0"/>
          <w:numId w:val="0"/>
        </w:numPr>
        <w:spacing w:line="400" w:lineRule="exact"/>
        <w:rPr>
          <w:rFonts w:hint="eastAsia" w:ascii="宋体" w:hAnsi="宋体" w:eastAsia="宋体" w:cs="宋体"/>
          <w:b w:val="0"/>
          <w:bCs/>
          <w:sz w:val="21"/>
          <w:szCs w:val="21"/>
        </w:rPr>
      </w:pPr>
      <w:bookmarkStart w:id="837" w:name="_Ref523741471"/>
      <w:bookmarkStart w:id="838" w:name="_Ref523741474"/>
      <w:bookmarkStart w:id="839" w:name="_Toc59203080"/>
      <w:bookmarkStart w:id="840" w:name="_Toc54862178"/>
      <w:r>
        <w:rPr>
          <w:rFonts w:hint="eastAsia" w:ascii="宋体" w:hAnsi="宋体" w:eastAsia="宋体" w:cs="宋体"/>
          <w:b w:val="0"/>
          <w:bCs/>
          <w:sz w:val="21"/>
          <w:szCs w:val="21"/>
        </w:rPr>
        <w:t>1.1 词语定义和解释</w:t>
      </w:r>
      <w:bookmarkEnd w:id="834"/>
      <w:bookmarkEnd w:id="835"/>
      <w:bookmarkEnd w:id="837"/>
      <w:bookmarkEnd w:id="838"/>
      <w:bookmarkEnd w:id="839"/>
      <w:bookmarkEnd w:id="840"/>
    </w:p>
    <w:p>
      <w:pPr>
        <w:spacing w:line="400" w:lineRule="exact"/>
        <w:ind w:firstLine="600"/>
        <w:rPr>
          <w:rFonts w:hint="eastAsia" w:ascii="宋体" w:hAnsi="宋体" w:cs="宋体"/>
          <w:szCs w:val="21"/>
        </w:rPr>
      </w:pPr>
      <w:r>
        <w:rPr>
          <w:rFonts w:hint="eastAsia" w:ascii="宋体" w:hAnsi="宋体" w:cs="宋体"/>
          <w:szCs w:val="21"/>
        </w:rPr>
        <w:t>合同协议书、通用合同条件、专用合同条件中的下列词语应具有本款所赋予的含义：</w:t>
      </w:r>
    </w:p>
    <w:p>
      <w:pPr>
        <w:pStyle w:val="686"/>
        <w:numPr>
          <w:ilvl w:val="0"/>
          <w:numId w:val="0"/>
        </w:numPr>
        <w:spacing w:line="400" w:lineRule="exact"/>
        <w:rPr>
          <w:rFonts w:hint="eastAsia" w:cs="宋体"/>
          <w:sz w:val="21"/>
        </w:rPr>
      </w:pPr>
      <w:bookmarkStart w:id="841" w:name="_Ref4757289"/>
      <w:bookmarkStart w:id="842" w:name="_Ref521288340"/>
      <w:r>
        <w:rPr>
          <w:rFonts w:hint="eastAsia" w:cs="宋体"/>
          <w:sz w:val="21"/>
        </w:rPr>
        <w:t>1.1.1 合同</w:t>
      </w:r>
      <w:bookmarkEnd w:id="841"/>
    </w:p>
    <w:p>
      <w:pPr>
        <w:pStyle w:val="687"/>
        <w:numPr>
          <w:ilvl w:val="0"/>
          <w:numId w:val="0"/>
        </w:numPr>
        <w:spacing w:line="400" w:lineRule="exact"/>
        <w:rPr>
          <w:rFonts w:hint="eastAsia" w:cs="宋体"/>
          <w:sz w:val="21"/>
        </w:rPr>
      </w:pPr>
      <w:r>
        <w:rPr>
          <w:rFonts w:hint="eastAsia" w:cs="宋体"/>
          <w:sz w:val="21"/>
        </w:rPr>
        <w:t>1.1.1.1 合同：是指根据法律规定和合同当事人约定具有约束力的文件，构成合同的文件包括合同协议书、中标通知书（如果有）、投标函及其附录（如果有）、专用合同条件及《发包人要求》等附件、通用合同条件、</w:t>
      </w:r>
      <w:r>
        <w:rPr>
          <w:rFonts w:hint="eastAsia" w:cs="宋体"/>
          <w:color w:val="000000"/>
          <w:sz w:val="21"/>
        </w:rPr>
        <w:t>标准、规范及有关技术文件</w:t>
      </w:r>
      <w:r>
        <w:rPr>
          <w:rFonts w:hint="eastAsia" w:cs="宋体"/>
          <w:sz w:val="21"/>
        </w:rPr>
        <w:t>、价格清单以及双方约定的其他合同文件。</w:t>
      </w:r>
    </w:p>
    <w:p>
      <w:pPr>
        <w:pStyle w:val="687"/>
        <w:numPr>
          <w:ilvl w:val="0"/>
          <w:numId w:val="0"/>
        </w:numPr>
        <w:spacing w:line="400" w:lineRule="exact"/>
        <w:rPr>
          <w:rFonts w:hint="eastAsia" w:cs="宋体"/>
          <w:sz w:val="21"/>
        </w:rPr>
      </w:pPr>
      <w:r>
        <w:rPr>
          <w:rFonts w:hint="eastAsia" w:cs="宋体"/>
          <w:sz w:val="21"/>
        </w:rPr>
        <w:t>1.1.1.2 合同协议书：是指构成合同的由发包人和承包人共同签署的称为“合同协议书”的书面文件。</w:t>
      </w:r>
    </w:p>
    <w:p>
      <w:pPr>
        <w:pStyle w:val="687"/>
        <w:numPr>
          <w:ilvl w:val="0"/>
          <w:numId w:val="0"/>
        </w:numPr>
        <w:spacing w:line="400" w:lineRule="exact"/>
        <w:rPr>
          <w:rFonts w:hint="eastAsia" w:cs="宋体"/>
          <w:sz w:val="21"/>
        </w:rPr>
      </w:pPr>
      <w:r>
        <w:rPr>
          <w:rFonts w:hint="eastAsia" w:cs="宋体"/>
          <w:sz w:val="21"/>
        </w:rPr>
        <w:t>1.1.1.3 中标通知书：是指构成合同的由发包人通知承包人中标的书面文件。中标通知书随附的澄清、说明、补正事项纪要等，是中标通知书的组成部分。</w:t>
      </w:r>
    </w:p>
    <w:p>
      <w:pPr>
        <w:pStyle w:val="687"/>
        <w:numPr>
          <w:ilvl w:val="0"/>
          <w:numId w:val="0"/>
        </w:numPr>
        <w:spacing w:line="400" w:lineRule="exact"/>
        <w:rPr>
          <w:rFonts w:hint="eastAsia" w:cs="宋体"/>
          <w:sz w:val="21"/>
        </w:rPr>
      </w:pPr>
      <w:r>
        <w:rPr>
          <w:rFonts w:hint="eastAsia" w:cs="宋体"/>
          <w:sz w:val="21"/>
        </w:rPr>
        <w:t>1.1.1.4 投标函：是指构成合同的由承包人填写并签署的用于投标的称为“投标函”的文件。</w:t>
      </w:r>
    </w:p>
    <w:p>
      <w:pPr>
        <w:pStyle w:val="687"/>
        <w:numPr>
          <w:ilvl w:val="0"/>
          <w:numId w:val="0"/>
        </w:numPr>
        <w:spacing w:line="400" w:lineRule="exact"/>
        <w:rPr>
          <w:rFonts w:hint="eastAsia" w:cs="宋体"/>
          <w:sz w:val="21"/>
        </w:rPr>
      </w:pPr>
      <w:r>
        <w:rPr>
          <w:rFonts w:hint="eastAsia" w:cs="宋体"/>
          <w:sz w:val="21"/>
        </w:rPr>
        <w:t>1.1.1.5 投标函附录：是指构成合同的附在投标函后的称为“投标函附录”的文件。</w:t>
      </w:r>
    </w:p>
    <w:p>
      <w:pPr>
        <w:pStyle w:val="687"/>
        <w:numPr>
          <w:ilvl w:val="0"/>
          <w:numId w:val="0"/>
        </w:numPr>
        <w:spacing w:line="400" w:lineRule="exact"/>
        <w:rPr>
          <w:rFonts w:hint="eastAsia" w:cs="宋体"/>
          <w:sz w:val="21"/>
        </w:rPr>
      </w:pPr>
      <w:r>
        <w:rPr>
          <w:rFonts w:hint="eastAsia" w:cs="宋体"/>
          <w:sz w:val="21"/>
        </w:rPr>
        <w:t>1.1.1.6 《发包人要求》：指构成合同文件组成部分的名为《发包人要求》的文件，其中列明工程的目的、范围、设计与其他技术标准和要求，以及合同双方当事人约定对其所作的修改或补充。</w:t>
      </w:r>
    </w:p>
    <w:p>
      <w:pPr>
        <w:pStyle w:val="687"/>
        <w:numPr>
          <w:ilvl w:val="0"/>
          <w:numId w:val="0"/>
        </w:numPr>
        <w:spacing w:line="400" w:lineRule="exact"/>
        <w:rPr>
          <w:rFonts w:hint="eastAsia" w:cs="宋体"/>
          <w:sz w:val="21"/>
        </w:rPr>
      </w:pPr>
      <w:r>
        <w:rPr>
          <w:rFonts w:hint="eastAsia" w:cs="宋体"/>
          <w:sz w:val="21"/>
        </w:rPr>
        <w:t>1.1.1.7 价格清单：指构成合同文件组成部分的由承包人按发包人规定的格式和要求填写并标明价格的清单。</w:t>
      </w:r>
    </w:p>
    <w:p>
      <w:pPr>
        <w:pStyle w:val="687"/>
        <w:numPr>
          <w:ilvl w:val="0"/>
          <w:numId w:val="0"/>
        </w:numPr>
        <w:spacing w:line="400" w:lineRule="exact"/>
        <w:rPr>
          <w:rFonts w:hint="eastAsia" w:cs="宋体"/>
          <w:sz w:val="21"/>
        </w:rPr>
      </w:pPr>
      <w:r>
        <w:rPr>
          <w:rFonts w:hint="eastAsia" w:cs="宋体"/>
          <w:sz w:val="21"/>
        </w:rPr>
        <w:t>1.1.1.8 承包人建议书：指构成合同文件组成部分的名为承包人建议书的文件。承包人建议书由承包人随投标函一起提交。</w:t>
      </w:r>
    </w:p>
    <w:p>
      <w:pPr>
        <w:pStyle w:val="687"/>
        <w:numPr>
          <w:ilvl w:val="0"/>
          <w:numId w:val="0"/>
        </w:numPr>
        <w:spacing w:line="400" w:lineRule="exact"/>
        <w:rPr>
          <w:rFonts w:hint="eastAsia" w:cs="宋体"/>
          <w:sz w:val="21"/>
        </w:rPr>
      </w:pPr>
      <w:bookmarkStart w:id="843" w:name="_Ref4415300"/>
      <w:r>
        <w:rPr>
          <w:rFonts w:hint="eastAsia" w:cs="宋体"/>
          <w:sz w:val="21"/>
        </w:rPr>
        <w:t>1.1.1.9其他合同文件：是指经合同当事人约定的与工程实施有关的具有合同约束力的文件或书面协议。合同当事人可以在专用合同条件中进行约定。</w:t>
      </w:r>
      <w:bookmarkEnd w:id="843"/>
    </w:p>
    <w:p>
      <w:pPr>
        <w:pStyle w:val="686"/>
        <w:numPr>
          <w:ilvl w:val="0"/>
          <w:numId w:val="0"/>
        </w:numPr>
        <w:spacing w:line="400" w:lineRule="exact"/>
        <w:rPr>
          <w:rFonts w:hint="eastAsia" w:cs="宋体"/>
          <w:sz w:val="21"/>
        </w:rPr>
      </w:pPr>
      <w:bookmarkStart w:id="844" w:name="_Ref4757418"/>
      <w:r>
        <w:rPr>
          <w:rFonts w:hint="eastAsia" w:cs="宋体"/>
          <w:sz w:val="21"/>
        </w:rPr>
        <w:t>1.1.2 合同当事人及其他相关方</w:t>
      </w:r>
      <w:bookmarkEnd w:id="844"/>
    </w:p>
    <w:p>
      <w:pPr>
        <w:pStyle w:val="687"/>
        <w:numPr>
          <w:ilvl w:val="0"/>
          <w:numId w:val="0"/>
        </w:numPr>
        <w:spacing w:line="400" w:lineRule="exact"/>
        <w:rPr>
          <w:rFonts w:hint="eastAsia" w:cs="宋体"/>
          <w:sz w:val="21"/>
        </w:rPr>
      </w:pPr>
      <w:r>
        <w:rPr>
          <w:rFonts w:hint="eastAsia" w:cs="宋体"/>
          <w:sz w:val="21"/>
        </w:rPr>
        <w:t>1.1.2.1 合同当事人：是指发包人和（或）承包人。</w:t>
      </w:r>
    </w:p>
    <w:p>
      <w:pPr>
        <w:pStyle w:val="687"/>
        <w:numPr>
          <w:ilvl w:val="0"/>
          <w:numId w:val="0"/>
        </w:numPr>
        <w:spacing w:line="400" w:lineRule="exact"/>
        <w:rPr>
          <w:rFonts w:hint="eastAsia" w:cs="宋体"/>
          <w:sz w:val="21"/>
        </w:rPr>
      </w:pPr>
      <w:r>
        <w:rPr>
          <w:rFonts w:hint="eastAsia" w:cs="宋体"/>
          <w:sz w:val="21"/>
        </w:rPr>
        <w:t>1.1.2.2 发包人：是指与承包人订立合同协议书的当事人及取得该当事人资格的合法继受人。本合同中“因发包人原因”里的“发包人”包括发包人及所有发包人人员。</w:t>
      </w:r>
    </w:p>
    <w:p>
      <w:pPr>
        <w:pStyle w:val="687"/>
        <w:numPr>
          <w:ilvl w:val="0"/>
          <w:numId w:val="0"/>
        </w:numPr>
        <w:spacing w:line="400" w:lineRule="exact"/>
        <w:rPr>
          <w:rFonts w:hint="eastAsia" w:cs="宋体"/>
          <w:sz w:val="21"/>
        </w:rPr>
      </w:pPr>
      <w:r>
        <w:rPr>
          <w:rFonts w:hint="eastAsia" w:cs="宋体"/>
          <w:sz w:val="21"/>
        </w:rPr>
        <w:t>1.1.2.3 承包人：是指与发包人订立合同协议书的当事人及取得该当事人资格的合法继受人。</w:t>
      </w:r>
    </w:p>
    <w:p>
      <w:pPr>
        <w:pStyle w:val="687"/>
        <w:numPr>
          <w:ilvl w:val="0"/>
          <w:numId w:val="0"/>
        </w:numPr>
        <w:spacing w:line="400" w:lineRule="exact"/>
        <w:rPr>
          <w:rFonts w:hint="eastAsia" w:cs="宋体"/>
          <w:sz w:val="21"/>
        </w:rPr>
      </w:pPr>
      <w:r>
        <w:rPr>
          <w:rFonts w:hint="eastAsia" w:cs="宋体"/>
          <w:sz w:val="21"/>
        </w:rPr>
        <w:t>1.1.2.4 联合体：是指经发包人同意由两个或两个以上法人或者其他组织组成的，作为承包人的临时机构。</w:t>
      </w:r>
    </w:p>
    <w:p>
      <w:pPr>
        <w:pStyle w:val="687"/>
        <w:numPr>
          <w:ilvl w:val="0"/>
          <w:numId w:val="0"/>
        </w:numPr>
        <w:spacing w:line="400" w:lineRule="exact"/>
        <w:rPr>
          <w:rFonts w:hint="eastAsia" w:cs="宋体"/>
          <w:sz w:val="21"/>
        </w:rPr>
      </w:pPr>
      <w:bookmarkStart w:id="845" w:name="_Ref4420046"/>
      <w:r>
        <w:rPr>
          <w:rFonts w:hint="eastAsia" w:cs="宋体"/>
          <w:sz w:val="21"/>
        </w:rPr>
        <w:t>1.1.2.5 发包人代表：是指由发包人任命并派驻工作现场，在发包人授权范围内行使发包人权利和履行发包人义务的人。</w:t>
      </w:r>
    </w:p>
    <w:p>
      <w:pPr>
        <w:pStyle w:val="687"/>
        <w:numPr>
          <w:ilvl w:val="0"/>
          <w:numId w:val="0"/>
        </w:numPr>
        <w:spacing w:line="400" w:lineRule="exact"/>
        <w:rPr>
          <w:rFonts w:hint="eastAsia" w:cs="宋体"/>
          <w:sz w:val="21"/>
        </w:rPr>
      </w:pPr>
      <w:bookmarkStart w:id="846" w:name="_Ref4756982"/>
      <w:r>
        <w:rPr>
          <w:rFonts w:hint="eastAsia" w:cs="宋体"/>
          <w:sz w:val="21"/>
        </w:rPr>
        <w:t>1.1.2.6 工程师：是指在专用合同条件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bookmarkEnd w:id="845"/>
      <w:bookmarkEnd w:id="846"/>
    </w:p>
    <w:p>
      <w:pPr>
        <w:pStyle w:val="687"/>
        <w:numPr>
          <w:ilvl w:val="0"/>
          <w:numId w:val="0"/>
        </w:numPr>
        <w:spacing w:line="400" w:lineRule="exact"/>
        <w:rPr>
          <w:rFonts w:hint="eastAsia" w:cs="宋体"/>
          <w:sz w:val="21"/>
        </w:rPr>
      </w:pPr>
      <w:r>
        <w:rPr>
          <w:rFonts w:hint="eastAsia" w:cs="宋体"/>
          <w:sz w:val="21"/>
        </w:rPr>
        <w:t>1.1.2.7 工程总承包项目经理：是指由承包人任命的，在承包人授权范围内负责合同履行的管理，且按照法律规定具有相应资格的项目负责人。</w:t>
      </w:r>
    </w:p>
    <w:p>
      <w:pPr>
        <w:pStyle w:val="687"/>
        <w:numPr>
          <w:ilvl w:val="0"/>
          <w:numId w:val="0"/>
        </w:numPr>
        <w:spacing w:line="400" w:lineRule="exact"/>
        <w:rPr>
          <w:rFonts w:hint="eastAsia" w:cs="宋体"/>
          <w:sz w:val="21"/>
        </w:rPr>
      </w:pPr>
      <w:r>
        <w:rPr>
          <w:rFonts w:hint="eastAsia" w:cs="宋体"/>
          <w:sz w:val="21"/>
        </w:rPr>
        <w:t>1.1.2.8 设计负责人：是指承包人指定负责组织、指导、协调设计工作并具有相应资格的人员。</w:t>
      </w:r>
    </w:p>
    <w:p>
      <w:pPr>
        <w:pStyle w:val="687"/>
        <w:numPr>
          <w:ilvl w:val="0"/>
          <w:numId w:val="0"/>
        </w:numPr>
        <w:spacing w:line="400" w:lineRule="exact"/>
        <w:rPr>
          <w:rFonts w:hint="eastAsia" w:cs="宋体"/>
          <w:sz w:val="21"/>
        </w:rPr>
      </w:pPr>
      <w:r>
        <w:rPr>
          <w:rFonts w:hint="eastAsia" w:cs="宋体"/>
          <w:sz w:val="21"/>
        </w:rPr>
        <w:t>1.1.2.9 采购负责人：是指承包人指定负责组织、指导、协调采购工作的人员。</w:t>
      </w:r>
    </w:p>
    <w:p>
      <w:pPr>
        <w:pStyle w:val="687"/>
        <w:numPr>
          <w:ilvl w:val="0"/>
          <w:numId w:val="0"/>
        </w:numPr>
        <w:spacing w:line="400" w:lineRule="exact"/>
        <w:rPr>
          <w:rFonts w:hint="eastAsia" w:cs="宋体"/>
          <w:sz w:val="21"/>
        </w:rPr>
      </w:pPr>
      <w:r>
        <w:rPr>
          <w:rFonts w:hint="eastAsia" w:cs="宋体"/>
          <w:sz w:val="21"/>
        </w:rPr>
        <w:t>1.1.2.10 施工负责人：是指承包人指定负责组织、指导、协调施工工作并具有相应资格的人员。</w:t>
      </w:r>
    </w:p>
    <w:p>
      <w:pPr>
        <w:pStyle w:val="687"/>
        <w:numPr>
          <w:ilvl w:val="0"/>
          <w:numId w:val="0"/>
        </w:numPr>
        <w:spacing w:line="400" w:lineRule="exact"/>
        <w:rPr>
          <w:rFonts w:hint="eastAsia" w:cs="宋体"/>
          <w:sz w:val="21"/>
        </w:rPr>
      </w:pPr>
      <w:r>
        <w:rPr>
          <w:rFonts w:hint="eastAsia" w:cs="宋体"/>
          <w:sz w:val="21"/>
        </w:rPr>
        <w:t>1.1.2.11 分包人：是指按照法律规定和合同约定，分包部分工程或工作，并与承包人订立分包合同的具有相应资质或资格的法人或其他组织。</w:t>
      </w:r>
    </w:p>
    <w:p>
      <w:pPr>
        <w:pStyle w:val="686"/>
        <w:numPr>
          <w:ilvl w:val="0"/>
          <w:numId w:val="0"/>
        </w:numPr>
        <w:spacing w:line="400" w:lineRule="exact"/>
        <w:rPr>
          <w:rFonts w:hint="eastAsia" w:cs="宋体"/>
          <w:sz w:val="21"/>
        </w:rPr>
      </w:pPr>
      <w:bookmarkStart w:id="847" w:name="_Ref4758319"/>
      <w:r>
        <w:rPr>
          <w:rFonts w:hint="eastAsia" w:cs="宋体"/>
          <w:sz w:val="21"/>
        </w:rPr>
        <w:t>1.1.3 工程和设备</w:t>
      </w:r>
      <w:bookmarkEnd w:id="847"/>
    </w:p>
    <w:p>
      <w:pPr>
        <w:pStyle w:val="687"/>
        <w:numPr>
          <w:ilvl w:val="0"/>
          <w:numId w:val="0"/>
        </w:numPr>
        <w:spacing w:line="400" w:lineRule="exact"/>
        <w:rPr>
          <w:rFonts w:hint="eastAsia" w:cs="宋体"/>
          <w:sz w:val="21"/>
        </w:rPr>
      </w:pPr>
      <w:r>
        <w:rPr>
          <w:rFonts w:hint="eastAsia" w:cs="宋体"/>
          <w:sz w:val="21"/>
        </w:rPr>
        <w:t>1.1.3.1 工程：是指与合同协议书中工程承包范围对应的永久工程和（或）临时工程。</w:t>
      </w:r>
    </w:p>
    <w:p>
      <w:pPr>
        <w:pStyle w:val="687"/>
        <w:numPr>
          <w:ilvl w:val="0"/>
          <w:numId w:val="0"/>
        </w:numPr>
        <w:spacing w:line="400" w:lineRule="exact"/>
        <w:rPr>
          <w:rFonts w:hint="eastAsia" w:cs="宋体"/>
          <w:sz w:val="21"/>
        </w:rPr>
      </w:pPr>
      <w:r>
        <w:rPr>
          <w:rFonts w:hint="eastAsia" w:cs="宋体"/>
          <w:sz w:val="21"/>
        </w:rPr>
        <w:t>1.1.3.2 工程实施：是指进行工程的设计、采购、施工和竣工以及对工程任何缺陷的修复。</w:t>
      </w:r>
    </w:p>
    <w:p>
      <w:pPr>
        <w:pStyle w:val="687"/>
        <w:numPr>
          <w:ilvl w:val="0"/>
          <w:numId w:val="0"/>
        </w:numPr>
        <w:spacing w:line="400" w:lineRule="exact"/>
        <w:rPr>
          <w:rFonts w:hint="eastAsia" w:cs="宋体"/>
          <w:sz w:val="21"/>
        </w:rPr>
      </w:pPr>
      <w:r>
        <w:rPr>
          <w:rFonts w:hint="eastAsia" w:cs="宋体"/>
          <w:sz w:val="21"/>
        </w:rPr>
        <w:t>1.1.3.3 永久工程：是指按合同约定建造并移交给发包人的工程，包括工程设备。</w:t>
      </w:r>
    </w:p>
    <w:p>
      <w:pPr>
        <w:pStyle w:val="687"/>
        <w:numPr>
          <w:ilvl w:val="0"/>
          <w:numId w:val="0"/>
        </w:numPr>
        <w:spacing w:line="400" w:lineRule="exact"/>
        <w:rPr>
          <w:rFonts w:hint="eastAsia" w:cs="宋体"/>
          <w:sz w:val="21"/>
        </w:rPr>
      </w:pPr>
      <w:r>
        <w:rPr>
          <w:rFonts w:hint="eastAsia" w:cs="宋体"/>
          <w:sz w:val="21"/>
        </w:rPr>
        <w:t>1.1.3.4 临时工程：是指为完成合同约定的永久工程所修建的各类临时性工程，不包括施工设备。</w:t>
      </w:r>
    </w:p>
    <w:p>
      <w:pPr>
        <w:pStyle w:val="687"/>
        <w:numPr>
          <w:ilvl w:val="0"/>
          <w:numId w:val="0"/>
        </w:numPr>
        <w:spacing w:line="400" w:lineRule="exact"/>
        <w:rPr>
          <w:rFonts w:hint="eastAsia" w:cs="宋体"/>
          <w:sz w:val="21"/>
        </w:rPr>
      </w:pPr>
      <w:bookmarkStart w:id="848" w:name="_Ref4419825"/>
      <w:r>
        <w:rPr>
          <w:rFonts w:hint="eastAsia" w:cs="宋体"/>
          <w:sz w:val="21"/>
        </w:rPr>
        <w:t>1.1.3.5 单位/区段工程：是指在专用合同条件中指明特定范围的，能单独接收并使用的永久工程。</w:t>
      </w:r>
      <w:bookmarkEnd w:id="848"/>
    </w:p>
    <w:p>
      <w:pPr>
        <w:pStyle w:val="687"/>
        <w:numPr>
          <w:ilvl w:val="0"/>
          <w:numId w:val="0"/>
        </w:numPr>
        <w:spacing w:line="400" w:lineRule="exact"/>
        <w:rPr>
          <w:rFonts w:hint="eastAsia" w:cs="宋体"/>
          <w:sz w:val="21"/>
        </w:rPr>
      </w:pPr>
      <w:r>
        <w:rPr>
          <w:rFonts w:hint="eastAsia" w:cs="宋体"/>
          <w:sz w:val="21"/>
        </w:rPr>
        <w:t>1.1.3.6 工程设备：指构成永久工程的机电设备、仪器装置、运载工具及其他类似的设备和装置，包括其配件及备品、备件、易损易耗件等。</w:t>
      </w:r>
    </w:p>
    <w:p>
      <w:pPr>
        <w:pStyle w:val="687"/>
        <w:numPr>
          <w:ilvl w:val="0"/>
          <w:numId w:val="0"/>
        </w:numPr>
        <w:spacing w:line="400" w:lineRule="exact"/>
        <w:rPr>
          <w:rFonts w:hint="eastAsia" w:cs="宋体"/>
          <w:sz w:val="21"/>
        </w:rPr>
      </w:pPr>
      <w:r>
        <w:rPr>
          <w:rFonts w:hint="eastAsia" w:cs="宋体"/>
          <w:sz w:val="21"/>
        </w:rPr>
        <w:t>1.1.3.7 施工设备：指为完成合同约定的各项工作所需的设备、器具和其他物品，不包括工程设备、临时工程和材料。</w:t>
      </w:r>
    </w:p>
    <w:p>
      <w:pPr>
        <w:pStyle w:val="687"/>
        <w:numPr>
          <w:ilvl w:val="0"/>
          <w:numId w:val="0"/>
        </w:numPr>
        <w:spacing w:line="400" w:lineRule="exact"/>
        <w:rPr>
          <w:rFonts w:hint="eastAsia" w:cs="宋体"/>
          <w:sz w:val="21"/>
        </w:rPr>
      </w:pPr>
      <w:r>
        <w:rPr>
          <w:rFonts w:hint="eastAsia" w:cs="宋体"/>
          <w:sz w:val="21"/>
        </w:rPr>
        <w:t>1.1.3.8 临时设施：指为完成合同约定的各项工作所服务的临时性生产和生活设施。</w:t>
      </w:r>
    </w:p>
    <w:p>
      <w:pPr>
        <w:pStyle w:val="687"/>
        <w:numPr>
          <w:ilvl w:val="0"/>
          <w:numId w:val="0"/>
        </w:numPr>
        <w:spacing w:line="400" w:lineRule="exact"/>
        <w:rPr>
          <w:rFonts w:hint="eastAsia" w:cs="宋体"/>
          <w:sz w:val="21"/>
        </w:rPr>
      </w:pPr>
      <w:bookmarkStart w:id="849" w:name="_Ref4420577"/>
      <w:r>
        <w:rPr>
          <w:rFonts w:hint="eastAsia" w:cs="宋体"/>
          <w:sz w:val="21"/>
        </w:rPr>
        <w:t>1.1.3.9 施工现场：是指用于工程施工的场所，以及在专用合同条件中指明作为施工场所组成部分的其他场所，包括永久占地和临时占地。</w:t>
      </w:r>
      <w:bookmarkEnd w:id="849"/>
    </w:p>
    <w:p>
      <w:pPr>
        <w:pStyle w:val="687"/>
        <w:numPr>
          <w:ilvl w:val="0"/>
          <w:numId w:val="0"/>
        </w:numPr>
        <w:spacing w:line="400" w:lineRule="exact"/>
        <w:rPr>
          <w:rFonts w:hint="eastAsia" w:cs="宋体"/>
          <w:sz w:val="21"/>
        </w:rPr>
      </w:pPr>
      <w:bookmarkStart w:id="850" w:name="_Ref4420746"/>
      <w:r>
        <w:rPr>
          <w:rFonts w:hint="eastAsia" w:cs="宋体"/>
          <w:sz w:val="21"/>
        </w:rPr>
        <w:t>1.1.3.10 永久占地：是指专用合同条件中指明为实施工程需永久占用的土地。</w:t>
      </w:r>
      <w:bookmarkEnd w:id="850"/>
    </w:p>
    <w:p>
      <w:pPr>
        <w:pStyle w:val="687"/>
        <w:numPr>
          <w:ilvl w:val="0"/>
          <w:numId w:val="0"/>
        </w:numPr>
        <w:spacing w:line="400" w:lineRule="exact"/>
        <w:rPr>
          <w:rFonts w:hint="eastAsia" w:cs="宋体"/>
          <w:sz w:val="21"/>
        </w:rPr>
      </w:pPr>
      <w:bookmarkStart w:id="851" w:name="_Ref4420821"/>
      <w:r>
        <w:rPr>
          <w:rFonts w:hint="eastAsia" w:cs="宋体"/>
          <w:sz w:val="21"/>
        </w:rPr>
        <w:t>1.1.3.11 临时占地：是指专用合同条件中指明为实施工程需临时占用的土地。</w:t>
      </w:r>
      <w:bookmarkEnd w:id="851"/>
    </w:p>
    <w:p>
      <w:pPr>
        <w:pStyle w:val="686"/>
        <w:numPr>
          <w:ilvl w:val="0"/>
          <w:numId w:val="0"/>
        </w:numPr>
        <w:spacing w:line="400" w:lineRule="exact"/>
        <w:rPr>
          <w:rFonts w:hint="eastAsia" w:cs="宋体"/>
          <w:sz w:val="21"/>
        </w:rPr>
      </w:pPr>
      <w:r>
        <w:rPr>
          <w:rFonts w:hint="eastAsia" w:cs="宋体"/>
          <w:sz w:val="21"/>
        </w:rPr>
        <w:t>1.1.4 日期和期限</w:t>
      </w:r>
    </w:p>
    <w:p>
      <w:pPr>
        <w:pStyle w:val="687"/>
        <w:numPr>
          <w:ilvl w:val="0"/>
          <w:numId w:val="0"/>
        </w:numPr>
        <w:spacing w:line="400" w:lineRule="exact"/>
        <w:rPr>
          <w:rFonts w:hint="eastAsia" w:cs="宋体"/>
          <w:sz w:val="21"/>
        </w:rPr>
      </w:pPr>
      <w:r>
        <w:rPr>
          <w:rFonts w:hint="eastAsia" w:cs="宋体"/>
          <w:sz w:val="21"/>
        </w:rPr>
        <w:t>1.1.4.1 开始工作通知：指工程师按第8.1.2项[开始工作通知]的约定通知承包人开始工作的函件。</w:t>
      </w:r>
    </w:p>
    <w:p>
      <w:pPr>
        <w:pStyle w:val="687"/>
        <w:numPr>
          <w:ilvl w:val="0"/>
          <w:numId w:val="0"/>
        </w:numPr>
        <w:spacing w:line="400" w:lineRule="exact"/>
        <w:rPr>
          <w:rFonts w:hint="eastAsia" w:cs="宋体"/>
          <w:sz w:val="21"/>
        </w:rPr>
      </w:pPr>
      <w:r>
        <w:rPr>
          <w:rFonts w:hint="eastAsia" w:cs="宋体"/>
          <w:sz w:val="21"/>
        </w:rPr>
        <w:t>1.1.4.2 开始工作日期：包括计划开始工作日期和实际开始工作日期。计划开始工作日期是指合同协议书约定的开始工作日期；实际开始工作日期是指工程师按照第8.1款[开始工作]约定发出的符合法律规定的开始工作通知中载明的开始工作日期。</w:t>
      </w:r>
    </w:p>
    <w:p>
      <w:pPr>
        <w:pStyle w:val="687"/>
        <w:numPr>
          <w:ilvl w:val="0"/>
          <w:numId w:val="0"/>
        </w:numPr>
        <w:spacing w:line="400" w:lineRule="exact"/>
        <w:rPr>
          <w:rFonts w:hint="eastAsia" w:cs="宋体"/>
          <w:sz w:val="21"/>
        </w:rPr>
      </w:pPr>
      <w:r>
        <w:rPr>
          <w:rFonts w:hint="eastAsia" w:cs="宋体"/>
          <w:sz w:val="21"/>
        </w:rPr>
        <w:t>1.1.4.3 开始现场施工日期：包括计划开始现场施工日期和实际开始现场施工日期。计划开始现场施工日期是指合同协议书约定的开始现场施工日期；实际开始现场施工日期是指工程师发出的符合法律规定的开工通知中载明的开始现场施工日期。</w:t>
      </w:r>
    </w:p>
    <w:p>
      <w:pPr>
        <w:pStyle w:val="687"/>
        <w:numPr>
          <w:ilvl w:val="0"/>
          <w:numId w:val="0"/>
        </w:numPr>
        <w:spacing w:line="400" w:lineRule="exact"/>
        <w:rPr>
          <w:rFonts w:hint="eastAsia" w:cs="宋体"/>
          <w:sz w:val="21"/>
        </w:rPr>
      </w:pPr>
      <w:r>
        <w:rPr>
          <w:rFonts w:hint="eastAsia" w:cs="宋体"/>
          <w:sz w:val="21"/>
        </w:rPr>
        <w:t>1.1.4.4 竣工日期：包括计划竣工日期和实际竣工日期。计划竣工日期是指合同协议书约定的竣工日期；实际竣工日期按照第8.2款[竣工日期]的约定确定。</w:t>
      </w:r>
    </w:p>
    <w:p>
      <w:pPr>
        <w:pStyle w:val="687"/>
        <w:numPr>
          <w:ilvl w:val="0"/>
          <w:numId w:val="0"/>
        </w:numPr>
        <w:spacing w:line="400" w:lineRule="exact"/>
        <w:rPr>
          <w:rFonts w:hint="eastAsia" w:cs="宋体"/>
          <w:sz w:val="21"/>
        </w:rPr>
      </w:pPr>
      <w:r>
        <w:rPr>
          <w:rFonts w:hint="eastAsia" w:cs="宋体"/>
          <w:sz w:val="21"/>
        </w:rPr>
        <w:t>1.1.4.5 工期：是指在合同协议书约定的承包人完成合同工作所需的期限，包括按照合同约定所作的期限变更及按合同约定承包人有权取得的工期延长。</w:t>
      </w:r>
    </w:p>
    <w:p>
      <w:pPr>
        <w:pStyle w:val="687"/>
        <w:numPr>
          <w:ilvl w:val="0"/>
          <w:numId w:val="0"/>
        </w:numPr>
        <w:spacing w:line="400" w:lineRule="exact"/>
        <w:rPr>
          <w:rFonts w:hint="eastAsia" w:cs="宋体"/>
          <w:sz w:val="21"/>
        </w:rPr>
      </w:pPr>
      <w:r>
        <w:rPr>
          <w:rFonts w:hint="eastAsia" w:cs="宋体"/>
          <w:sz w:val="21"/>
        </w:rPr>
        <w:t>1.1.4.6 缺陷责任期：是指发包人预留工程质量保证金以保证承包人履行第11.3款[缺陷调查]下质量缺陷责任的期限。</w:t>
      </w:r>
    </w:p>
    <w:p>
      <w:pPr>
        <w:pStyle w:val="687"/>
        <w:numPr>
          <w:ilvl w:val="0"/>
          <w:numId w:val="0"/>
        </w:numPr>
        <w:spacing w:line="400" w:lineRule="exact"/>
        <w:rPr>
          <w:rFonts w:hint="eastAsia" w:cs="宋体"/>
          <w:sz w:val="21"/>
        </w:rPr>
      </w:pPr>
      <w:r>
        <w:rPr>
          <w:rFonts w:hint="eastAsia" w:cs="宋体"/>
          <w:sz w:val="21"/>
        </w:rPr>
        <w:t>1.1.4.7 保修期：是指承包人按照合同约定和法律规定对工程质量承担保修责任的期限，该期限自缺陷责任期起算之日起计算。</w:t>
      </w:r>
    </w:p>
    <w:p>
      <w:pPr>
        <w:pStyle w:val="687"/>
        <w:numPr>
          <w:ilvl w:val="0"/>
          <w:numId w:val="0"/>
        </w:numPr>
        <w:spacing w:line="400" w:lineRule="exact"/>
        <w:rPr>
          <w:rFonts w:hint="eastAsia" w:cs="宋体"/>
          <w:sz w:val="21"/>
        </w:rPr>
      </w:pPr>
      <w:r>
        <w:rPr>
          <w:rFonts w:hint="eastAsia" w:cs="宋体"/>
          <w:sz w:val="21"/>
        </w:rPr>
        <w:t>1.1.4.8 基准日期：招标发包的工程以投标截止日前28天的日期为基准日期，直接发包的工程以合同订立日前28天的日期为基准日期。</w:t>
      </w:r>
    </w:p>
    <w:p>
      <w:pPr>
        <w:pStyle w:val="687"/>
        <w:numPr>
          <w:ilvl w:val="0"/>
          <w:numId w:val="0"/>
        </w:numPr>
        <w:spacing w:line="400" w:lineRule="exact"/>
        <w:rPr>
          <w:rFonts w:hint="eastAsia" w:cs="宋体"/>
          <w:sz w:val="21"/>
        </w:rPr>
      </w:pPr>
      <w:r>
        <w:rPr>
          <w:rFonts w:hint="eastAsia" w:cs="宋体"/>
          <w:sz w:val="21"/>
        </w:rPr>
        <w:t>1.1.4.9 天：除特别指明外，均指日历天。合同中按天计算时间的，开始当天不计入，从次日开始计算。期限最后一天的截止时间为当天24:00。</w:t>
      </w:r>
    </w:p>
    <w:p>
      <w:pPr>
        <w:pStyle w:val="687"/>
        <w:numPr>
          <w:ilvl w:val="0"/>
          <w:numId w:val="0"/>
        </w:numPr>
        <w:spacing w:line="400" w:lineRule="exact"/>
        <w:rPr>
          <w:rFonts w:hint="eastAsia" w:cs="宋体"/>
          <w:sz w:val="21"/>
        </w:rPr>
      </w:pPr>
      <w:r>
        <w:rPr>
          <w:rFonts w:hint="eastAsia" w:cs="宋体"/>
          <w:sz w:val="21"/>
        </w:rPr>
        <w:t>1.1.4.10 竣工试验：是指在工程竣工验收前，根据第9条[竣工试验]要求进行的试验。</w:t>
      </w:r>
    </w:p>
    <w:p>
      <w:pPr>
        <w:pStyle w:val="687"/>
        <w:numPr>
          <w:ilvl w:val="0"/>
          <w:numId w:val="0"/>
        </w:numPr>
        <w:spacing w:line="400" w:lineRule="exact"/>
        <w:rPr>
          <w:rFonts w:hint="eastAsia" w:cs="宋体"/>
          <w:sz w:val="21"/>
        </w:rPr>
      </w:pPr>
      <w:r>
        <w:rPr>
          <w:rFonts w:hint="eastAsia" w:cs="宋体"/>
          <w:sz w:val="21"/>
        </w:rPr>
        <w:t>1.1.4.11 竣工验收：是指承包人完成了合同约定的各项内容后，发包人按合同要求进行的验收。</w:t>
      </w:r>
    </w:p>
    <w:p>
      <w:pPr>
        <w:pStyle w:val="687"/>
        <w:numPr>
          <w:ilvl w:val="0"/>
          <w:numId w:val="0"/>
        </w:numPr>
        <w:spacing w:line="400" w:lineRule="exact"/>
        <w:rPr>
          <w:rFonts w:hint="eastAsia" w:cs="宋体"/>
          <w:sz w:val="21"/>
        </w:rPr>
      </w:pPr>
      <w:r>
        <w:rPr>
          <w:rFonts w:hint="eastAsia" w:cs="宋体"/>
          <w:sz w:val="21"/>
        </w:rPr>
        <w:t>1.1.4.12 竣工后试验：是指在工程竣工验收后，根据第12条[竣工后试验]约定进行的试验。</w:t>
      </w:r>
    </w:p>
    <w:p>
      <w:pPr>
        <w:pStyle w:val="686"/>
        <w:numPr>
          <w:ilvl w:val="0"/>
          <w:numId w:val="0"/>
        </w:numPr>
        <w:spacing w:line="400" w:lineRule="exact"/>
        <w:rPr>
          <w:rFonts w:hint="eastAsia" w:cs="宋体"/>
          <w:sz w:val="21"/>
        </w:rPr>
      </w:pPr>
      <w:r>
        <w:rPr>
          <w:rFonts w:hint="eastAsia" w:cs="宋体"/>
          <w:sz w:val="21"/>
        </w:rPr>
        <w:t>1.1.5 合同价格和费用</w:t>
      </w:r>
    </w:p>
    <w:p>
      <w:pPr>
        <w:pStyle w:val="687"/>
        <w:numPr>
          <w:ilvl w:val="0"/>
          <w:numId w:val="0"/>
        </w:numPr>
        <w:spacing w:line="400" w:lineRule="exact"/>
        <w:rPr>
          <w:rFonts w:hint="eastAsia" w:cs="宋体"/>
          <w:sz w:val="21"/>
        </w:rPr>
      </w:pPr>
      <w:r>
        <w:rPr>
          <w:rFonts w:hint="eastAsia" w:cs="宋体"/>
          <w:sz w:val="21"/>
        </w:rPr>
        <w:t>1.1.5.1 签约合同价：是指发包人和承包人在合同协议书中确定的总金额，包括暂估价及暂列金额等。</w:t>
      </w:r>
    </w:p>
    <w:p>
      <w:pPr>
        <w:pStyle w:val="687"/>
        <w:numPr>
          <w:ilvl w:val="0"/>
          <w:numId w:val="0"/>
        </w:numPr>
        <w:spacing w:line="400" w:lineRule="exact"/>
        <w:rPr>
          <w:rFonts w:hint="eastAsia" w:cs="宋体"/>
          <w:sz w:val="21"/>
        </w:rPr>
      </w:pPr>
      <w:r>
        <w:rPr>
          <w:rFonts w:hint="eastAsia" w:cs="宋体"/>
          <w:sz w:val="21"/>
        </w:rPr>
        <w:t>1.1.5.2 合同价格：是指发包人用于支付承包人按照合同约定完成承包范围内全部工作的金额，包括合同履行过程中按合同约定发生的价格变化。</w:t>
      </w:r>
    </w:p>
    <w:p>
      <w:pPr>
        <w:pStyle w:val="687"/>
        <w:numPr>
          <w:ilvl w:val="0"/>
          <w:numId w:val="0"/>
        </w:numPr>
        <w:spacing w:line="400" w:lineRule="exact"/>
        <w:rPr>
          <w:rFonts w:hint="eastAsia" w:cs="宋体"/>
          <w:sz w:val="21"/>
        </w:rPr>
      </w:pPr>
      <w:r>
        <w:rPr>
          <w:rFonts w:hint="eastAsia" w:cs="宋体"/>
          <w:sz w:val="21"/>
        </w:rPr>
        <w:t>1.1.5.3 费用：是指为履行合同所发生的或将要发生的所有合理开支，包括管理费和应分摊的其他费用，但不包括利润。</w:t>
      </w:r>
    </w:p>
    <w:p>
      <w:pPr>
        <w:pStyle w:val="687"/>
        <w:numPr>
          <w:ilvl w:val="0"/>
          <w:numId w:val="0"/>
        </w:numPr>
        <w:spacing w:line="400" w:lineRule="exact"/>
        <w:rPr>
          <w:rFonts w:hint="eastAsia" w:cs="宋体"/>
          <w:sz w:val="21"/>
        </w:rPr>
      </w:pPr>
      <w:r>
        <w:rPr>
          <w:rFonts w:hint="eastAsia" w:cs="宋体"/>
          <w:sz w:val="21"/>
        </w:rPr>
        <w:t>1.1.5.4 人工费：是指支付给直接从事建筑安装工程施工作业的建筑工人的各项费用。</w:t>
      </w:r>
    </w:p>
    <w:p>
      <w:pPr>
        <w:pStyle w:val="687"/>
        <w:numPr>
          <w:ilvl w:val="0"/>
          <w:numId w:val="0"/>
        </w:numPr>
        <w:spacing w:line="400" w:lineRule="exact"/>
        <w:rPr>
          <w:rFonts w:hint="eastAsia" w:cs="宋体"/>
          <w:sz w:val="21"/>
        </w:rPr>
      </w:pPr>
      <w:r>
        <w:rPr>
          <w:rFonts w:hint="eastAsia" w:cs="宋体"/>
          <w:sz w:val="21"/>
        </w:rPr>
        <w:t>1.1.5.5 暂估价：</w:t>
      </w:r>
      <w:bookmarkStart w:id="852" w:name="_Hlk18973781"/>
      <w:r>
        <w:rPr>
          <w:rFonts w:hint="eastAsia" w:cs="宋体"/>
          <w:sz w:val="21"/>
        </w:rPr>
        <w:t>是指发包人给定的，用于支付必然发生但暂时不能确定价格的专业服务、材料、设备、专业工程的金额。</w:t>
      </w:r>
      <w:bookmarkEnd w:id="852"/>
    </w:p>
    <w:p>
      <w:pPr>
        <w:pStyle w:val="687"/>
        <w:numPr>
          <w:ilvl w:val="0"/>
          <w:numId w:val="0"/>
        </w:numPr>
        <w:spacing w:line="400" w:lineRule="exact"/>
        <w:rPr>
          <w:rFonts w:hint="eastAsia" w:cs="宋体"/>
          <w:sz w:val="21"/>
        </w:rPr>
      </w:pPr>
      <w:r>
        <w:rPr>
          <w:rFonts w:hint="eastAsia" w:cs="宋体"/>
          <w:sz w:val="21"/>
        </w:rPr>
        <w:t>1.1.5.6 暂列金额：是指发包人给定的，用于在订立协议书时尚未确定或不可预见所需的材料、工程设备、服务等的采购，施工中可能发生的工程变更、合同约定调整因素出现时的合同价款调整以及发生的索赔、现场签证等确认的费用。</w:t>
      </w:r>
    </w:p>
    <w:p>
      <w:pPr>
        <w:pStyle w:val="687"/>
        <w:numPr>
          <w:ilvl w:val="0"/>
          <w:numId w:val="0"/>
        </w:numPr>
        <w:spacing w:line="400" w:lineRule="exact"/>
        <w:rPr>
          <w:rFonts w:hint="eastAsia" w:cs="宋体"/>
          <w:sz w:val="21"/>
        </w:rPr>
      </w:pPr>
      <w:r>
        <w:rPr>
          <w:rFonts w:hint="eastAsia" w:cs="宋体"/>
          <w:sz w:val="21"/>
        </w:rPr>
        <w:t>1.1.5.7 计日工：是指合同履行过程中，承包人完成发包人提出的零星工作或需要采用计日工计价的变更工作时，按合同中约定的单价计价的一种方式。</w:t>
      </w:r>
    </w:p>
    <w:p>
      <w:pPr>
        <w:pStyle w:val="687"/>
        <w:numPr>
          <w:ilvl w:val="0"/>
          <w:numId w:val="0"/>
        </w:numPr>
        <w:spacing w:line="400" w:lineRule="exact"/>
        <w:rPr>
          <w:rFonts w:hint="eastAsia" w:cs="宋体"/>
          <w:sz w:val="21"/>
        </w:rPr>
      </w:pPr>
      <w:r>
        <w:rPr>
          <w:rFonts w:hint="eastAsia" w:cs="宋体"/>
          <w:sz w:val="21"/>
        </w:rPr>
        <w:t>1.1.5.8 质量保证金：是指按第14.6款[质量保证金]约定承包人用于保证其在缺陷责任期内履行缺陷修复义务的担保。</w:t>
      </w:r>
    </w:p>
    <w:p>
      <w:pPr>
        <w:pStyle w:val="686"/>
        <w:numPr>
          <w:ilvl w:val="0"/>
          <w:numId w:val="0"/>
        </w:numPr>
        <w:spacing w:line="400" w:lineRule="exact"/>
        <w:rPr>
          <w:rFonts w:hint="eastAsia" w:cs="宋体"/>
          <w:sz w:val="21"/>
        </w:rPr>
      </w:pPr>
      <w:r>
        <w:rPr>
          <w:rFonts w:hint="eastAsia" w:cs="宋体"/>
          <w:sz w:val="21"/>
        </w:rPr>
        <w:t>1.1.6 其他</w:t>
      </w:r>
    </w:p>
    <w:p>
      <w:pPr>
        <w:pStyle w:val="687"/>
        <w:numPr>
          <w:ilvl w:val="0"/>
          <w:numId w:val="0"/>
        </w:numPr>
        <w:spacing w:line="400" w:lineRule="exact"/>
        <w:rPr>
          <w:rFonts w:hint="eastAsia" w:cs="宋体"/>
          <w:sz w:val="21"/>
        </w:rPr>
      </w:pPr>
      <w:r>
        <w:rPr>
          <w:rFonts w:hint="eastAsia" w:cs="宋体"/>
          <w:sz w:val="21"/>
        </w:rPr>
        <w:t>1.1.6.1 书面形式：指合同文件、信函、电报、传真、数据电文、电子邮件、会议纪要等可以有形地表现所载内容的形式。</w:t>
      </w:r>
    </w:p>
    <w:p>
      <w:pPr>
        <w:pStyle w:val="687"/>
        <w:numPr>
          <w:ilvl w:val="0"/>
          <w:numId w:val="0"/>
        </w:numPr>
        <w:spacing w:line="400" w:lineRule="exact"/>
        <w:rPr>
          <w:rFonts w:hint="eastAsia" w:cs="宋体"/>
          <w:sz w:val="21"/>
        </w:rPr>
      </w:pPr>
      <w:r>
        <w:rPr>
          <w:rFonts w:hint="eastAsia" w:cs="宋体"/>
          <w:sz w:val="21"/>
        </w:rPr>
        <w:t>1.1.6.2 承包人文件：指由承包人根据合同约定应提交的所有图纸、手册、模型、计算书、软件、函件、洽商性文件和其他技术性文件。</w:t>
      </w:r>
    </w:p>
    <w:p>
      <w:pPr>
        <w:pStyle w:val="687"/>
        <w:numPr>
          <w:ilvl w:val="0"/>
          <w:numId w:val="0"/>
        </w:numPr>
        <w:spacing w:line="400" w:lineRule="exact"/>
        <w:rPr>
          <w:rFonts w:hint="eastAsia" w:cs="宋体"/>
          <w:sz w:val="21"/>
        </w:rPr>
      </w:pPr>
      <w:r>
        <w:rPr>
          <w:rFonts w:hint="eastAsia" w:cs="宋体"/>
          <w:sz w:val="21"/>
        </w:rPr>
        <w:t>1.1.6.3 变更：指根据第13条[变更与调整]的约定，经指示或批准对《发包人要求》或工程所做的改变。</w:t>
      </w:r>
    </w:p>
    <w:bookmarkEnd w:id="842"/>
    <w:p>
      <w:pPr>
        <w:pStyle w:val="685"/>
        <w:widowControl/>
        <w:numPr>
          <w:ilvl w:val="0"/>
          <w:numId w:val="0"/>
        </w:numPr>
        <w:spacing w:line="400" w:lineRule="exact"/>
        <w:rPr>
          <w:rFonts w:hint="eastAsia" w:ascii="宋体" w:hAnsi="宋体" w:eastAsia="宋体" w:cs="宋体"/>
          <w:b w:val="0"/>
          <w:bCs/>
          <w:sz w:val="21"/>
          <w:szCs w:val="21"/>
        </w:rPr>
      </w:pPr>
      <w:bookmarkStart w:id="853" w:name="_Ref509042101"/>
      <w:bookmarkStart w:id="854" w:name="_Ref509042104"/>
      <w:bookmarkStart w:id="855" w:name="_Toc54862179"/>
      <w:bookmarkStart w:id="856" w:name="_Toc59203081"/>
      <w:bookmarkStart w:id="857" w:name="_Ref522730353"/>
      <w:bookmarkStart w:id="858" w:name="_Ref522730349"/>
      <w:r>
        <w:rPr>
          <w:rFonts w:hint="eastAsia" w:ascii="宋体" w:hAnsi="宋体" w:eastAsia="宋体" w:cs="宋体"/>
          <w:b w:val="0"/>
          <w:bCs/>
          <w:sz w:val="21"/>
          <w:szCs w:val="21"/>
        </w:rPr>
        <w:t>1.2 语言文字</w:t>
      </w:r>
      <w:bookmarkEnd w:id="853"/>
      <w:bookmarkEnd w:id="854"/>
      <w:bookmarkEnd w:id="855"/>
      <w:bookmarkEnd w:id="856"/>
    </w:p>
    <w:p>
      <w:pPr>
        <w:spacing w:line="400" w:lineRule="exact"/>
        <w:ind w:firstLine="600"/>
        <w:rPr>
          <w:rFonts w:hint="eastAsia" w:ascii="宋体" w:hAnsi="宋体" w:cs="宋体"/>
          <w:szCs w:val="21"/>
        </w:rPr>
      </w:pPr>
      <w:r>
        <w:rPr>
          <w:rFonts w:hint="eastAsia" w:ascii="宋体" w:hAnsi="宋体" w:cs="宋体"/>
          <w:szCs w:val="21"/>
        </w:rPr>
        <w:t>合同文件以中国的汉语简体语言文字编写、解释和说明。专用术语使用外文的，应附有中文注释。合同当事人在专用合同条件约定使用两种及以上语言时，汉语为优先解释和说明合同的语言。</w:t>
      </w:r>
    </w:p>
    <w:p>
      <w:pPr>
        <w:spacing w:line="400" w:lineRule="exact"/>
        <w:ind w:firstLine="600"/>
        <w:rPr>
          <w:rFonts w:hint="eastAsia" w:ascii="宋体" w:hAnsi="宋体" w:cs="宋体"/>
          <w:szCs w:val="21"/>
        </w:rPr>
      </w:pPr>
      <w:r>
        <w:rPr>
          <w:rFonts w:hint="eastAsia" w:ascii="宋体" w:hAnsi="宋体" w:cs="宋体"/>
          <w:szCs w:val="21"/>
        </w:rPr>
        <w:t>与合同有关的联络应使用专用合同条件约定的语言。如没有约定，则应使用中国的汉语简体语言文字。</w:t>
      </w:r>
    </w:p>
    <w:p>
      <w:pPr>
        <w:pStyle w:val="685"/>
        <w:widowControl/>
        <w:numPr>
          <w:ilvl w:val="0"/>
          <w:numId w:val="0"/>
        </w:numPr>
        <w:spacing w:line="400" w:lineRule="exact"/>
        <w:rPr>
          <w:rFonts w:hint="eastAsia" w:ascii="宋体" w:hAnsi="宋体" w:eastAsia="宋体" w:cs="宋体"/>
          <w:b w:val="0"/>
          <w:bCs/>
          <w:sz w:val="21"/>
          <w:szCs w:val="21"/>
        </w:rPr>
      </w:pPr>
      <w:bookmarkStart w:id="859" w:name="_Ref531949539"/>
      <w:bookmarkStart w:id="860" w:name="_Toc59203082"/>
      <w:bookmarkStart w:id="861" w:name="_Toc54862180"/>
      <w:bookmarkStart w:id="862" w:name="_Ref531949543"/>
      <w:r>
        <w:rPr>
          <w:rFonts w:hint="eastAsia" w:ascii="宋体" w:hAnsi="宋体" w:eastAsia="宋体" w:cs="宋体"/>
          <w:b w:val="0"/>
          <w:bCs/>
          <w:sz w:val="21"/>
          <w:szCs w:val="21"/>
        </w:rPr>
        <w:t>1.3 法律</w:t>
      </w:r>
      <w:bookmarkEnd w:id="859"/>
      <w:bookmarkEnd w:id="860"/>
      <w:bookmarkEnd w:id="861"/>
      <w:bookmarkEnd w:id="862"/>
    </w:p>
    <w:p>
      <w:pPr>
        <w:spacing w:line="400" w:lineRule="exact"/>
        <w:ind w:firstLine="600"/>
        <w:rPr>
          <w:rFonts w:hint="eastAsia" w:ascii="宋体" w:hAnsi="宋体" w:cs="宋体"/>
          <w:szCs w:val="21"/>
        </w:rPr>
      </w:pPr>
      <w:r>
        <w:rPr>
          <w:rFonts w:hint="eastAsia" w:ascii="宋体" w:hAnsi="宋体" w:cs="宋体"/>
          <w:szCs w:val="21"/>
        </w:rPr>
        <w:t>合同所称法律是指中华人民共和国法律、行政法规、部门规章，以及工程所在地的地方法规、自治条例、单行条例和地方政府规章等。</w:t>
      </w:r>
    </w:p>
    <w:p>
      <w:pPr>
        <w:spacing w:line="400" w:lineRule="exact"/>
        <w:ind w:firstLine="600"/>
        <w:rPr>
          <w:rFonts w:hint="eastAsia" w:ascii="宋体" w:hAnsi="宋体" w:cs="宋体"/>
          <w:szCs w:val="21"/>
        </w:rPr>
      </w:pPr>
      <w:r>
        <w:rPr>
          <w:rFonts w:hint="eastAsia" w:ascii="宋体" w:hAnsi="宋体" w:cs="宋体"/>
          <w:szCs w:val="21"/>
        </w:rPr>
        <w:t>合同当事人可以在专用合同条件中约定合同适用的其他规范性文件。</w:t>
      </w:r>
    </w:p>
    <w:p>
      <w:pPr>
        <w:pStyle w:val="685"/>
        <w:widowControl/>
        <w:numPr>
          <w:ilvl w:val="0"/>
          <w:numId w:val="0"/>
        </w:numPr>
        <w:spacing w:line="400" w:lineRule="exact"/>
        <w:rPr>
          <w:rFonts w:hint="eastAsia" w:ascii="宋体" w:hAnsi="宋体" w:eastAsia="宋体" w:cs="宋体"/>
          <w:b w:val="0"/>
          <w:bCs/>
          <w:sz w:val="21"/>
          <w:szCs w:val="21"/>
        </w:rPr>
      </w:pPr>
      <w:bookmarkStart w:id="863" w:name="_Toc59203083"/>
      <w:bookmarkStart w:id="864" w:name="_Ref531949589"/>
      <w:bookmarkStart w:id="865" w:name="_Ref531949594"/>
      <w:bookmarkStart w:id="866" w:name="_Toc54862181"/>
      <w:r>
        <w:rPr>
          <w:rFonts w:hint="eastAsia" w:ascii="宋体" w:hAnsi="宋体" w:eastAsia="宋体" w:cs="宋体"/>
          <w:b w:val="0"/>
          <w:bCs/>
          <w:sz w:val="21"/>
          <w:szCs w:val="21"/>
        </w:rPr>
        <w:t>1.4 标准和规范</w:t>
      </w:r>
      <w:bookmarkEnd w:id="863"/>
      <w:bookmarkEnd w:id="864"/>
      <w:bookmarkEnd w:id="865"/>
      <w:bookmarkEnd w:id="866"/>
    </w:p>
    <w:p>
      <w:pPr>
        <w:pStyle w:val="686"/>
        <w:numPr>
          <w:ilvl w:val="0"/>
          <w:numId w:val="0"/>
        </w:numPr>
        <w:spacing w:line="400" w:lineRule="exact"/>
        <w:rPr>
          <w:rFonts w:hint="eastAsia" w:cs="宋体"/>
          <w:sz w:val="21"/>
        </w:rPr>
      </w:pPr>
      <w:bookmarkStart w:id="867" w:name="_Ref4420991"/>
      <w:r>
        <w:rPr>
          <w:rFonts w:hint="eastAsia" w:cs="宋体"/>
          <w:sz w:val="21"/>
        </w:rPr>
        <w:t>1.4.1 适用于工程的国家标准、行业标准、工程所在地的地方性标准，以及相应的规范、规程等，合同当事人有特别要求的，应在专用合同条件中约定。</w:t>
      </w:r>
      <w:bookmarkEnd w:id="867"/>
    </w:p>
    <w:p>
      <w:pPr>
        <w:pStyle w:val="686"/>
        <w:numPr>
          <w:ilvl w:val="0"/>
          <w:numId w:val="0"/>
        </w:numPr>
        <w:spacing w:line="400" w:lineRule="exact"/>
        <w:rPr>
          <w:rFonts w:hint="eastAsia" w:cs="宋体"/>
          <w:sz w:val="21"/>
        </w:rPr>
      </w:pPr>
      <w:bookmarkStart w:id="868" w:name="_Ref531949642"/>
      <w:r>
        <w:rPr>
          <w:rFonts w:hint="eastAsia" w:cs="宋体"/>
          <w:sz w:val="21"/>
        </w:rPr>
        <w:t>1.4.2 发包人要求使用国外标准、规范的，发包人负责提供原文版本和中文译本，并在专用合同条件中约定提供标准规范的名称、份数和时间。</w:t>
      </w:r>
      <w:bookmarkEnd w:id="868"/>
    </w:p>
    <w:p>
      <w:pPr>
        <w:pStyle w:val="686"/>
        <w:numPr>
          <w:ilvl w:val="0"/>
          <w:numId w:val="0"/>
        </w:numPr>
        <w:spacing w:line="400" w:lineRule="exact"/>
        <w:rPr>
          <w:rFonts w:hint="eastAsia" w:cs="宋体"/>
          <w:sz w:val="21"/>
        </w:rPr>
      </w:pPr>
      <w:bookmarkStart w:id="869" w:name="_Ref531949657"/>
      <w:r>
        <w:rPr>
          <w:rFonts w:hint="eastAsia" w:cs="宋体"/>
          <w:sz w:val="21"/>
        </w:rPr>
        <w:t>1.4.3 没有相应成文规定的标准、规范时，由发包人在专用合同条件中约定的时间向承包人列明技术要求，承包人按约定的时间和技术要求提出实施方法，经发包人认可后执行。承包人需要对实施方法进行研发试验的，或须对项目人员进行特殊培训及其有特殊要求的，除签约合同价已包含此项费用外，双方应另行订立协议作为合同附件，其费用由发包人承担。</w:t>
      </w:r>
      <w:bookmarkEnd w:id="869"/>
    </w:p>
    <w:p>
      <w:pPr>
        <w:pStyle w:val="686"/>
        <w:numPr>
          <w:ilvl w:val="0"/>
          <w:numId w:val="0"/>
        </w:numPr>
        <w:spacing w:line="400" w:lineRule="exact"/>
        <w:rPr>
          <w:rFonts w:hint="eastAsia" w:cs="宋体"/>
          <w:sz w:val="21"/>
        </w:rPr>
      </w:pPr>
      <w:bookmarkStart w:id="870" w:name="_Ref4421272"/>
      <w:r>
        <w:rPr>
          <w:rFonts w:hint="eastAsia" w:cs="宋体"/>
          <w:sz w:val="21"/>
        </w:rPr>
        <w:t>1.4.4 发包人对于工程的技术标准、功能要求高于或严于现行国家、行业或地方标准的，应当在《发包人要求》中予以明确。除专用合同条件另有约定外，应视为承包人在订立合同前已充分预见前述技术标准和功能要求的复杂程度，签约合同价中已包含由此产生的费用。</w:t>
      </w:r>
      <w:bookmarkEnd w:id="870"/>
    </w:p>
    <w:p>
      <w:pPr>
        <w:pStyle w:val="685"/>
        <w:widowControl/>
        <w:numPr>
          <w:ilvl w:val="0"/>
          <w:numId w:val="0"/>
        </w:numPr>
        <w:spacing w:line="400" w:lineRule="exact"/>
        <w:rPr>
          <w:rFonts w:hint="eastAsia" w:ascii="宋体" w:hAnsi="宋体" w:eastAsia="宋体" w:cs="宋体"/>
          <w:b w:val="0"/>
          <w:bCs/>
          <w:sz w:val="21"/>
          <w:szCs w:val="21"/>
        </w:rPr>
      </w:pPr>
      <w:bookmarkStart w:id="871" w:name="_Toc54862182"/>
      <w:bookmarkStart w:id="872" w:name="_Ref4421717"/>
      <w:bookmarkStart w:id="873" w:name="_Toc59203084"/>
      <w:r>
        <w:rPr>
          <w:rFonts w:hint="eastAsia" w:ascii="宋体" w:hAnsi="宋体" w:eastAsia="宋体" w:cs="宋体"/>
          <w:b w:val="0"/>
          <w:bCs/>
          <w:sz w:val="21"/>
          <w:szCs w:val="21"/>
        </w:rPr>
        <w:t>1.5 合同文件的优先顺序</w:t>
      </w:r>
      <w:bookmarkEnd w:id="857"/>
      <w:bookmarkEnd w:id="858"/>
      <w:bookmarkEnd w:id="871"/>
      <w:bookmarkEnd w:id="872"/>
      <w:bookmarkEnd w:id="873"/>
    </w:p>
    <w:p>
      <w:pPr>
        <w:spacing w:line="400" w:lineRule="exact"/>
        <w:ind w:firstLine="600"/>
        <w:rPr>
          <w:rFonts w:hint="eastAsia" w:ascii="宋体" w:hAnsi="宋体" w:cs="宋体"/>
          <w:szCs w:val="21"/>
        </w:rPr>
      </w:pPr>
      <w:bookmarkStart w:id="874" w:name="_Ref531948776"/>
      <w:r>
        <w:rPr>
          <w:rFonts w:hint="eastAsia" w:ascii="宋体" w:hAnsi="宋体" w:cs="宋体"/>
          <w:szCs w:val="21"/>
        </w:rPr>
        <w:t>组成合同的各项文件应互相解释，互为说明。除专用合同条件另有约定外，</w:t>
      </w:r>
      <w:bookmarkEnd w:id="874"/>
      <w:r>
        <w:rPr>
          <w:rFonts w:hint="eastAsia" w:ascii="宋体" w:hAnsi="宋体" w:cs="宋体"/>
          <w:szCs w:val="21"/>
        </w:rPr>
        <w:t>解释合同文件的优先顺序如下：</w:t>
      </w:r>
    </w:p>
    <w:p>
      <w:pPr>
        <w:spacing w:line="400" w:lineRule="exact"/>
        <w:ind w:firstLine="600"/>
        <w:rPr>
          <w:rFonts w:hint="eastAsia" w:ascii="宋体" w:hAnsi="宋体" w:cs="宋体"/>
          <w:szCs w:val="21"/>
        </w:rPr>
      </w:pPr>
      <w:r>
        <w:rPr>
          <w:rFonts w:hint="eastAsia" w:ascii="宋体" w:hAnsi="宋体" w:cs="宋体"/>
          <w:szCs w:val="21"/>
        </w:rPr>
        <w:t>（1） 合同协议书；</w:t>
      </w:r>
    </w:p>
    <w:p>
      <w:pPr>
        <w:spacing w:line="400" w:lineRule="exact"/>
        <w:ind w:firstLine="600"/>
        <w:rPr>
          <w:rFonts w:hint="eastAsia" w:ascii="宋体" w:hAnsi="宋体" w:cs="宋体"/>
          <w:szCs w:val="21"/>
        </w:rPr>
      </w:pPr>
      <w:r>
        <w:rPr>
          <w:rFonts w:hint="eastAsia" w:ascii="宋体" w:hAnsi="宋体" w:cs="宋体"/>
          <w:szCs w:val="21"/>
        </w:rPr>
        <w:t>（2） 中标通知书（如果有）；</w:t>
      </w:r>
    </w:p>
    <w:p>
      <w:pPr>
        <w:spacing w:line="400" w:lineRule="exact"/>
        <w:ind w:firstLine="600"/>
        <w:rPr>
          <w:rFonts w:hint="eastAsia" w:ascii="宋体" w:hAnsi="宋体" w:cs="宋体"/>
          <w:szCs w:val="21"/>
        </w:rPr>
      </w:pPr>
      <w:r>
        <w:rPr>
          <w:rFonts w:hint="eastAsia" w:ascii="宋体" w:hAnsi="宋体" w:cs="宋体"/>
          <w:szCs w:val="21"/>
        </w:rPr>
        <w:t>（3） 投标函及投标函附录（如果有）；</w:t>
      </w:r>
    </w:p>
    <w:p>
      <w:pPr>
        <w:spacing w:line="400" w:lineRule="exact"/>
        <w:ind w:firstLine="600"/>
        <w:rPr>
          <w:rFonts w:hint="eastAsia" w:ascii="宋体" w:hAnsi="宋体" w:cs="宋体"/>
          <w:szCs w:val="21"/>
        </w:rPr>
      </w:pPr>
      <w:r>
        <w:rPr>
          <w:rFonts w:hint="eastAsia" w:ascii="宋体" w:hAnsi="宋体" w:cs="宋体"/>
          <w:szCs w:val="21"/>
        </w:rPr>
        <w:t>（4） 专用合同条件及《发包人要求》等附件；</w:t>
      </w:r>
    </w:p>
    <w:p>
      <w:pPr>
        <w:spacing w:line="400" w:lineRule="exact"/>
        <w:ind w:firstLine="600"/>
        <w:rPr>
          <w:rFonts w:hint="eastAsia" w:ascii="宋体" w:hAnsi="宋体" w:cs="宋体"/>
          <w:szCs w:val="21"/>
        </w:rPr>
      </w:pPr>
      <w:r>
        <w:rPr>
          <w:rFonts w:hint="eastAsia" w:ascii="宋体" w:hAnsi="宋体" w:cs="宋体"/>
          <w:szCs w:val="21"/>
        </w:rPr>
        <w:t>（5） 通用合同条件；</w:t>
      </w:r>
    </w:p>
    <w:p>
      <w:pPr>
        <w:spacing w:line="400" w:lineRule="exact"/>
        <w:ind w:firstLine="600"/>
        <w:rPr>
          <w:rFonts w:hint="eastAsia" w:ascii="宋体" w:hAnsi="宋体" w:cs="宋体"/>
          <w:szCs w:val="21"/>
        </w:rPr>
      </w:pPr>
      <w:r>
        <w:rPr>
          <w:rFonts w:hint="eastAsia" w:ascii="宋体" w:hAnsi="宋体" w:cs="宋体"/>
          <w:szCs w:val="21"/>
        </w:rPr>
        <w:t xml:space="preserve">（6） 技术标准、规范及有关技术文件； </w:t>
      </w:r>
    </w:p>
    <w:p>
      <w:pPr>
        <w:spacing w:line="400" w:lineRule="exact"/>
        <w:ind w:firstLine="600"/>
        <w:rPr>
          <w:rFonts w:hint="eastAsia" w:ascii="宋体" w:hAnsi="宋体" w:cs="宋体"/>
          <w:szCs w:val="21"/>
        </w:rPr>
      </w:pPr>
      <w:r>
        <w:rPr>
          <w:rFonts w:hint="eastAsia" w:ascii="宋体" w:hAnsi="宋体" w:cs="宋体"/>
          <w:szCs w:val="21"/>
        </w:rPr>
        <w:t>（7） 价格清单；</w:t>
      </w:r>
    </w:p>
    <w:p>
      <w:pPr>
        <w:spacing w:line="400" w:lineRule="exact"/>
        <w:ind w:firstLine="600"/>
        <w:rPr>
          <w:rFonts w:hint="eastAsia" w:ascii="宋体" w:hAnsi="宋体" w:cs="宋体"/>
          <w:szCs w:val="21"/>
        </w:rPr>
      </w:pPr>
      <w:r>
        <w:rPr>
          <w:rFonts w:hint="eastAsia" w:ascii="宋体" w:hAnsi="宋体" w:cs="宋体"/>
          <w:szCs w:val="21"/>
        </w:rPr>
        <w:t>（8） 双方约定的其他合同文件。</w:t>
      </w:r>
    </w:p>
    <w:p>
      <w:pPr>
        <w:spacing w:line="400" w:lineRule="exact"/>
        <w:ind w:firstLine="600"/>
        <w:rPr>
          <w:rFonts w:hint="eastAsia" w:ascii="宋体" w:hAnsi="宋体" w:cs="宋体"/>
          <w:szCs w:val="21"/>
        </w:rPr>
      </w:pPr>
      <w:bookmarkStart w:id="875" w:name="_Hlk18951547"/>
      <w:r>
        <w:rPr>
          <w:rFonts w:hint="eastAsia" w:ascii="宋体" w:hAnsi="宋体" w:cs="宋体"/>
          <w:szCs w:val="21"/>
        </w:rPr>
        <w:t>上述各项合同文件包括合同当事人就该项合同文件所作出的补充和修改，属于同一类内容的文件，应以最新签署的为准</w:t>
      </w:r>
      <w:bookmarkEnd w:id="875"/>
      <w:r>
        <w:rPr>
          <w:rFonts w:hint="eastAsia" w:ascii="宋体" w:hAnsi="宋体" w:cs="宋体"/>
          <w:szCs w:val="21"/>
        </w:rPr>
        <w:t>。</w:t>
      </w:r>
    </w:p>
    <w:p>
      <w:pPr>
        <w:spacing w:line="400" w:lineRule="exact"/>
        <w:ind w:firstLine="600"/>
        <w:rPr>
          <w:rFonts w:hint="eastAsia" w:ascii="宋体" w:hAnsi="宋体" w:cs="宋体"/>
          <w:szCs w:val="21"/>
        </w:rPr>
      </w:pPr>
      <w:r>
        <w:rPr>
          <w:rFonts w:hint="eastAsia" w:ascii="宋体" w:hAnsi="宋体" w:cs="宋体"/>
          <w:szCs w:val="21"/>
        </w:rPr>
        <w:t>在合同订立及履行过程中形成的与合同有关的文件均构成合同文件组成部分，并根据其性质确定优先解释顺序。</w:t>
      </w:r>
    </w:p>
    <w:p>
      <w:pPr>
        <w:pStyle w:val="685"/>
        <w:widowControl/>
        <w:numPr>
          <w:ilvl w:val="0"/>
          <w:numId w:val="0"/>
        </w:numPr>
        <w:spacing w:line="400" w:lineRule="exact"/>
        <w:rPr>
          <w:rFonts w:hint="eastAsia" w:ascii="宋体" w:hAnsi="宋体" w:eastAsia="宋体" w:cs="宋体"/>
          <w:b w:val="0"/>
          <w:bCs/>
          <w:sz w:val="21"/>
          <w:szCs w:val="21"/>
        </w:rPr>
      </w:pPr>
      <w:bookmarkStart w:id="876" w:name="_Ref4422060"/>
      <w:bookmarkStart w:id="877" w:name="_Toc54862183"/>
      <w:bookmarkStart w:id="878" w:name="_Toc59203085"/>
      <w:bookmarkStart w:id="879" w:name="_Ref11917818"/>
      <w:bookmarkStart w:id="880" w:name="_Ref531949803"/>
      <w:bookmarkStart w:id="881" w:name="_Ref531949822"/>
      <w:bookmarkStart w:id="882" w:name="_Ref531949807"/>
      <w:r>
        <w:rPr>
          <w:rFonts w:hint="eastAsia" w:ascii="宋体" w:hAnsi="宋体" w:eastAsia="宋体" w:cs="宋体"/>
          <w:b w:val="0"/>
          <w:bCs/>
          <w:sz w:val="21"/>
          <w:szCs w:val="21"/>
        </w:rPr>
        <w:t>1.6 文件的提供和</w:t>
      </w:r>
      <w:bookmarkEnd w:id="876"/>
      <w:r>
        <w:rPr>
          <w:rFonts w:hint="eastAsia" w:ascii="宋体" w:hAnsi="宋体" w:eastAsia="宋体" w:cs="宋体"/>
          <w:b w:val="0"/>
          <w:bCs/>
          <w:sz w:val="21"/>
          <w:szCs w:val="21"/>
        </w:rPr>
        <w:t>照管</w:t>
      </w:r>
      <w:bookmarkEnd w:id="877"/>
      <w:bookmarkEnd w:id="878"/>
      <w:bookmarkEnd w:id="879"/>
    </w:p>
    <w:p>
      <w:pPr>
        <w:pStyle w:val="686"/>
        <w:numPr>
          <w:ilvl w:val="0"/>
          <w:numId w:val="0"/>
        </w:numPr>
        <w:spacing w:line="400" w:lineRule="exact"/>
        <w:rPr>
          <w:rFonts w:hint="eastAsia" w:cs="宋体"/>
          <w:sz w:val="21"/>
        </w:rPr>
      </w:pPr>
      <w:bookmarkStart w:id="883" w:name="_Ref4421991"/>
      <w:r>
        <w:rPr>
          <w:rFonts w:hint="eastAsia" w:cs="宋体"/>
          <w:sz w:val="21"/>
        </w:rPr>
        <w:t>1.6.1 发包人文件的提供</w:t>
      </w:r>
      <w:bookmarkEnd w:id="883"/>
    </w:p>
    <w:p>
      <w:pPr>
        <w:spacing w:line="400" w:lineRule="exact"/>
        <w:ind w:firstLine="600"/>
        <w:rPr>
          <w:rFonts w:hint="eastAsia" w:ascii="宋体" w:hAnsi="宋体" w:cs="宋体"/>
          <w:szCs w:val="21"/>
        </w:rPr>
      </w:pPr>
      <w:r>
        <w:rPr>
          <w:rFonts w:hint="eastAsia" w:ascii="宋体" w:hAnsi="宋体" w:cs="宋体"/>
          <w:szCs w:val="21"/>
        </w:rPr>
        <w:t>发包人应按照专用合同条件约定的期限、数量和形式向承包人免费提供前期工作相关资料、环境保护、气象水文、地质条件进行工程设计、现场施工等工程实施所需的文件。因发包人未按合同约定提供文件造成工期延误的，按照第8.7.1项[因发包人原因导致工期延误]约定办理。</w:t>
      </w:r>
    </w:p>
    <w:p>
      <w:pPr>
        <w:pStyle w:val="686"/>
        <w:numPr>
          <w:ilvl w:val="0"/>
          <w:numId w:val="0"/>
        </w:numPr>
        <w:spacing w:line="400" w:lineRule="exact"/>
        <w:rPr>
          <w:rFonts w:hint="eastAsia" w:cs="宋体"/>
          <w:sz w:val="21"/>
        </w:rPr>
      </w:pPr>
      <w:bookmarkStart w:id="884" w:name="_Ref4422317"/>
      <w:r>
        <w:rPr>
          <w:rFonts w:hint="eastAsia" w:cs="宋体"/>
          <w:sz w:val="21"/>
        </w:rPr>
        <w:t>1.6.2 承包人文件的提供</w:t>
      </w:r>
      <w:bookmarkEnd w:id="884"/>
    </w:p>
    <w:p>
      <w:pPr>
        <w:spacing w:line="400" w:lineRule="exact"/>
        <w:ind w:firstLine="600"/>
        <w:rPr>
          <w:rFonts w:hint="eastAsia" w:ascii="宋体" w:hAnsi="宋体" w:cs="宋体"/>
          <w:szCs w:val="21"/>
        </w:rPr>
      </w:pPr>
      <w:r>
        <w:rPr>
          <w:rFonts w:hint="eastAsia" w:ascii="宋体" w:hAnsi="宋体" w:cs="宋体"/>
          <w:szCs w:val="21"/>
        </w:rPr>
        <w:t>除专用合同条件另有约定外，承包人文件应包含下列内容，并用第1.2款[语言文字]约定的语言制作：</w:t>
      </w:r>
    </w:p>
    <w:p>
      <w:pPr>
        <w:spacing w:line="400" w:lineRule="exact"/>
        <w:ind w:firstLine="600"/>
        <w:rPr>
          <w:rFonts w:hint="eastAsia" w:ascii="宋体" w:hAnsi="宋体" w:cs="宋体"/>
          <w:szCs w:val="21"/>
        </w:rPr>
      </w:pPr>
      <w:r>
        <w:rPr>
          <w:rFonts w:hint="eastAsia" w:ascii="宋体" w:hAnsi="宋体" w:cs="宋体"/>
          <w:szCs w:val="21"/>
        </w:rPr>
        <w:t>（1） 《发包人要求》中规定的相关文件；</w:t>
      </w:r>
    </w:p>
    <w:p>
      <w:pPr>
        <w:spacing w:line="400" w:lineRule="exact"/>
        <w:ind w:firstLine="600"/>
        <w:rPr>
          <w:rFonts w:hint="eastAsia" w:ascii="宋体" w:hAnsi="宋体" w:cs="宋体"/>
          <w:szCs w:val="21"/>
        </w:rPr>
      </w:pPr>
      <w:r>
        <w:rPr>
          <w:rFonts w:hint="eastAsia" w:ascii="宋体" w:hAnsi="宋体" w:cs="宋体"/>
          <w:szCs w:val="21"/>
        </w:rPr>
        <w:t>（2） 满足工程相关行政审批手续所必须的应由承包人负责的相关文件；</w:t>
      </w:r>
    </w:p>
    <w:p>
      <w:pPr>
        <w:spacing w:line="400" w:lineRule="exact"/>
        <w:ind w:firstLine="600"/>
        <w:rPr>
          <w:rFonts w:hint="eastAsia" w:ascii="宋体" w:hAnsi="宋体" w:cs="宋体"/>
          <w:szCs w:val="21"/>
        </w:rPr>
      </w:pPr>
      <w:r>
        <w:rPr>
          <w:rFonts w:hint="eastAsia" w:ascii="宋体" w:hAnsi="宋体" w:cs="宋体"/>
          <w:szCs w:val="21"/>
        </w:rPr>
        <w:t>（3） 第5.4款[竣工文件]与第5.5款[操作和维修手册]中要求的相关文件。</w:t>
      </w:r>
    </w:p>
    <w:p>
      <w:pPr>
        <w:spacing w:line="400" w:lineRule="exact"/>
        <w:ind w:firstLine="600"/>
        <w:rPr>
          <w:rFonts w:hint="eastAsia" w:ascii="宋体" w:hAnsi="宋体" w:cs="宋体"/>
          <w:szCs w:val="21"/>
        </w:rPr>
      </w:pPr>
      <w:r>
        <w:rPr>
          <w:rFonts w:hint="eastAsia" w:ascii="宋体" w:hAnsi="宋体" w:cs="宋体"/>
          <w:szCs w:val="21"/>
        </w:rPr>
        <w:t>承包人应按照专用合同条件约定的期限、名称、数量和形式向工程师提供应当由承包人编制的与工程设计、现场施工等工程实施有关的承包人文件。工程师对承包人文件有异议的，承包人应予以修改，并重新报送工程师。合同约定承包人文件应经审查的，工程师应在合同约定的期限内审查完毕，但工程师的审查并不减轻或免除承包人根据合同约定应当承担的责任。承包人文件的提供和审查还应遵守第5.2款[承包人文件审查]和第5.4款[竣工文件]的约定。</w:t>
      </w:r>
    </w:p>
    <w:p>
      <w:pPr>
        <w:pStyle w:val="686"/>
        <w:numPr>
          <w:ilvl w:val="0"/>
          <w:numId w:val="0"/>
        </w:numPr>
        <w:spacing w:line="400" w:lineRule="exact"/>
        <w:rPr>
          <w:rFonts w:hint="eastAsia" w:cs="宋体"/>
          <w:sz w:val="21"/>
        </w:rPr>
      </w:pPr>
      <w:r>
        <w:rPr>
          <w:rFonts w:hint="eastAsia" w:cs="宋体"/>
          <w:sz w:val="21"/>
        </w:rPr>
        <w:t>1.6.3 文件错误的通知</w:t>
      </w:r>
    </w:p>
    <w:p>
      <w:pPr>
        <w:spacing w:line="400" w:lineRule="exact"/>
        <w:ind w:firstLine="600"/>
        <w:rPr>
          <w:rFonts w:hint="eastAsia" w:ascii="宋体" w:hAnsi="宋体" w:cs="宋体"/>
          <w:szCs w:val="21"/>
        </w:rPr>
      </w:pPr>
      <w:r>
        <w:rPr>
          <w:rFonts w:hint="eastAsia" w:ascii="宋体" w:hAnsi="宋体" w:cs="宋体"/>
          <w:szCs w:val="21"/>
        </w:rPr>
        <w:t>任何一方发现文件中存在明显的错误或疏忽，应及时通知另一方。</w:t>
      </w:r>
    </w:p>
    <w:p>
      <w:pPr>
        <w:pStyle w:val="686"/>
        <w:numPr>
          <w:ilvl w:val="0"/>
          <w:numId w:val="0"/>
        </w:numPr>
        <w:spacing w:line="400" w:lineRule="exact"/>
        <w:rPr>
          <w:rFonts w:hint="eastAsia" w:cs="宋体"/>
          <w:sz w:val="21"/>
        </w:rPr>
      </w:pPr>
      <w:bookmarkStart w:id="885" w:name="_Ref4678410"/>
      <w:bookmarkStart w:id="886" w:name="_Ref11957673"/>
      <w:r>
        <w:rPr>
          <w:rFonts w:hint="eastAsia" w:cs="宋体"/>
          <w:sz w:val="21"/>
        </w:rPr>
        <w:t>1.6.4 文件的</w:t>
      </w:r>
      <w:bookmarkEnd w:id="885"/>
      <w:r>
        <w:rPr>
          <w:rFonts w:hint="eastAsia" w:cs="宋体"/>
          <w:sz w:val="21"/>
        </w:rPr>
        <w:t>照管</w:t>
      </w:r>
      <w:bookmarkEnd w:id="886"/>
    </w:p>
    <w:p>
      <w:pPr>
        <w:spacing w:line="400" w:lineRule="exact"/>
        <w:ind w:firstLine="600"/>
        <w:rPr>
          <w:rFonts w:hint="eastAsia" w:ascii="宋体" w:hAnsi="宋体" w:cs="宋体"/>
          <w:szCs w:val="21"/>
        </w:rPr>
      </w:pPr>
      <w:r>
        <w:rPr>
          <w:rFonts w:hint="eastAsia" w:ascii="宋体" w:hAnsi="宋体" w:cs="宋体"/>
          <w:szCs w:val="21"/>
        </w:rPr>
        <w:t>除专用合同条件另有约定外，承包人应在现场保留一份合同、《发包人要求》中列出的所有文件、承包人文件、变更以及其他根据合同收发的往来信函。发包人和工程师有权在任何合理的时间查阅和使用上述所有文件。</w:t>
      </w:r>
    </w:p>
    <w:p>
      <w:pPr>
        <w:pStyle w:val="685"/>
        <w:widowControl/>
        <w:numPr>
          <w:ilvl w:val="0"/>
          <w:numId w:val="0"/>
        </w:numPr>
        <w:spacing w:line="400" w:lineRule="exact"/>
        <w:rPr>
          <w:rFonts w:hint="eastAsia" w:ascii="宋体" w:hAnsi="宋体" w:eastAsia="宋体" w:cs="宋体"/>
          <w:b w:val="0"/>
          <w:bCs/>
          <w:sz w:val="21"/>
          <w:szCs w:val="21"/>
        </w:rPr>
      </w:pPr>
      <w:bookmarkStart w:id="887" w:name="_Ref4415170"/>
      <w:bookmarkStart w:id="888" w:name="_Toc59203086"/>
      <w:bookmarkStart w:id="889" w:name="_Toc54862184"/>
      <w:r>
        <w:rPr>
          <w:rFonts w:hint="eastAsia" w:ascii="宋体" w:hAnsi="宋体" w:eastAsia="宋体" w:cs="宋体"/>
          <w:b w:val="0"/>
          <w:bCs/>
          <w:sz w:val="21"/>
          <w:szCs w:val="21"/>
        </w:rPr>
        <w:t>1.7 联络</w:t>
      </w:r>
      <w:bookmarkEnd w:id="887"/>
      <w:bookmarkEnd w:id="888"/>
      <w:bookmarkEnd w:id="889"/>
    </w:p>
    <w:p>
      <w:pPr>
        <w:pStyle w:val="686"/>
        <w:numPr>
          <w:ilvl w:val="0"/>
          <w:numId w:val="0"/>
        </w:numPr>
        <w:spacing w:line="400" w:lineRule="exact"/>
        <w:rPr>
          <w:rFonts w:hint="eastAsia" w:cs="宋体"/>
          <w:sz w:val="21"/>
        </w:rPr>
      </w:pPr>
      <w:r>
        <w:rPr>
          <w:rFonts w:hint="eastAsia" w:cs="宋体"/>
          <w:sz w:val="21"/>
        </w:rPr>
        <w:t>1.7.1 与合同有关的通知、批准、证明、证书、指示、指令、要求、请求、同意、意见、确定和决定等，均应采用书面形式，并应在合同约定的期限内（如无约定，应在合理期限内）通过特快专递或专人、挂号信、传真或双方商定的电子传输方式送达收件地址。</w:t>
      </w:r>
    </w:p>
    <w:p>
      <w:pPr>
        <w:pStyle w:val="686"/>
        <w:numPr>
          <w:ilvl w:val="0"/>
          <w:numId w:val="0"/>
        </w:numPr>
        <w:spacing w:line="400" w:lineRule="exact"/>
        <w:rPr>
          <w:rFonts w:hint="eastAsia" w:cs="宋体"/>
          <w:sz w:val="21"/>
        </w:rPr>
      </w:pPr>
      <w:bookmarkStart w:id="890" w:name="_Ref531949897"/>
      <w:r>
        <w:rPr>
          <w:rFonts w:hint="eastAsia" w:cs="宋体"/>
          <w:sz w:val="21"/>
        </w:rPr>
        <w:t>1.7.2 发包人和承包人应在专用合同条件中约定各自的送达方式和收件地址。任何一方合同当事人指定的送达方式或收件地址发生变动的，应提前3天以书面形式通知对方。</w:t>
      </w:r>
      <w:bookmarkEnd w:id="890"/>
    </w:p>
    <w:p>
      <w:pPr>
        <w:pStyle w:val="686"/>
        <w:numPr>
          <w:ilvl w:val="0"/>
          <w:numId w:val="0"/>
        </w:numPr>
        <w:spacing w:line="400" w:lineRule="exact"/>
        <w:rPr>
          <w:rFonts w:hint="eastAsia" w:cs="宋体"/>
          <w:sz w:val="21"/>
        </w:rPr>
      </w:pPr>
      <w:r>
        <w:rPr>
          <w:rFonts w:hint="eastAsia" w:cs="宋体"/>
          <w:sz w:val="21"/>
        </w:rPr>
        <w:t>1.7.3 发包人和承包人应当及时签收另一方通过约定的送达方式送达至收件地址的来往文件。拒不签收的，由此增加的费用和（或）延误的工期由拒绝接收一方承担。</w:t>
      </w:r>
    </w:p>
    <w:p>
      <w:pPr>
        <w:pStyle w:val="686"/>
        <w:numPr>
          <w:ilvl w:val="0"/>
          <w:numId w:val="0"/>
        </w:numPr>
        <w:spacing w:line="400" w:lineRule="exact"/>
        <w:rPr>
          <w:rFonts w:hint="eastAsia" w:cs="宋体"/>
          <w:sz w:val="21"/>
        </w:rPr>
      </w:pPr>
      <w:r>
        <w:rPr>
          <w:rFonts w:hint="eastAsia" w:cs="宋体"/>
          <w:sz w:val="21"/>
        </w:rPr>
        <w:t>1.7.4 对于工程师向承包人发出的任何通知，均应以书面形式由工程师或其代表签认后送交承包人实施，并抄送发包人；对于合同一方向另一方发出的任何通知，均应抄送工程师。对于由工程师审查后报发包人批准的事项，应由工程师向承包人出具经发包人签认的批准文件。</w:t>
      </w:r>
    </w:p>
    <w:p>
      <w:pPr>
        <w:pStyle w:val="685"/>
        <w:widowControl/>
        <w:numPr>
          <w:ilvl w:val="0"/>
          <w:numId w:val="0"/>
        </w:numPr>
        <w:spacing w:line="400" w:lineRule="exact"/>
        <w:rPr>
          <w:rFonts w:hint="eastAsia" w:ascii="宋体" w:hAnsi="宋体" w:eastAsia="宋体" w:cs="宋体"/>
          <w:b w:val="0"/>
          <w:bCs/>
          <w:sz w:val="21"/>
          <w:szCs w:val="21"/>
        </w:rPr>
      </w:pPr>
      <w:bookmarkStart w:id="891" w:name="_Toc59203087"/>
      <w:bookmarkStart w:id="892" w:name="_Toc54862185"/>
      <w:r>
        <w:rPr>
          <w:rFonts w:hint="eastAsia" w:ascii="宋体" w:hAnsi="宋体" w:eastAsia="宋体" w:cs="宋体"/>
          <w:b w:val="0"/>
          <w:bCs/>
          <w:sz w:val="21"/>
          <w:szCs w:val="21"/>
        </w:rPr>
        <w:t>1.8 严禁贿赂</w:t>
      </w:r>
      <w:bookmarkEnd w:id="880"/>
      <w:bookmarkEnd w:id="881"/>
      <w:bookmarkEnd w:id="882"/>
      <w:bookmarkEnd w:id="891"/>
      <w:bookmarkEnd w:id="892"/>
    </w:p>
    <w:p>
      <w:pPr>
        <w:spacing w:line="400" w:lineRule="exact"/>
        <w:ind w:firstLine="600"/>
        <w:rPr>
          <w:rFonts w:hint="eastAsia" w:ascii="宋体" w:hAnsi="宋体" w:cs="宋体"/>
          <w:szCs w:val="21"/>
        </w:rPr>
      </w:pPr>
      <w:r>
        <w:rPr>
          <w:rFonts w:hint="eastAsia" w:ascii="宋体" w:hAnsi="宋体" w:cs="宋体"/>
          <w:szCs w:val="21"/>
        </w:rPr>
        <w:t>合同当事人不得以贿赂或变相贿赂的方式，谋取非法利益或损害对方权益。因一方合同当事人的贿赂造成对方损失的，应赔偿损失，并承担相应的法律责任。</w:t>
      </w:r>
    </w:p>
    <w:p>
      <w:pPr>
        <w:spacing w:line="400" w:lineRule="exact"/>
        <w:ind w:firstLine="600"/>
        <w:rPr>
          <w:rFonts w:hint="eastAsia" w:ascii="宋体" w:hAnsi="宋体" w:cs="宋体"/>
          <w:szCs w:val="21"/>
        </w:rPr>
      </w:pPr>
      <w:r>
        <w:rPr>
          <w:rFonts w:hint="eastAsia" w:ascii="宋体" w:hAnsi="宋体" w:cs="宋体"/>
          <w:szCs w:val="21"/>
        </w:rPr>
        <w:t>承包人不得与工程师或发包人聘请的第三方串通损害发包人利益。未经发包人书面同意，承包人不得为工程师提供合同约定以外的通讯设备、交通工具及其他任何形式的利益，不得向工程师支付报酬。</w:t>
      </w:r>
    </w:p>
    <w:p>
      <w:pPr>
        <w:pStyle w:val="685"/>
        <w:widowControl/>
        <w:numPr>
          <w:ilvl w:val="0"/>
          <w:numId w:val="0"/>
        </w:numPr>
        <w:spacing w:line="400" w:lineRule="exact"/>
        <w:rPr>
          <w:rFonts w:hint="eastAsia" w:ascii="宋体" w:hAnsi="宋体" w:eastAsia="宋体" w:cs="宋体"/>
          <w:b w:val="0"/>
          <w:bCs/>
          <w:sz w:val="21"/>
          <w:szCs w:val="21"/>
        </w:rPr>
      </w:pPr>
      <w:bookmarkStart w:id="893" w:name="_Toc54862186"/>
      <w:bookmarkStart w:id="894" w:name="_Toc59203088"/>
      <w:r>
        <w:rPr>
          <w:rFonts w:hint="eastAsia" w:ascii="宋体" w:hAnsi="宋体" w:eastAsia="宋体" w:cs="宋体"/>
          <w:b w:val="0"/>
          <w:bCs/>
          <w:sz w:val="21"/>
          <w:szCs w:val="21"/>
        </w:rPr>
        <w:t>1.9 化石、文物</w:t>
      </w:r>
      <w:bookmarkEnd w:id="893"/>
      <w:bookmarkEnd w:id="894"/>
    </w:p>
    <w:p>
      <w:pPr>
        <w:spacing w:line="400" w:lineRule="exact"/>
        <w:ind w:firstLine="600"/>
        <w:rPr>
          <w:rFonts w:hint="eastAsia" w:ascii="宋体" w:hAnsi="宋体" w:cs="宋体"/>
          <w:szCs w:val="21"/>
        </w:rPr>
      </w:pPr>
      <w:r>
        <w:rPr>
          <w:rFonts w:hint="eastAsia" w:ascii="宋体" w:hAnsi="宋体" w:cs="宋体"/>
          <w:szCs w:val="21"/>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工程师。</w:t>
      </w:r>
    </w:p>
    <w:p>
      <w:pPr>
        <w:spacing w:line="400" w:lineRule="exact"/>
        <w:ind w:firstLine="600"/>
        <w:rPr>
          <w:rFonts w:hint="eastAsia" w:ascii="宋体" w:hAnsi="宋体" w:cs="宋体"/>
          <w:szCs w:val="21"/>
        </w:rPr>
      </w:pPr>
      <w:r>
        <w:rPr>
          <w:rFonts w:hint="eastAsia" w:ascii="宋体" w:hAnsi="宋体" w:cs="宋体"/>
          <w:szCs w:val="21"/>
        </w:rPr>
        <w:t>发包人、工程师和承包人应按有关政府行政管理部门要求采取妥善的保护措施，由此增加的费用和（或）延误的工期由发包人承担。</w:t>
      </w:r>
    </w:p>
    <w:p>
      <w:pPr>
        <w:spacing w:line="400" w:lineRule="exact"/>
        <w:ind w:firstLine="600"/>
        <w:rPr>
          <w:rFonts w:hint="eastAsia" w:ascii="宋体" w:hAnsi="宋体" w:cs="宋体"/>
          <w:szCs w:val="21"/>
        </w:rPr>
      </w:pPr>
      <w:r>
        <w:rPr>
          <w:rFonts w:hint="eastAsia" w:ascii="宋体" w:hAnsi="宋体" w:cs="宋体"/>
          <w:szCs w:val="21"/>
        </w:rPr>
        <w:t>承包人发现文物后不及时报告或隐瞒不报，致使文物丢失或损坏的，应赔偿损失，并承担相应的法律责任。</w:t>
      </w:r>
    </w:p>
    <w:p>
      <w:pPr>
        <w:pStyle w:val="685"/>
        <w:widowControl/>
        <w:numPr>
          <w:ilvl w:val="0"/>
          <w:numId w:val="0"/>
        </w:numPr>
        <w:spacing w:line="400" w:lineRule="exact"/>
        <w:rPr>
          <w:rFonts w:hint="eastAsia" w:ascii="宋体" w:hAnsi="宋体" w:eastAsia="宋体" w:cs="宋体"/>
          <w:b w:val="0"/>
          <w:bCs/>
          <w:sz w:val="21"/>
          <w:szCs w:val="21"/>
        </w:rPr>
      </w:pPr>
      <w:bookmarkStart w:id="895" w:name="_Ref531949770"/>
      <w:bookmarkStart w:id="896" w:name="_Ref531949766"/>
      <w:bookmarkStart w:id="897" w:name="_Toc59203089"/>
      <w:bookmarkStart w:id="898" w:name="_Ref4423426"/>
      <w:bookmarkStart w:id="899" w:name="_Toc54862187"/>
      <w:bookmarkStart w:id="900" w:name="_Ref531949826"/>
      <w:bookmarkStart w:id="901" w:name="_Ref531949841"/>
      <w:bookmarkStart w:id="902" w:name="_Ref531949855"/>
      <w:r>
        <w:rPr>
          <w:rFonts w:hint="eastAsia" w:ascii="宋体" w:hAnsi="宋体" w:eastAsia="宋体" w:cs="宋体"/>
          <w:b w:val="0"/>
          <w:bCs/>
          <w:sz w:val="21"/>
          <w:szCs w:val="21"/>
        </w:rPr>
        <w:t>1.10 知识产权</w:t>
      </w:r>
      <w:bookmarkEnd w:id="895"/>
      <w:bookmarkEnd w:id="896"/>
      <w:bookmarkEnd w:id="897"/>
      <w:bookmarkEnd w:id="898"/>
      <w:bookmarkEnd w:id="899"/>
      <w:r>
        <w:rPr>
          <w:rFonts w:hint="eastAsia" w:ascii="宋体" w:hAnsi="宋体" w:eastAsia="宋体" w:cs="宋体"/>
          <w:b w:val="0"/>
          <w:bCs/>
          <w:sz w:val="21"/>
          <w:szCs w:val="21"/>
        </w:rPr>
        <w:t xml:space="preserve"> </w:t>
      </w:r>
    </w:p>
    <w:p>
      <w:pPr>
        <w:pStyle w:val="686"/>
        <w:numPr>
          <w:ilvl w:val="0"/>
          <w:numId w:val="0"/>
        </w:numPr>
        <w:spacing w:line="400" w:lineRule="exact"/>
        <w:rPr>
          <w:rFonts w:hint="eastAsia" w:cs="宋体"/>
          <w:sz w:val="21"/>
        </w:rPr>
      </w:pPr>
      <w:bookmarkStart w:id="903" w:name="_Ref4423563"/>
      <w:r>
        <w:rPr>
          <w:rFonts w:hint="eastAsia" w:cs="宋体"/>
          <w:sz w:val="21"/>
        </w:rPr>
        <w:t>1.10.1 除专用合同条件另有约定外，由发包人（或以发包人名义）编制的《发包人要求》和其他文件，就合同当事人之间而言，其著作权和其他知识产权应归发包人所有。承包人可以为实现合同目的而复制、使用此类文件，但不能用于与合同无关的其他事项。未经发包人书面同意，承包人不得为了合同以外的目的而复制、使用上述文件或将之提供给任何第三方。</w:t>
      </w:r>
      <w:bookmarkEnd w:id="903"/>
    </w:p>
    <w:p>
      <w:pPr>
        <w:pStyle w:val="686"/>
        <w:numPr>
          <w:ilvl w:val="0"/>
          <w:numId w:val="0"/>
        </w:numPr>
        <w:spacing w:line="400" w:lineRule="exact"/>
        <w:rPr>
          <w:rFonts w:hint="eastAsia" w:cs="宋体"/>
          <w:sz w:val="21"/>
        </w:rPr>
      </w:pPr>
      <w:bookmarkStart w:id="904" w:name="_Ref4423604"/>
      <w:r>
        <w:rPr>
          <w:rFonts w:hint="eastAsia" w:cs="宋体"/>
          <w:sz w:val="21"/>
        </w:rPr>
        <w:t>1.10.2 除专用合同条件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bookmarkEnd w:id="904"/>
    </w:p>
    <w:p>
      <w:pPr>
        <w:pStyle w:val="686"/>
        <w:numPr>
          <w:ilvl w:val="0"/>
          <w:numId w:val="0"/>
        </w:numPr>
        <w:spacing w:line="400" w:lineRule="exact"/>
        <w:rPr>
          <w:rFonts w:hint="eastAsia" w:cs="宋体"/>
          <w:sz w:val="21"/>
        </w:rPr>
      </w:pPr>
      <w:r>
        <w:rPr>
          <w:rFonts w:hint="eastAsia" w:cs="宋体"/>
          <w:sz w:val="21"/>
        </w:rPr>
        <w:t>1.10.3 合同当事人保证在履行合同过程中不侵犯对方及第三方的知识产权。承包人在工程设计、使用材料、施工设备、工程设备或采用施工工艺时，因侵犯他人的专利权或其他知识产权所引起的责任，由承包人承担；因发包人提供的材料、施工设备、工程设备或施工工艺导致侵权的，由发包人承担责任。</w:t>
      </w:r>
    </w:p>
    <w:p>
      <w:pPr>
        <w:pStyle w:val="686"/>
        <w:numPr>
          <w:ilvl w:val="0"/>
          <w:numId w:val="0"/>
        </w:numPr>
        <w:spacing w:line="400" w:lineRule="exact"/>
        <w:rPr>
          <w:rFonts w:hint="eastAsia" w:cs="宋体"/>
          <w:sz w:val="21"/>
        </w:rPr>
      </w:pPr>
      <w:bookmarkStart w:id="905" w:name="_Ref4423695"/>
      <w:r>
        <w:rPr>
          <w:rFonts w:hint="eastAsia" w:cs="宋体"/>
          <w:sz w:val="21"/>
        </w:rPr>
        <w:t>1.10.4 除专用合同条件另有约定外，承包人在投标文件中采用的专利、专有技术、商业软件、技术秘密的使用费已包含在签约合同价中。</w:t>
      </w:r>
      <w:bookmarkEnd w:id="905"/>
    </w:p>
    <w:p>
      <w:pPr>
        <w:pStyle w:val="686"/>
        <w:numPr>
          <w:ilvl w:val="0"/>
          <w:numId w:val="0"/>
        </w:numPr>
        <w:spacing w:line="400" w:lineRule="exact"/>
        <w:rPr>
          <w:rFonts w:hint="eastAsia" w:cs="宋体"/>
          <w:sz w:val="21"/>
        </w:rPr>
      </w:pPr>
      <w:r>
        <w:rPr>
          <w:rFonts w:hint="eastAsia" w:cs="宋体"/>
          <w:sz w:val="21"/>
        </w:rPr>
        <w:t>1.10.5 合同当事人可就本合同涉及的合同一方、或合同双方（含一方或双方相关的专利商或第三方设计单位)的技术专利、建筑设计方案、专有技术、设计文件著作权等知识产权，订立知识产权及保密协议，作为本合同的组成部分。</w:t>
      </w:r>
    </w:p>
    <w:p>
      <w:pPr>
        <w:pStyle w:val="685"/>
        <w:widowControl/>
        <w:numPr>
          <w:ilvl w:val="0"/>
          <w:numId w:val="0"/>
        </w:numPr>
        <w:spacing w:line="400" w:lineRule="exact"/>
        <w:rPr>
          <w:rFonts w:hint="eastAsia" w:ascii="宋体" w:hAnsi="宋体" w:eastAsia="宋体" w:cs="宋体"/>
          <w:b w:val="0"/>
          <w:bCs/>
          <w:sz w:val="21"/>
          <w:szCs w:val="21"/>
        </w:rPr>
      </w:pPr>
      <w:bookmarkStart w:id="906" w:name="_Ref4423898"/>
      <w:bookmarkStart w:id="907" w:name="_Toc54862188"/>
      <w:bookmarkStart w:id="908" w:name="_Ref4423873"/>
      <w:bookmarkStart w:id="909" w:name="_Toc59203090"/>
      <w:r>
        <w:rPr>
          <w:rFonts w:hint="eastAsia" w:ascii="宋体" w:hAnsi="宋体" w:eastAsia="宋体" w:cs="宋体"/>
          <w:b w:val="0"/>
          <w:bCs/>
          <w:sz w:val="21"/>
          <w:szCs w:val="21"/>
        </w:rPr>
        <w:t>1.11 保密</w:t>
      </w:r>
      <w:bookmarkEnd w:id="900"/>
      <w:bookmarkEnd w:id="901"/>
      <w:bookmarkEnd w:id="902"/>
      <w:bookmarkEnd w:id="906"/>
      <w:bookmarkEnd w:id="907"/>
      <w:bookmarkEnd w:id="908"/>
      <w:bookmarkEnd w:id="909"/>
    </w:p>
    <w:p>
      <w:pPr>
        <w:spacing w:line="400" w:lineRule="exact"/>
        <w:ind w:firstLine="600"/>
        <w:rPr>
          <w:rFonts w:hint="eastAsia" w:ascii="宋体" w:hAnsi="宋体" w:cs="宋体"/>
          <w:szCs w:val="21"/>
        </w:rPr>
      </w:pPr>
      <w:r>
        <w:rPr>
          <w:rFonts w:hint="eastAsia" w:ascii="宋体" w:hAnsi="宋体" w:cs="宋体"/>
          <w:szCs w:val="21"/>
        </w:rPr>
        <w:t>合同当事人一方对在订立和履行合同过程中知悉的另一方的商业秘密、技术秘密，以及任何一方明确要求保密的其它信息，负有保密责任。</w:t>
      </w:r>
    </w:p>
    <w:p>
      <w:pPr>
        <w:spacing w:line="400" w:lineRule="exact"/>
        <w:ind w:firstLine="600"/>
        <w:rPr>
          <w:rFonts w:hint="eastAsia" w:ascii="宋体" w:hAnsi="宋体" w:cs="宋体"/>
          <w:szCs w:val="21"/>
        </w:rPr>
      </w:pPr>
      <w:r>
        <w:rPr>
          <w:rFonts w:hint="eastAsia" w:ascii="宋体" w:hAnsi="宋体" w:cs="宋体"/>
          <w:szCs w:val="21"/>
        </w:rPr>
        <w:t>除法律规定或合同另有约定外，未经对方同意，任何一方当事人不得将对方提供的文件、技术秘密以及声明需要保密的资料信息等商业秘密泄露给第三方或者用于本合同以外的目的。</w:t>
      </w:r>
    </w:p>
    <w:p>
      <w:pPr>
        <w:spacing w:line="400" w:lineRule="exact"/>
        <w:ind w:firstLine="600"/>
        <w:rPr>
          <w:rFonts w:hint="eastAsia" w:ascii="宋体" w:hAnsi="宋体" w:cs="宋体"/>
          <w:szCs w:val="21"/>
        </w:rPr>
      </w:pPr>
      <w:r>
        <w:rPr>
          <w:rFonts w:hint="eastAsia" w:ascii="宋体" w:hAnsi="宋体" w:cs="宋体"/>
          <w:szCs w:val="21"/>
        </w:rPr>
        <w:t>一方泄露或者在本合同以外使用该商业秘密、技术秘密等保密信息给另一方造成损失的，应承担损害赔偿责任。当事人为履行合同所需要的信息，另一方应予以提供。当事人认为必要时，可订立保密协议，作为合同附件。</w:t>
      </w:r>
    </w:p>
    <w:p>
      <w:pPr>
        <w:pStyle w:val="685"/>
        <w:widowControl/>
        <w:numPr>
          <w:ilvl w:val="0"/>
          <w:numId w:val="0"/>
        </w:numPr>
        <w:spacing w:line="400" w:lineRule="exact"/>
        <w:rPr>
          <w:rFonts w:hint="eastAsia" w:ascii="宋体" w:hAnsi="宋体" w:eastAsia="宋体" w:cs="宋体"/>
          <w:b w:val="0"/>
          <w:bCs/>
          <w:sz w:val="21"/>
          <w:szCs w:val="21"/>
        </w:rPr>
      </w:pPr>
      <w:bookmarkStart w:id="910" w:name="_Toc54862189"/>
      <w:bookmarkStart w:id="911" w:name="_Toc59203091"/>
      <w:bookmarkStart w:id="912" w:name="_Ref532336812"/>
      <w:r>
        <w:rPr>
          <w:rFonts w:hint="eastAsia" w:ascii="宋体" w:hAnsi="宋体" w:eastAsia="宋体" w:cs="宋体"/>
          <w:b w:val="0"/>
          <w:bCs/>
          <w:sz w:val="21"/>
          <w:szCs w:val="21"/>
        </w:rPr>
        <w:t xml:space="preserve">1.12 </w:t>
      </w:r>
      <w:bookmarkStart w:id="913" w:name="_Hlk55215423"/>
      <w:r>
        <w:rPr>
          <w:rFonts w:hint="eastAsia" w:ascii="宋体" w:hAnsi="宋体" w:eastAsia="宋体" w:cs="宋体"/>
          <w:b w:val="0"/>
          <w:bCs/>
          <w:sz w:val="21"/>
          <w:szCs w:val="21"/>
        </w:rPr>
        <w:t>《发包人要求》和基础资料中的错误</w:t>
      </w:r>
      <w:bookmarkEnd w:id="910"/>
      <w:bookmarkEnd w:id="911"/>
      <w:bookmarkEnd w:id="912"/>
      <w:bookmarkEnd w:id="913"/>
    </w:p>
    <w:p>
      <w:pPr>
        <w:spacing w:line="400" w:lineRule="exact"/>
        <w:ind w:firstLine="600"/>
        <w:rPr>
          <w:rFonts w:hint="eastAsia" w:ascii="宋体" w:hAnsi="宋体" w:cs="宋体"/>
          <w:szCs w:val="21"/>
        </w:rPr>
      </w:pPr>
      <w:r>
        <w:rPr>
          <w:rFonts w:hint="eastAsia" w:ascii="宋体" w:hAnsi="宋体" w:cs="宋体"/>
          <w:szCs w:val="21"/>
        </w:rPr>
        <w:t>承包人应尽早认真阅读、复核《发包人要求》以及其提供的基础资料，发现错误的，应及时书面通知发包人补正。发包人作相应修改的，按照第13条[变更与调整</w:t>
      </w:r>
      <w:bookmarkStart w:id="914" w:name="_Ref523403409"/>
      <w:bookmarkStart w:id="915" w:name="_Ref523403776"/>
      <w:r>
        <w:rPr>
          <w:rFonts w:hint="eastAsia" w:ascii="宋体" w:hAnsi="宋体" w:cs="宋体"/>
          <w:szCs w:val="21"/>
        </w:rPr>
        <w:t>]的约定处理。</w:t>
      </w:r>
    </w:p>
    <w:p>
      <w:pPr>
        <w:spacing w:line="400" w:lineRule="exact"/>
        <w:ind w:firstLine="600"/>
        <w:rPr>
          <w:rFonts w:hint="eastAsia" w:ascii="宋体" w:hAnsi="宋体" w:cs="宋体"/>
          <w:szCs w:val="21"/>
        </w:rPr>
      </w:pPr>
      <w:r>
        <w:rPr>
          <w:rFonts w:hint="eastAsia" w:ascii="宋体" w:hAnsi="宋体" w:cs="宋体"/>
          <w:szCs w:val="21"/>
        </w:rPr>
        <w:t>《发包人要求》或其提供的基础资料中的错误导致承包人增加费用和（或）工期延误的，发包人应承担由此增加的费用和（或）工期延误，并向承包人支付合理利润。</w:t>
      </w:r>
    </w:p>
    <w:bookmarkEnd w:id="914"/>
    <w:bookmarkEnd w:id="915"/>
    <w:p>
      <w:pPr>
        <w:pStyle w:val="685"/>
        <w:widowControl/>
        <w:numPr>
          <w:ilvl w:val="0"/>
          <w:numId w:val="0"/>
        </w:numPr>
        <w:spacing w:line="400" w:lineRule="exact"/>
        <w:rPr>
          <w:rFonts w:hint="eastAsia" w:ascii="宋体" w:hAnsi="宋体" w:eastAsia="宋体" w:cs="宋体"/>
          <w:b w:val="0"/>
          <w:bCs/>
          <w:sz w:val="21"/>
          <w:szCs w:val="21"/>
        </w:rPr>
      </w:pPr>
      <w:bookmarkStart w:id="916" w:name="_Toc54862190"/>
      <w:bookmarkStart w:id="917" w:name="_Ref531949933"/>
      <w:bookmarkStart w:id="918" w:name="_Ref531949937"/>
      <w:bookmarkStart w:id="919" w:name="_Toc59203092"/>
      <w:r>
        <w:rPr>
          <w:rFonts w:hint="eastAsia" w:ascii="宋体" w:hAnsi="宋体" w:eastAsia="宋体" w:cs="宋体"/>
          <w:b w:val="0"/>
          <w:bCs/>
          <w:sz w:val="21"/>
          <w:szCs w:val="21"/>
        </w:rPr>
        <w:t>1.13 责任限制</w:t>
      </w:r>
      <w:bookmarkEnd w:id="916"/>
      <w:bookmarkEnd w:id="917"/>
      <w:bookmarkEnd w:id="918"/>
      <w:bookmarkEnd w:id="919"/>
    </w:p>
    <w:p>
      <w:pPr>
        <w:spacing w:line="400" w:lineRule="exact"/>
        <w:ind w:firstLine="600"/>
        <w:rPr>
          <w:rFonts w:hint="eastAsia" w:ascii="宋体" w:hAnsi="宋体" w:cs="宋体"/>
          <w:szCs w:val="21"/>
        </w:rPr>
      </w:pPr>
      <w:r>
        <w:rPr>
          <w:rFonts w:hint="eastAsia" w:ascii="宋体" w:hAnsi="宋体" w:cs="宋体"/>
          <w:szCs w:val="21"/>
        </w:rPr>
        <w:t>承包人对发包人的赔偿责任不应超过专用合同条件约定的赔偿最高限额。若专用合同条件未约定，则承包人对发包人的赔偿责任不应超过签约合同价。但对于因欺诈、犯罪、故意、重大过失、人身伤害等不当行为造成的损失，赔偿的责任限度不受上述最高限额的限制。</w:t>
      </w:r>
    </w:p>
    <w:p>
      <w:pPr>
        <w:pStyle w:val="685"/>
        <w:widowControl/>
        <w:numPr>
          <w:ilvl w:val="0"/>
          <w:numId w:val="0"/>
        </w:numPr>
        <w:spacing w:line="400" w:lineRule="exact"/>
        <w:rPr>
          <w:rFonts w:hint="eastAsia" w:ascii="宋体" w:hAnsi="宋体" w:eastAsia="宋体" w:cs="宋体"/>
          <w:b w:val="0"/>
          <w:bCs/>
          <w:sz w:val="21"/>
          <w:szCs w:val="21"/>
        </w:rPr>
      </w:pPr>
      <w:bookmarkStart w:id="920" w:name="_Toc54862191"/>
      <w:bookmarkStart w:id="921" w:name="_Toc59203093"/>
      <w:bookmarkStart w:id="922" w:name="_Hlk51506160"/>
      <w:r>
        <w:rPr>
          <w:rFonts w:hint="eastAsia" w:ascii="宋体" w:hAnsi="宋体" w:eastAsia="宋体" w:cs="宋体"/>
          <w:b w:val="0"/>
          <w:bCs/>
          <w:sz w:val="21"/>
          <w:szCs w:val="21"/>
        </w:rPr>
        <w:t>1.14 建筑信息模型技术的应用</w:t>
      </w:r>
      <w:bookmarkEnd w:id="920"/>
      <w:bookmarkEnd w:id="921"/>
    </w:p>
    <w:bookmarkEnd w:id="922"/>
    <w:p>
      <w:pPr>
        <w:spacing w:line="400" w:lineRule="exact"/>
        <w:ind w:firstLine="600"/>
        <w:rPr>
          <w:rFonts w:hint="eastAsia" w:ascii="宋体" w:hAnsi="宋体" w:cs="宋体"/>
          <w:szCs w:val="21"/>
        </w:rPr>
      </w:pPr>
      <w:r>
        <w:rPr>
          <w:rFonts w:hint="eastAsia" w:ascii="宋体" w:hAnsi="宋体" w:cs="宋体"/>
          <w:szCs w:val="21"/>
        </w:rPr>
        <w:t>如果项目中拟采用建筑信息模型技术，合同双方应遵守国家现行相关标准的规定，并符合项目所在地的相关地方标准或指南。合同双方应在专用合同条件中就建筑信息模型的开发、使用、存储、传输、交付及费用等相关内容进行约定。除专用合同条件另有约定外，承包人应负责与本项目中其他使用方协商。</w:t>
      </w:r>
    </w:p>
    <w:p>
      <w:pPr>
        <w:pStyle w:val="684"/>
        <w:numPr>
          <w:ilvl w:val="0"/>
          <w:numId w:val="0"/>
        </w:numPr>
        <w:spacing w:line="400" w:lineRule="exact"/>
        <w:rPr>
          <w:rFonts w:hint="eastAsia" w:ascii="宋体" w:hAnsi="宋体" w:eastAsia="宋体" w:cs="宋体"/>
          <w:b w:val="0"/>
          <w:szCs w:val="21"/>
        </w:rPr>
      </w:pPr>
      <w:bookmarkStart w:id="923" w:name="_Ref4796511"/>
      <w:bookmarkStart w:id="924" w:name="_Toc59203094"/>
      <w:bookmarkStart w:id="925" w:name="_Toc54862192"/>
      <w:r>
        <w:rPr>
          <w:rFonts w:hint="eastAsia" w:ascii="宋体" w:hAnsi="宋体" w:eastAsia="宋体" w:cs="宋体"/>
          <w:b w:val="0"/>
          <w:szCs w:val="21"/>
        </w:rPr>
        <w:t>第2条 发包人</w:t>
      </w:r>
      <w:bookmarkEnd w:id="923"/>
      <w:bookmarkEnd w:id="924"/>
      <w:bookmarkEnd w:id="925"/>
    </w:p>
    <w:p>
      <w:pPr>
        <w:pStyle w:val="685"/>
        <w:widowControl/>
        <w:numPr>
          <w:ilvl w:val="0"/>
          <w:numId w:val="0"/>
        </w:numPr>
        <w:spacing w:line="400" w:lineRule="exact"/>
        <w:rPr>
          <w:rFonts w:hint="eastAsia" w:ascii="宋体" w:hAnsi="宋体" w:eastAsia="宋体" w:cs="宋体"/>
          <w:b w:val="0"/>
          <w:bCs/>
          <w:sz w:val="21"/>
          <w:szCs w:val="21"/>
        </w:rPr>
      </w:pPr>
      <w:bookmarkStart w:id="926" w:name="_Toc54862193"/>
      <w:bookmarkStart w:id="927" w:name="_Toc59203095"/>
      <w:r>
        <w:rPr>
          <w:rFonts w:hint="eastAsia" w:ascii="宋体" w:hAnsi="宋体" w:eastAsia="宋体" w:cs="宋体"/>
          <w:b w:val="0"/>
          <w:bCs/>
          <w:sz w:val="21"/>
          <w:szCs w:val="21"/>
        </w:rPr>
        <w:t>2.1 遵守法律</w:t>
      </w:r>
      <w:bookmarkEnd w:id="926"/>
      <w:bookmarkEnd w:id="927"/>
    </w:p>
    <w:p>
      <w:pPr>
        <w:spacing w:line="400" w:lineRule="exact"/>
        <w:ind w:firstLine="600"/>
        <w:rPr>
          <w:rFonts w:hint="eastAsia" w:ascii="宋体" w:hAnsi="宋体" w:cs="宋体"/>
          <w:szCs w:val="21"/>
        </w:rPr>
      </w:pPr>
      <w:r>
        <w:rPr>
          <w:rFonts w:hint="eastAsia" w:ascii="宋体" w:hAnsi="宋体" w:cs="宋体"/>
          <w:szCs w:val="21"/>
        </w:rPr>
        <w:t>发包人在履行合同过程中应遵守法律，并承担因发包人违反法律给承包人造成的任何费用和损失。发包人不得以任何理由，要求承包人在工程实施过程中违反法律、行政法规以及建设工程质量、安全、环保标准，任意压缩合理工期或者降低工程质量。</w:t>
      </w:r>
    </w:p>
    <w:p>
      <w:pPr>
        <w:pStyle w:val="685"/>
        <w:widowControl/>
        <w:numPr>
          <w:ilvl w:val="0"/>
          <w:numId w:val="0"/>
        </w:numPr>
        <w:spacing w:line="400" w:lineRule="exact"/>
        <w:rPr>
          <w:rFonts w:hint="eastAsia" w:ascii="宋体" w:hAnsi="宋体" w:eastAsia="宋体" w:cs="宋体"/>
          <w:b w:val="0"/>
          <w:bCs/>
          <w:sz w:val="21"/>
          <w:szCs w:val="21"/>
        </w:rPr>
      </w:pPr>
      <w:bookmarkStart w:id="928" w:name="_Ref11917977"/>
      <w:bookmarkStart w:id="929" w:name="_Ref11917995"/>
      <w:bookmarkStart w:id="930" w:name="_Toc54862194"/>
      <w:bookmarkStart w:id="931" w:name="_Toc59203096"/>
      <w:r>
        <w:rPr>
          <w:rFonts w:hint="eastAsia" w:ascii="宋体" w:hAnsi="宋体" w:eastAsia="宋体" w:cs="宋体"/>
          <w:b w:val="0"/>
          <w:bCs/>
          <w:sz w:val="21"/>
          <w:szCs w:val="21"/>
        </w:rPr>
        <w:t>2.2 提供施工现场和工作条件</w:t>
      </w:r>
      <w:bookmarkEnd w:id="928"/>
      <w:bookmarkEnd w:id="929"/>
      <w:bookmarkEnd w:id="930"/>
      <w:bookmarkEnd w:id="931"/>
      <w:bookmarkStart w:id="932" w:name="_Ref531950085"/>
    </w:p>
    <w:p>
      <w:pPr>
        <w:pStyle w:val="686"/>
        <w:numPr>
          <w:ilvl w:val="0"/>
          <w:numId w:val="0"/>
        </w:numPr>
        <w:spacing w:line="400" w:lineRule="exact"/>
        <w:rPr>
          <w:rFonts w:hint="eastAsia" w:cs="宋体"/>
          <w:sz w:val="21"/>
        </w:rPr>
      </w:pPr>
      <w:r>
        <w:rPr>
          <w:rFonts w:hint="eastAsia" w:cs="宋体"/>
          <w:sz w:val="21"/>
        </w:rPr>
        <w:t>2.2.1 提供施工</w:t>
      </w:r>
      <w:bookmarkEnd w:id="932"/>
      <w:r>
        <w:rPr>
          <w:rFonts w:hint="eastAsia" w:cs="宋体"/>
          <w:sz w:val="21"/>
        </w:rPr>
        <w:t>现场</w:t>
      </w:r>
    </w:p>
    <w:p>
      <w:pPr>
        <w:spacing w:line="400" w:lineRule="exact"/>
        <w:ind w:firstLine="600"/>
        <w:rPr>
          <w:rFonts w:hint="eastAsia" w:ascii="宋体" w:hAnsi="宋体" w:cs="宋体"/>
          <w:color w:val="000000"/>
          <w:szCs w:val="21"/>
        </w:rPr>
      </w:pPr>
      <w:r>
        <w:rPr>
          <w:rFonts w:hint="eastAsia" w:ascii="宋体" w:hAnsi="宋体" w:cs="宋体"/>
          <w:szCs w:val="21"/>
        </w:rPr>
        <w:t>发包人应按专用合同条件约定向承包人移交施工现场，给承包人进入和占用施工现场各部分的权利，并明确与承包人的交接界面，上述进入和占用权可不为承包人独享。如专用合同条件没有约定移交时间的，则发包人应最迟于计划开始现场施工日期7天前向承包人移交施工现场，但承包人未能按照第4.2款[履约担保]提供履约担保的除外。</w:t>
      </w:r>
    </w:p>
    <w:p>
      <w:pPr>
        <w:pStyle w:val="686"/>
        <w:numPr>
          <w:ilvl w:val="0"/>
          <w:numId w:val="0"/>
        </w:numPr>
        <w:spacing w:line="400" w:lineRule="exact"/>
        <w:rPr>
          <w:rFonts w:hint="eastAsia" w:cs="宋体"/>
          <w:sz w:val="21"/>
        </w:rPr>
      </w:pPr>
      <w:bookmarkStart w:id="933" w:name="_Ref531950101"/>
      <w:r>
        <w:rPr>
          <w:rFonts w:hint="eastAsia" w:cs="宋体"/>
          <w:sz w:val="21"/>
        </w:rPr>
        <w:t>2.2.2 提供工作条件</w:t>
      </w:r>
      <w:bookmarkEnd w:id="933"/>
    </w:p>
    <w:p>
      <w:pPr>
        <w:spacing w:line="400" w:lineRule="exact"/>
        <w:ind w:firstLine="600"/>
        <w:rPr>
          <w:rFonts w:hint="eastAsia" w:ascii="宋体" w:hAnsi="宋体" w:cs="宋体"/>
          <w:szCs w:val="21"/>
        </w:rPr>
      </w:pPr>
      <w:r>
        <w:rPr>
          <w:rFonts w:hint="eastAsia" w:ascii="宋体" w:hAnsi="宋体" w:cs="宋体"/>
          <w:szCs w:val="21"/>
        </w:rPr>
        <w:t>发包人应按专用合同条件约定向承包人提供工作条件。专用合同条件对此没有约定的，发包人应负责提供开展本合同相关工作所需要的条件，包括：</w:t>
      </w:r>
    </w:p>
    <w:p>
      <w:pPr>
        <w:spacing w:line="400" w:lineRule="exact"/>
        <w:ind w:firstLine="600"/>
        <w:rPr>
          <w:rFonts w:hint="eastAsia" w:ascii="宋体" w:hAnsi="宋体" w:cs="宋体"/>
          <w:szCs w:val="21"/>
        </w:rPr>
      </w:pPr>
      <w:r>
        <w:rPr>
          <w:rFonts w:hint="eastAsia" w:ascii="宋体" w:hAnsi="宋体" w:cs="宋体"/>
          <w:szCs w:val="21"/>
        </w:rPr>
        <w:t>（1） 将施工用水、电力、通讯线路等施工所必需的条件接至施工现场内；</w:t>
      </w:r>
    </w:p>
    <w:p>
      <w:pPr>
        <w:spacing w:line="400" w:lineRule="exact"/>
        <w:ind w:firstLine="600"/>
        <w:rPr>
          <w:rFonts w:hint="eastAsia" w:ascii="宋体" w:hAnsi="宋体" w:cs="宋体"/>
          <w:szCs w:val="21"/>
        </w:rPr>
      </w:pPr>
      <w:r>
        <w:rPr>
          <w:rFonts w:hint="eastAsia" w:ascii="宋体" w:hAnsi="宋体" w:cs="宋体"/>
          <w:szCs w:val="21"/>
        </w:rPr>
        <w:t>（2） 保证向承包人提供正常施工所需要的进入施工现场的交通条件；</w:t>
      </w:r>
    </w:p>
    <w:p>
      <w:pPr>
        <w:spacing w:line="400" w:lineRule="exact"/>
        <w:ind w:firstLine="600"/>
        <w:rPr>
          <w:rFonts w:hint="eastAsia" w:ascii="宋体" w:hAnsi="宋体" w:cs="宋体"/>
          <w:szCs w:val="21"/>
        </w:rPr>
      </w:pPr>
      <w:r>
        <w:rPr>
          <w:rFonts w:hint="eastAsia" w:ascii="宋体" w:hAnsi="宋体" w:cs="宋体"/>
          <w:szCs w:val="21"/>
        </w:rPr>
        <w:t>（3） 协调处理施工现场周围地下管线和邻近建筑物、构筑物、古树名木、文物、化石及坟墓等的保护工作，并承担相关费用；</w:t>
      </w:r>
    </w:p>
    <w:p>
      <w:pPr>
        <w:spacing w:line="400" w:lineRule="exact"/>
        <w:ind w:firstLine="600"/>
        <w:rPr>
          <w:rFonts w:hint="eastAsia" w:ascii="宋体" w:hAnsi="宋体" w:cs="宋体"/>
          <w:szCs w:val="21"/>
        </w:rPr>
      </w:pPr>
      <w:r>
        <w:rPr>
          <w:rFonts w:hint="eastAsia" w:ascii="宋体" w:hAnsi="宋体" w:cs="宋体"/>
          <w:szCs w:val="21"/>
        </w:rPr>
        <w:t>（4） 对工程现场临近发包人正在使用、运行、或由发包人用于生产的建筑物、构筑物、生产装置、设施、设备等，设置隔离设施，竖立禁止入内、禁止动火的明显标志， 并以书面形式通知承包人须遵守的安全规定和位置范围；</w:t>
      </w:r>
    </w:p>
    <w:p>
      <w:pPr>
        <w:spacing w:line="400" w:lineRule="exact"/>
        <w:ind w:firstLine="600"/>
        <w:rPr>
          <w:rFonts w:hint="eastAsia" w:ascii="宋体" w:hAnsi="宋体" w:cs="宋体"/>
          <w:szCs w:val="21"/>
        </w:rPr>
      </w:pPr>
      <w:r>
        <w:rPr>
          <w:rFonts w:hint="eastAsia" w:ascii="宋体" w:hAnsi="宋体" w:cs="宋体"/>
          <w:szCs w:val="21"/>
        </w:rPr>
        <w:t>（5） 按照专用合同条件约定应提供的其他设施和条件。</w:t>
      </w:r>
    </w:p>
    <w:p>
      <w:pPr>
        <w:pStyle w:val="686"/>
        <w:numPr>
          <w:ilvl w:val="0"/>
          <w:numId w:val="0"/>
        </w:numPr>
        <w:spacing w:line="400" w:lineRule="exact"/>
        <w:rPr>
          <w:rFonts w:hint="eastAsia" w:cs="宋体"/>
          <w:sz w:val="21"/>
        </w:rPr>
      </w:pPr>
      <w:r>
        <w:rPr>
          <w:rFonts w:hint="eastAsia" w:cs="宋体"/>
          <w:sz w:val="21"/>
        </w:rPr>
        <w:t>2.2.3 逾期提供的责任</w:t>
      </w:r>
    </w:p>
    <w:p>
      <w:pPr>
        <w:spacing w:line="400" w:lineRule="exact"/>
        <w:ind w:firstLine="600"/>
        <w:rPr>
          <w:rFonts w:hint="eastAsia" w:ascii="宋体" w:hAnsi="宋体" w:cs="宋体"/>
          <w:szCs w:val="21"/>
        </w:rPr>
      </w:pPr>
      <w:r>
        <w:rPr>
          <w:rFonts w:hint="eastAsia" w:ascii="宋体" w:hAnsi="宋体" w:cs="宋体"/>
          <w:szCs w:val="21"/>
        </w:rPr>
        <w:t>因发包人原因未能按合同约定及时向承包人提供施工现场和施工条件的，由发包人承担由此增加的费用和（或）延误的工期。</w:t>
      </w:r>
    </w:p>
    <w:p>
      <w:pPr>
        <w:pStyle w:val="685"/>
        <w:widowControl/>
        <w:numPr>
          <w:ilvl w:val="0"/>
          <w:numId w:val="0"/>
        </w:numPr>
        <w:spacing w:line="400" w:lineRule="exact"/>
        <w:rPr>
          <w:rFonts w:hint="eastAsia" w:ascii="宋体" w:hAnsi="宋体" w:eastAsia="宋体" w:cs="宋体"/>
          <w:b w:val="0"/>
          <w:bCs/>
          <w:sz w:val="21"/>
          <w:szCs w:val="21"/>
        </w:rPr>
      </w:pPr>
      <w:bookmarkStart w:id="934" w:name="_Toc54862198"/>
      <w:bookmarkStart w:id="935" w:name="_Ref11956647"/>
      <w:bookmarkStart w:id="936" w:name="_Ref11918025"/>
      <w:bookmarkStart w:id="937" w:name="_Ref11918036"/>
      <w:bookmarkStart w:id="938" w:name="_Ref11956654"/>
      <w:bookmarkStart w:id="939" w:name="_Toc59203097"/>
      <w:r>
        <w:rPr>
          <w:rFonts w:hint="eastAsia" w:ascii="宋体" w:hAnsi="宋体" w:eastAsia="宋体" w:cs="宋体"/>
          <w:b w:val="0"/>
          <w:bCs/>
          <w:sz w:val="21"/>
          <w:szCs w:val="21"/>
        </w:rPr>
        <w:t>2.3 提供基础资料</w:t>
      </w:r>
      <w:bookmarkEnd w:id="934"/>
      <w:bookmarkEnd w:id="935"/>
      <w:bookmarkEnd w:id="936"/>
      <w:bookmarkEnd w:id="937"/>
      <w:bookmarkEnd w:id="938"/>
      <w:bookmarkEnd w:id="939"/>
    </w:p>
    <w:p>
      <w:pPr>
        <w:spacing w:line="400" w:lineRule="exact"/>
        <w:ind w:firstLine="600"/>
        <w:rPr>
          <w:rFonts w:hint="eastAsia" w:ascii="宋体" w:hAnsi="宋体" w:cs="宋体"/>
          <w:szCs w:val="21"/>
        </w:rPr>
      </w:pPr>
      <w:bookmarkStart w:id="940" w:name="_Hlk51506429"/>
      <w:r>
        <w:rPr>
          <w:rFonts w:hint="eastAsia" w:ascii="宋体" w:hAnsi="宋体" w:cs="宋体"/>
          <w:szCs w:val="21"/>
        </w:rPr>
        <w:t>发包人应按专用合同条件和《发包人要求》中的约定向承包人提供</w:t>
      </w:r>
      <w:bookmarkEnd w:id="940"/>
      <w:r>
        <w:rPr>
          <w:rFonts w:hint="eastAsia" w:ascii="宋体" w:hAnsi="宋体" w:cs="宋体"/>
          <w:szCs w:val="21"/>
        </w:rPr>
        <w:t>施工现场及工程实施所必需的毗邻区域内的供水、排水、供电、供气、供热、通信、广播电视等地上、地下管线和设施资料，气象和水文观测资料，地质勘察资料，相邻建筑物、构筑物和地下工程等有关基础资料，并根据第1.12款[《发包人要求》和基础资料中的错误]承担基础资料错误造成的责任。按照法律规定确需在开工后方能提供的基础资料，发包人应尽其努力及时地在相应工程实施前的合理期限内提供，合理期限应以不影响承包人的正常履约为限。因发包人原因未能在合理期限内提供相应基础资料的，由发包人承担由此增加的费用和延误的工期。</w:t>
      </w:r>
    </w:p>
    <w:p>
      <w:pPr>
        <w:pStyle w:val="685"/>
        <w:widowControl/>
        <w:numPr>
          <w:ilvl w:val="0"/>
          <w:numId w:val="0"/>
        </w:numPr>
        <w:spacing w:line="400" w:lineRule="exact"/>
        <w:rPr>
          <w:rFonts w:hint="eastAsia" w:ascii="宋体" w:hAnsi="宋体" w:eastAsia="宋体" w:cs="宋体"/>
          <w:b w:val="0"/>
          <w:bCs/>
          <w:sz w:val="21"/>
          <w:szCs w:val="21"/>
        </w:rPr>
      </w:pPr>
      <w:bookmarkStart w:id="941" w:name="_Ref531950041"/>
      <w:bookmarkStart w:id="942" w:name="_Toc54862199"/>
      <w:bookmarkStart w:id="943" w:name="_Toc59203098"/>
      <w:bookmarkStart w:id="944" w:name="_Ref531950045"/>
      <w:r>
        <w:rPr>
          <w:rFonts w:hint="eastAsia" w:ascii="宋体" w:hAnsi="宋体" w:eastAsia="宋体" w:cs="宋体"/>
          <w:b w:val="0"/>
          <w:bCs/>
          <w:sz w:val="21"/>
          <w:szCs w:val="21"/>
        </w:rPr>
        <w:t>2.4 办理许可和批准</w:t>
      </w:r>
      <w:bookmarkEnd w:id="941"/>
      <w:bookmarkEnd w:id="942"/>
      <w:bookmarkEnd w:id="943"/>
      <w:bookmarkEnd w:id="944"/>
    </w:p>
    <w:p>
      <w:pPr>
        <w:pStyle w:val="686"/>
        <w:numPr>
          <w:ilvl w:val="0"/>
          <w:numId w:val="0"/>
        </w:numPr>
        <w:spacing w:line="400" w:lineRule="exact"/>
        <w:rPr>
          <w:rFonts w:hint="eastAsia" w:cs="宋体"/>
          <w:sz w:val="21"/>
        </w:rPr>
      </w:pPr>
      <w:bookmarkStart w:id="945" w:name="_Toc51505128"/>
      <w:r>
        <w:rPr>
          <w:rFonts w:hint="eastAsia" w:cs="宋体"/>
          <w:sz w:val="21"/>
        </w:rPr>
        <w:t>2.4.1 发包人在履行合同过程中应遵守法律，并办理法律规定或合同约定由其办理的许可、批准或备案，包括但不限于建设用地规划许可证、建设工程规划许可证、建设工程施工许可证等许可和批准。对于法律规定或合同约定由承包人负责的有关设计、施工证件、批件或备案，发包人应给予必要的协助。</w:t>
      </w:r>
      <w:bookmarkEnd w:id="945"/>
    </w:p>
    <w:p>
      <w:pPr>
        <w:pStyle w:val="686"/>
        <w:numPr>
          <w:ilvl w:val="0"/>
          <w:numId w:val="0"/>
        </w:numPr>
        <w:spacing w:line="400" w:lineRule="exact"/>
        <w:rPr>
          <w:rFonts w:hint="eastAsia" w:cs="宋体"/>
          <w:sz w:val="21"/>
        </w:rPr>
      </w:pPr>
      <w:bookmarkStart w:id="946" w:name="_Toc51505129"/>
      <w:r>
        <w:rPr>
          <w:rFonts w:hint="eastAsia" w:cs="宋体"/>
          <w:sz w:val="21"/>
        </w:rPr>
        <w:t>2.4.2 因发包人原因未能及时办理完毕前述许可、批准或备案，由发包人承担由此增加的费用和（或）延误的工期，并支付承包人合理的利润。</w:t>
      </w:r>
      <w:bookmarkEnd w:id="946"/>
    </w:p>
    <w:p>
      <w:pPr>
        <w:pStyle w:val="685"/>
        <w:widowControl/>
        <w:numPr>
          <w:ilvl w:val="0"/>
          <w:numId w:val="0"/>
        </w:numPr>
        <w:spacing w:line="400" w:lineRule="exact"/>
        <w:rPr>
          <w:rFonts w:hint="eastAsia" w:ascii="宋体" w:hAnsi="宋体" w:eastAsia="宋体" w:cs="宋体"/>
          <w:b w:val="0"/>
          <w:bCs/>
          <w:sz w:val="21"/>
          <w:szCs w:val="21"/>
        </w:rPr>
      </w:pPr>
      <w:bookmarkStart w:id="947" w:name="_Ref11956533"/>
      <w:bookmarkStart w:id="948" w:name="_Ref11918070"/>
      <w:bookmarkStart w:id="949" w:name="_Ref11918060"/>
      <w:bookmarkStart w:id="950" w:name="_Toc54862200"/>
      <w:bookmarkStart w:id="951" w:name="_Toc59203099"/>
      <w:bookmarkStart w:id="952" w:name="_Ref11956525"/>
      <w:r>
        <w:rPr>
          <w:rFonts w:hint="eastAsia" w:ascii="宋体" w:hAnsi="宋体" w:eastAsia="宋体" w:cs="宋体"/>
          <w:b w:val="0"/>
          <w:bCs/>
          <w:sz w:val="21"/>
          <w:szCs w:val="21"/>
        </w:rPr>
        <w:t>2.5 支付合同价款</w:t>
      </w:r>
      <w:bookmarkEnd w:id="947"/>
      <w:bookmarkEnd w:id="948"/>
      <w:bookmarkEnd w:id="949"/>
      <w:bookmarkEnd w:id="950"/>
      <w:bookmarkEnd w:id="951"/>
      <w:bookmarkEnd w:id="952"/>
    </w:p>
    <w:p>
      <w:pPr>
        <w:pStyle w:val="686"/>
        <w:numPr>
          <w:ilvl w:val="0"/>
          <w:numId w:val="0"/>
        </w:numPr>
        <w:spacing w:line="400" w:lineRule="exact"/>
        <w:rPr>
          <w:rFonts w:hint="eastAsia" w:cs="宋体"/>
          <w:sz w:val="21"/>
        </w:rPr>
      </w:pPr>
      <w:bookmarkStart w:id="953" w:name="_Toc51505131"/>
      <w:bookmarkStart w:id="954" w:name="_Ref531950147"/>
      <w:r>
        <w:rPr>
          <w:rFonts w:hint="eastAsia" w:cs="宋体"/>
          <w:sz w:val="21"/>
        </w:rPr>
        <w:t>2.5.1 发包人应按合同约定向承包人及时支付合同价款。</w:t>
      </w:r>
      <w:bookmarkEnd w:id="953"/>
    </w:p>
    <w:bookmarkEnd w:id="954"/>
    <w:p>
      <w:pPr>
        <w:pStyle w:val="686"/>
        <w:numPr>
          <w:ilvl w:val="0"/>
          <w:numId w:val="0"/>
        </w:numPr>
        <w:spacing w:line="400" w:lineRule="exact"/>
        <w:rPr>
          <w:rFonts w:hint="eastAsia" w:cs="宋体"/>
          <w:sz w:val="21"/>
        </w:rPr>
      </w:pPr>
      <w:bookmarkStart w:id="955" w:name="_Toc51505132"/>
      <w:r>
        <w:rPr>
          <w:rFonts w:hint="eastAsia" w:cs="宋体"/>
          <w:sz w:val="21"/>
        </w:rPr>
        <w:t>2.5.2 发包人应当制定资金安排计划，除专用合同条件另有约定外，如发包人拟对资金安排做任何重要变更，应将变更的详细情况通知承包人。如发生承包人收到价格大于签约合同价10%的变更指示或累计变更的总价超过签约合同价30%；或承包人未能根据第14条[合同价格与支付]收到付款，或承包人得知发包人的资金安排发生重要变更但并未收到发包人上述重要变更通知的情况，则承包人可随时要求发包人在28天内补充提供能够按照合同约定支付合同价款的相应资金来源证明。</w:t>
      </w:r>
      <w:bookmarkEnd w:id="955"/>
    </w:p>
    <w:p>
      <w:pPr>
        <w:pStyle w:val="686"/>
        <w:numPr>
          <w:ilvl w:val="0"/>
          <w:numId w:val="0"/>
        </w:numPr>
        <w:spacing w:line="400" w:lineRule="exact"/>
        <w:rPr>
          <w:rFonts w:hint="eastAsia" w:cs="宋体"/>
          <w:sz w:val="21"/>
        </w:rPr>
      </w:pPr>
      <w:bookmarkStart w:id="956" w:name="_Ref531950161"/>
      <w:bookmarkStart w:id="957" w:name="_Toc51505133"/>
      <w:r>
        <w:rPr>
          <w:rFonts w:hint="eastAsia" w:cs="宋体"/>
          <w:sz w:val="21"/>
        </w:rPr>
        <w:t>2.5.3 发包人应当向承包人提供支付担保。支付担保可以采用银行保函或担保公司担保等形式，具体由合同当事人在专用合同条件中约定。</w:t>
      </w:r>
      <w:bookmarkEnd w:id="956"/>
      <w:bookmarkEnd w:id="957"/>
    </w:p>
    <w:p>
      <w:pPr>
        <w:pStyle w:val="685"/>
        <w:widowControl/>
        <w:numPr>
          <w:ilvl w:val="0"/>
          <w:numId w:val="0"/>
        </w:numPr>
        <w:spacing w:line="400" w:lineRule="exact"/>
        <w:rPr>
          <w:rFonts w:hint="eastAsia" w:ascii="宋体" w:hAnsi="宋体" w:eastAsia="宋体" w:cs="宋体"/>
          <w:b w:val="0"/>
          <w:bCs/>
          <w:sz w:val="21"/>
          <w:szCs w:val="21"/>
        </w:rPr>
      </w:pPr>
      <w:bookmarkStart w:id="958" w:name="_Toc59203100"/>
      <w:bookmarkStart w:id="959" w:name="_Toc54862201"/>
      <w:r>
        <w:rPr>
          <w:rFonts w:hint="eastAsia" w:ascii="宋体" w:hAnsi="宋体" w:eastAsia="宋体" w:cs="宋体"/>
          <w:b w:val="0"/>
          <w:bCs/>
          <w:sz w:val="21"/>
          <w:szCs w:val="21"/>
        </w:rPr>
        <w:t>2.6 现场管理配合</w:t>
      </w:r>
      <w:bookmarkEnd w:id="958"/>
      <w:bookmarkEnd w:id="959"/>
    </w:p>
    <w:p>
      <w:pPr>
        <w:spacing w:line="400" w:lineRule="exact"/>
        <w:ind w:firstLine="600"/>
        <w:rPr>
          <w:rFonts w:hint="eastAsia" w:ascii="宋体" w:hAnsi="宋体" w:cs="宋体"/>
          <w:szCs w:val="21"/>
        </w:rPr>
      </w:pPr>
      <w:r>
        <w:rPr>
          <w:rFonts w:hint="eastAsia" w:ascii="宋体" w:hAnsi="宋体" w:cs="宋体"/>
          <w:szCs w:val="21"/>
        </w:rPr>
        <w:t>发包人应负责保证在现场或现场附近的发包人人员和发包人的其他承包人（如有）：</w:t>
      </w:r>
    </w:p>
    <w:p>
      <w:pPr>
        <w:spacing w:line="400" w:lineRule="exact"/>
        <w:ind w:firstLine="600"/>
        <w:rPr>
          <w:rFonts w:hint="eastAsia" w:ascii="宋体" w:hAnsi="宋体" w:cs="宋体"/>
          <w:szCs w:val="21"/>
        </w:rPr>
      </w:pPr>
      <w:r>
        <w:rPr>
          <w:rFonts w:hint="eastAsia" w:ascii="宋体" w:hAnsi="宋体" w:cs="宋体"/>
          <w:szCs w:val="21"/>
        </w:rPr>
        <w:t>（1） 根据第7.3款[现场合作]的约定，与承包人进行合作；</w:t>
      </w:r>
    </w:p>
    <w:p>
      <w:pPr>
        <w:spacing w:line="400" w:lineRule="exact"/>
        <w:ind w:firstLine="600"/>
        <w:rPr>
          <w:rFonts w:hint="eastAsia" w:ascii="宋体" w:hAnsi="宋体" w:cs="宋体"/>
          <w:szCs w:val="21"/>
        </w:rPr>
      </w:pPr>
      <w:r>
        <w:rPr>
          <w:rFonts w:hint="eastAsia" w:ascii="宋体" w:hAnsi="宋体" w:cs="宋体"/>
          <w:szCs w:val="21"/>
        </w:rPr>
        <w:t>（2） 遵守第7.5款[现场劳动用工]、第7.6款[安全文明施工]、第7.7款[职业健康</w:t>
      </w:r>
      <w:bookmarkStart w:id="960" w:name="_Ref531952756"/>
      <w:bookmarkStart w:id="961" w:name="_Ref531952761"/>
      <w:r>
        <w:rPr>
          <w:rFonts w:hint="eastAsia" w:ascii="宋体" w:hAnsi="宋体" w:cs="宋体"/>
          <w:szCs w:val="21"/>
        </w:rPr>
        <w:t>]和第7.8款[环境保护]的相关约定。</w:t>
      </w:r>
    </w:p>
    <w:p>
      <w:pPr>
        <w:spacing w:line="400" w:lineRule="exact"/>
        <w:ind w:firstLine="600"/>
        <w:rPr>
          <w:rFonts w:hint="eastAsia" w:ascii="宋体" w:hAnsi="宋体" w:cs="宋体"/>
          <w:szCs w:val="21"/>
        </w:rPr>
      </w:pPr>
      <w:r>
        <w:rPr>
          <w:rFonts w:hint="eastAsia" w:ascii="宋体" w:hAnsi="宋体" w:cs="宋体"/>
          <w:szCs w:val="21"/>
        </w:rPr>
        <w:t>发包人应与承包人、由发包人直接发包的其他承包人（如有）订立施工现场统一管理协议，明确各方的权利义务。</w:t>
      </w:r>
    </w:p>
    <w:p>
      <w:pPr>
        <w:pStyle w:val="685"/>
        <w:widowControl/>
        <w:numPr>
          <w:ilvl w:val="0"/>
          <w:numId w:val="0"/>
        </w:numPr>
        <w:spacing w:line="400" w:lineRule="exact"/>
        <w:rPr>
          <w:rFonts w:hint="eastAsia" w:ascii="宋体" w:hAnsi="宋体" w:eastAsia="宋体" w:cs="宋体"/>
          <w:b w:val="0"/>
          <w:bCs/>
          <w:sz w:val="21"/>
          <w:szCs w:val="21"/>
        </w:rPr>
      </w:pPr>
      <w:bookmarkStart w:id="962" w:name="_Ref11959372"/>
      <w:bookmarkStart w:id="963" w:name="_Ref11959376"/>
      <w:bookmarkStart w:id="964" w:name="_Toc59203101"/>
      <w:bookmarkStart w:id="965" w:name="_Toc54862202"/>
      <w:r>
        <w:rPr>
          <w:rFonts w:hint="eastAsia" w:ascii="宋体" w:hAnsi="宋体" w:eastAsia="宋体" w:cs="宋体"/>
          <w:b w:val="0"/>
          <w:bCs/>
          <w:sz w:val="21"/>
          <w:szCs w:val="21"/>
        </w:rPr>
        <w:t>2.7 其他义务</w:t>
      </w:r>
      <w:bookmarkEnd w:id="962"/>
      <w:bookmarkEnd w:id="963"/>
      <w:bookmarkEnd w:id="964"/>
      <w:bookmarkEnd w:id="965"/>
    </w:p>
    <w:p>
      <w:pPr>
        <w:spacing w:line="400" w:lineRule="exact"/>
        <w:ind w:firstLine="600"/>
        <w:rPr>
          <w:rFonts w:hint="eastAsia" w:ascii="宋体" w:hAnsi="宋体" w:cs="宋体"/>
          <w:szCs w:val="21"/>
        </w:rPr>
      </w:pPr>
      <w:r>
        <w:rPr>
          <w:rFonts w:hint="eastAsia" w:ascii="宋体" w:hAnsi="宋体" w:cs="宋体"/>
          <w:szCs w:val="21"/>
        </w:rPr>
        <w:t>发包人应履行合同约定的其他义务，双方可在专用合同条件内对发包人应履行的其他义务进行补充约定。</w:t>
      </w:r>
    </w:p>
    <w:bookmarkEnd w:id="960"/>
    <w:bookmarkEnd w:id="961"/>
    <w:p>
      <w:pPr>
        <w:pStyle w:val="684"/>
        <w:numPr>
          <w:ilvl w:val="0"/>
          <w:numId w:val="0"/>
        </w:numPr>
        <w:spacing w:line="400" w:lineRule="exact"/>
        <w:rPr>
          <w:rFonts w:hint="eastAsia" w:ascii="宋体" w:hAnsi="宋体" w:eastAsia="宋体" w:cs="宋体"/>
          <w:b w:val="0"/>
          <w:szCs w:val="21"/>
        </w:rPr>
      </w:pPr>
      <w:bookmarkStart w:id="966" w:name="_Toc59203102"/>
      <w:bookmarkStart w:id="967" w:name="_Toc54862203"/>
      <w:bookmarkStart w:id="968" w:name="_Ref531952791"/>
      <w:r>
        <w:rPr>
          <w:rFonts w:hint="eastAsia" w:ascii="宋体" w:hAnsi="宋体" w:eastAsia="宋体" w:cs="宋体"/>
          <w:b w:val="0"/>
          <w:szCs w:val="21"/>
        </w:rPr>
        <w:t>第3条 发包人的管理</w:t>
      </w:r>
      <w:bookmarkEnd w:id="966"/>
      <w:bookmarkEnd w:id="967"/>
      <w:bookmarkEnd w:id="968"/>
    </w:p>
    <w:p>
      <w:pPr>
        <w:pStyle w:val="685"/>
        <w:widowControl/>
        <w:numPr>
          <w:ilvl w:val="0"/>
          <w:numId w:val="0"/>
        </w:numPr>
        <w:spacing w:line="400" w:lineRule="exact"/>
        <w:rPr>
          <w:rFonts w:hint="eastAsia" w:ascii="宋体" w:hAnsi="宋体" w:eastAsia="宋体" w:cs="宋体"/>
          <w:b w:val="0"/>
          <w:bCs/>
          <w:sz w:val="21"/>
          <w:szCs w:val="21"/>
        </w:rPr>
      </w:pPr>
      <w:bookmarkStart w:id="969" w:name="_Ref522810097"/>
      <w:bookmarkStart w:id="970" w:name="_Ref522810094"/>
      <w:bookmarkStart w:id="971" w:name="_Toc54862204"/>
      <w:bookmarkStart w:id="972" w:name="_Ref531951538"/>
      <w:bookmarkStart w:id="973" w:name="_Toc59203103"/>
      <w:bookmarkStart w:id="974" w:name="_Ref531951533"/>
      <w:r>
        <w:rPr>
          <w:rFonts w:hint="eastAsia" w:ascii="宋体" w:hAnsi="宋体" w:eastAsia="宋体" w:cs="宋体"/>
          <w:b w:val="0"/>
          <w:bCs/>
          <w:sz w:val="21"/>
          <w:szCs w:val="21"/>
        </w:rPr>
        <w:t>3.1 发包人</w:t>
      </w:r>
      <w:bookmarkEnd w:id="969"/>
      <w:bookmarkEnd w:id="970"/>
      <w:r>
        <w:rPr>
          <w:rFonts w:hint="eastAsia" w:ascii="宋体" w:hAnsi="宋体" w:eastAsia="宋体" w:cs="宋体"/>
          <w:b w:val="0"/>
          <w:bCs/>
          <w:sz w:val="21"/>
          <w:szCs w:val="21"/>
        </w:rPr>
        <w:t>代表</w:t>
      </w:r>
      <w:bookmarkEnd w:id="971"/>
      <w:bookmarkEnd w:id="972"/>
      <w:bookmarkEnd w:id="973"/>
      <w:bookmarkEnd w:id="974"/>
    </w:p>
    <w:p>
      <w:pPr>
        <w:spacing w:line="400" w:lineRule="exact"/>
        <w:ind w:firstLine="600"/>
        <w:rPr>
          <w:rFonts w:hint="eastAsia" w:ascii="宋体" w:hAnsi="宋体" w:cs="宋体"/>
          <w:szCs w:val="21"/>
        </w:rPr>
      </w:pPr>
      <w:r>
        <w:rPr>
          <w:rFonts w:hint="eastAsia" w:ascii="宋体" w:hAnsi="宋体" w:cs="宋体"/>
          <w:szCs w:val="21"/>
        </w:rPr>
        <w:t>发包人应任命发包人代表，并在专用合同条件中明确发包人代表的姓名、职务、联系方式及授权范围等事项。发包人代表应在发包人的授权范围内，负责处理合同履行过程中与发包人有关的具体事宜。发包人代表在授权范围内的行为由发包人承担法律责任。</w:t>
      </w:r>
    </w:p>
    <w:p>
      <w:pPr>
        <w:spacing w:line="400" w:lineRule="exact"/>
        <w:ind w:firstLine="600"/>
        <w:rPr>
          <w:rFonts w:hint="eastAsia" w:ascii="宋体" w:hAnsi="宋体" w:cs="宋体"/>
          <w:szCs w:val="21"/>
        </w:rPr>
      </w:pPr>
      <w:r>
        <w:rPr>
          <w:rFonts w:hint="eastAsia" w:ascii="宋体" w:hAnsi="宋体" w:cs="宋体"/>
          <w:szCs w:val="21"/>
        </w:rPr>
        <w:t>除非发包人另行通知承包人，发包人代表应被授予并且被认为具有发包人在授权范围内享有的相应权利，涉及第16.1款[由发包人解除合同]的权利除外。</w:t>
      </w:r>
    </w:p>
    <w:p>
      <w:pPr>
        <w:spacing w:line="400" w:lineRule="exact"/>
        <w:ind w:firstLine="600"/>
        <w:rPr>
          <w:rFonts w:hint="eastAsia" w:ascii="宋体" w:hAnsi="宋体" w:cs="宋体"/>
          <w:szCs w:val="21"/>
        </w:rPr>
      </w:pPr>
      <w:r>
        <w:rPr>
          <w:rFonts w:hint="eastAsia" w:ascii="宋体" w:hAnsi="宋体" w:cs="宋体"/>
          <w:szCs w:val="21"/>
        </w:rPr>
        <w:t>发包人代表（或者在其为法人的情况下，被任命代表其行事的自然人）应：</w:t>
      </w:r>
    </w:p>
    <w:p>
      <w:pPr>
        <w:spacing w:line="400" w:lineRule="exact"/>
        <w:ind w:firstLine="600"/>
        <w:rPr>
          <w:rFonts w:hint="eastAsia" w:ascii="宋体" w:hAnsi="宋体" w:cs="宋体"/>
          <w:szCs w:val="21"/>
        </w:rPr>
      </w:pPr>
      <w:r>
        <w:rPr>
          <w:rFonts w:hint="eastAsia" w:ascii="宋体" w:hAnsi="宋体" w:cs="宋体"/>
          <w:szCs w:val="21"/>
        </w:rPr>
        <w:t>（1） 履行指派给其的职责，行使发包人托付给的权利；</w:t>
      </w:r>
    </w:p>
    <w:p>
      <w:pPr>
        <w:spacing w:line="400" w:lineRule="exact"/>
        <w:ind w:firstLine="600"/>
        <w:rPr>
          <w:rFonts w:hint="eastAsia" w:ascii="宋体" w:hAnsi="宋体" w:cs="宋体"/>
          <w:szCs w:val="21"/>
        </w:rPr>
      </w:pPr>
      <w:r>
        <w:rPr>
          <w:rFonts w:hint="eastAsia" w:ascii="宋体" w:hAnsi="宋体" w:cs="宋体"/>
          <w:szCs w:val="21"/>
        </w:rPr>
        <w:t>（2） 具备履行这些职责、行使这些权利的能力；</w:t>
      </w:r>
    </w:p>
    <w:p>
      <w:pPr>
        <w:spacing w:line="400" w:lineRule="exact"/>
        <w:ind w:firstLine="600"/>
        <w:rPr>
          <w:rFonts w:hint="eastAsia" w:ascii="宋体" w:hAnsi="宋体" w:cs="宋体"/>
          <w:szCs w:val="21"/>
        </w:rPr>
      </w:pPr>
      <w:r>
        <w:rPr>
          <w:rFonts w:hint="eastAsia" w:ascii="宋体" w:hAnsi="宋体" w:cs="宋体"/>
          <w:szCs w:val="21"/>
        </w:rPr>
        <w:t>（3） 作为熟练的专业人员行事。</w:t>
      </w:r>
    </w:p>
    <w:p>
      <w:pPr>
        <w:spacing w:line="400" w:lineRule="exact"/>
        <w:ind w:firstLine="600"/>
        <w:rPr>
          <w:rFonts w:hint="eastAsia" w:ascii="宋体" w:hAnsi="宋体" w:cs="宋体"/>
          <w:szCs w:val="21"/>
        </w:rPr>
      </w:pPr>
      <w:r>
        <w:rPr>
          <w:rFonts w:hint="eastAsia" w:ascii="宋体" w:hAnsi="宋体" w:cs="宋体"/>
          <w:szCs w:val="21"/>
        </w:rPr>
        <w:t>如果发包人代表为法人且在签订本合同时未能确定授权代表的，发包人代表应在本合同签订之日起3日内向双方发出书面通知，告知被任命和授权的自然人以及任何替代人员。此授权在双方收到本通知后生效。发包人代表撤销该授权或者变更授权代表时也应同样发出该通知。</w:t>
      </w:r>
    </w:p>
    <w:p>
      <w:pPr>
        <w:spacing w:line="400" w:lineRule="exact"/>
        <w:ind w:firstLine="600"/>
        <w:rPr>
          <w:rFonts w:hint="eastAsia" w:ascii="宋体" w:hAnsi="宋体" w:cs="宋体"/>
          <w:szCs w:val="21"/>
        </w:rPr>
      </w:pPr>
      <w:r>
        <w:rPr>
          <w:rFonts w:hint="eastAsia" w:ascii="宋体" w:hAnsi="宋体" w:cs="宋体"/>
          <w:szCs w:val="21"/>
        </w:rPr>
        <w:t>发包人更换发包人代表的，应提前14天将更换人的姓名、地址、任务和权利、以及任命的日期书面通知承包人。发包人不得将发包人代表更换为承包人根据本款发出通知提出合理反对意见的人员，不论是法人还是自然人。</w:t>
      </w:r>
    </w:p>
    <w:p>
      <w:pPr>
        <w:spacing w:line="400" w:lineRule="exact"/>
        <w:ind w:firstLine="600"/>
        <w:rPr>
          <w:rFonts w:hint="eastAsia" w:ascii="宋体" w:hAnsi="宋体" w:cs="宋体"/>
          <w:szCs w:val="21"/>
        </w:rPr>
      </w:pPr>
      <w:r>
        <w:rPr>
          <w:rFonts w:hint="eastAsia" w:ascii="宋体" w:hAnsi="宋体" w:cs="宋体"/>
          <w:szCs w:val="21"/>
        </w:rPr>
        <w:t>发包人代表不能按照合同约定履行其职责及义务，并导致合同无法继续正常履行的，承包人可以要求发包人撤换发包人代表。</w:t>
      </w:r>
    </w:p>
    <w:p>
      <w:pPr>
        <w:pStyle w:val="685"/>
        <w:widowControl/>
        <w:numPr>
          <w:ilvl w:val="0"/>
          <w:numId w:val="0"/>
        </w:numPr>
        <w:spacing w:line="400" w:lineRule="exact"/>
        <w:rPr>
          <w:rFonts w:hint="eastAsia" w:ascii="宋体" w:hAnsi="宋体" w:eastAsia="宋体" w:cs="宋体"/>
          <w:b w:val="0"/>
          <w:bCs/>
          <w:sz w:val="21"/>
          <w:szCs w:val="21"/>
        </w:rPr>
      </w:pPr>
      <w:bookmarkStart w:id="975" w:name="_Ref531951557"/>
      <w:bookmarkStart w:id="976" w:name="_Toc59203104"/>
      <w:bookmarkStart w:id="977" w:name="_Toc54862205"/>
      <w:bookmarkStart w:id="978" w:name="_Ref531951553"/>
      <w:r>
        <w:rPr>
          <w:rFonts w:hint="eastAsia" w:ascii="宋体" w:hAnsi="宋体" w:eastAsia="宋体" w:cs="宋体"/>
          <w:b w:val="0"/>
          <w:bCs/>
          <w:sz w:val="21"/>
          <w:szCs w:val="21"/>
        </w:rPr>
        <w:t>3.2 发包人人员</w:t>
      </w:r>
      <w:bookmarkEnd w:id="975"/>
      <w:bookmarkEnd w:id="976"/>
      <w:bookmarkEnd w:id="977"/>
      <w:bookmarkEnd w:id="978"/>
    </w:p>
    <w:p>
      <w:pPr>
        <w:spacing w:line="400" w:lineRule="exact"/>
        <w:ind w:firstLine="600"/>
        <w:rPr>
          <w:rFonts w:hint="eastAsia" w:ascii="宋体" w:hAnsi="宋体" w:cs="宋体"/>
          <w:szCs w:val="21"/>
        </w:rPr>
      </w:pPr>
      <w:r>
        <w:rPr>
          <w:rFonts w:hint="eastAsia" w:ascii="宋体" w:hAnsi="宋体" w:cs="宋体"/>
          <w:szCs w:val="21"/>
        </w:rPr>
        <w:t>发包人人员包括发包人代表、工程师及其他由发包人派驻施工现场的人员，发包人可以在专用合同条件中明确发包人人员的姓名、职务及职责等事项。发包人或发包人代表可随时对一些助手指派和托付一定的任务和权利，也可撤销这些指派和托付。这些助手可包括驻地工程师或担任检验、试验各项工程设备和材料的独立检查员。这些助手应具有适当的资质、履行其任务和权利的能力。以上指派、托付或撤销，在承包人收到通知后生效。承包人对于可能影响正常履约或工程安全质量的发包人人员保有随时提出沟通的权利。</w:t>
      </w:r>
    </w:p>
    <w:p>
      <w:pPr>
        <w:spacing w:line="400" w:lineRule="exact"/>
        <w:ind w:firstLine="600"/>
        <w:rPr>
          <w:rFonts w:hint="eastAsia" w:ascii="宋体" w:hAnsi="宋体" w:cs="宋体"/>
          <w:szCs w:val="21"/>
        </w:rPr>
      </w:pPr>
      <w:r>
        <w:rPr>
          <w:rFonts w:hint="eastAsia" w:ascii="宋体" w:hAnsi="宋体" w:cs="宋体"/>
          <w:szCs w:val="21"/>
        </w:rPr>
        <w:t>发包人应要求在施工现场的发包人人员遵守法律及有关安全、质量、环境保护、文明施工等规定，因发包人人员未遵守上述要求给承包人造成的损失和责任由发包人承担。</w:t>
      </w:r>
    </w:p>
    <w:p>
      <w:pPr>
        <w:pStyle w:val="685"/>
        <w:widowControl/>
        <w:numPr>
          <w:ilvl w:val="0"/>
          <w:numId w:val="0"/>
        </w:numPr>
        <w:spacing w:line="400" w:lineRule="exact"/>
        <w:rPr>
          <w:rFonts w:hint="eastAsia" w:ascii="宋体" w:hAnsi="宋体" w:eastAsia="宋体" w:cs="宋体"/>
          <w:b w:val="0"/>
          <w:bCs/>
          <w:sz w:val="21"/>
          <w:szCs w:val="21"/>
        </w:rPr>
      </w:pPr>
      <w:bookmarkStart w:id="979" w:name="_Toc54862206"/>
      <w:bookmarkStart w:id="980" w:name="_Toc59203105"/>
      <w:r>
        <w:rPr>
          <w:rFonts w:hint="eastAsia" w:ascii="宋体" w:hAnsi="宋体" w:eastAsia="宋体" w:cs="宋体"/>
          <w:b w:val="0"/>
          <w:bCs/>
          <w:sz w:val="21"/>
          <w:szCs w:val="21"/>
        </w:rPr>
        <w:t>3.3 工程师</w:t>
      </w:r>
      <w:bookmarkEnd w:id="979"/>
      <w:bookmarkEnd w:id="980"/>
      <w:r>
        <w:rPr>
          <w:rFonts w:hint="eastAsia" w:ascii="宋体" w:hAnsi="宋体" w:eastAsia="宋体" w:cs="宋体"/>
          <w:b w:val="0"/>
          <w:bCs/>
          <w:sz w:val="21"/>
          <w:szCs w:val="21"/>
        </w:rPr>
        <w:t xml:space="preserve"> </w:t>
      </w:r>
    </w:p>
    <w:p>
      <w:pPr>
        <w:pStyle w:val="686"/>
        <w:numPr>
          <w:ilvl w:val="0"/>
          <w:numId w:val="0"/>
        </w:numPr>
        <w:spacing w:line="400" w:lineRule="exact"/>
        <w:rPr>
          <w:rFonts w:hint="eastAsia" w:cs="宋体"/>
          <w:sz w:val="21"/>
        </w:rPr>
      </w:pPr>
      <w:r>
        <w:rPr>
          <w:rFonts w:hint="eastAsia" w:cs="宋体"/>
          <w:sz w:val="21"/>
        </w:rPr>
        <w:t>3.3.1 发包人需对承包人的设计、采购、施工、服务等工作过程或过程节点实施监督管理的，有权委任工程师。工程师的名称、监督管理范围、内容和权限在专用合同条件中写明。根据国家相关法律法规规定，如本合同工程属于强制监理项目的，由工程师履行法定的监理相关职责，但发包人另行授权第三方进行监理的除外。</w:t>
      </w:r>
    </w:p>
    <w:p>
      <w:pPr>
        <w:pStyle w:val="686"/>
        <w:numPr>
          <w:ilvl w:val="0"/>
          <w:numId w:val="0"/>
        </w:numPr>
        <w:spacing w:line="400" w:lineRule="exact"/>
        <w:rPr>
          <w:rFonts w:hint="eastAsia" w:cs="宋体"/>
          <w:sz w:val="21"/>
        </w:rPr>
      </w:pPr>
      <w:r>
        <w:rPr>
          <w:rFonts w:hint="eastAsia" w:cs="宋体"/>
          <w:sz w:val="21"/>
        </w:rPr>
        <w:t>3.3.2 工程师按发包人委托的范围、内容、职权和权限，代表发包人对承包人实施监督管理。若承包人认为工程师行使的职权不在发包人委托的授权范围之内的，则其有权拒绝执行工程师的相关指示，同时应及时通知发包人，发包人书面确认工程师相关指示的，承包人应遵照执行。</w:t>
      </w:r>
    </w:p>
    <w:p>
      <w:pPr>
        <w:pStyle w:val="686"/>
        <w:numPr>
          <w:ilvl w:val="0"/>
          <w:numId w:val="0"/>
        </w:numPr>
        <w:spacing w:line="400" w:lineRule="exact"/>
        <w:rPr>
          <w:rFonts w:hint="eastAsia" w:cs="宋体"/>
          <w:sz w:val="21"/>
        </w:rPr>
      </w:pPr>
      <w:r>
        <w:rPr>
          <w:rFonts w:hint="eastAsia" w:cs="宋体"/>
          <w:sz w:val="21"/>
        </w:rPr>
        <w:t>3.3.3 在发包人和承包人之间提供证明、行使决定权或处理权时，工程师应作为独立专业的第三方，根据自己的专业技能和判断进行工作。但工程师或其人员均无权修改合同，且无权减轻或免除合同当事人的任何责任与义务。</w:t>
      </w:r>
    </w:p>
    <w:p>
      <w:pPr>
        <w:pStyle w:val="686"/>
        <w:numPr>
          <w:ilvl w:val="0"/>
          <w:numId w:val="0"/>
        </w:numPr>
        <w:spacing w:line="400" w:lineRule="exact"/>
        <w:rPr>
          <w:rFonts w:hint="eastAsia" w:cs="宋体"/>
          <w:sz w:val="21"/>
        </w:rPr>
      </w:pPr>
      <w:r>
        <w:rPr>
          <w:rFonts w:hint="eastAsia" w:cs="宋体"/>
          <w:sz w:val="21"/>
        </w:rPr>
        <w:t>3.3.4 通用合同条件中约定由工程师行使的职权如不在发包人对工程师的授权范围内的，则视为没有取得授权，该职权应由发包人或发包人指定的其他人员行使。若承包人认为工程师的职权与发包人（包括其人员）的职权相重叠或不明确时，应及时通知发包人，由发包人予以协调和明确并以书面形式通知承包人。</w:t>
      </w:r>
    </w:p>
    <w:p>
      <w:pPr>
        <w:pStyle w:val="685"/>
        <w:widowControl/>
        <w:numPr>
          <w:ilvl w:val="0"/>
          <w:numId w:val="0"/>
        </w:numPr>
        <w:spacing w:line="400" w:lineRule="exact"/>
        <w:rPr>
          <w:rFonts w:hint="eastAsia" w:ascii="宋体" w:hAnsi="宋体" w:eastAsia="宋体" w:cs="宋体"/>
          <w:b w:val="0"/>
          <w:bCs/>
          <w:sz w:val="21"/>
          <w:szCs w:val="21"/>
        </w:rPr>
      </w:pPr>
      <w:bookmarkStart w:id="981" w:name="_Toc54862207"/>
      <w:bookmarkStart w:id="982" w:name="_Toc59203106"/>
      <w:bookmarkStart w:id="983" w:name="_Ref531951594"/>
      <w:bookmarkStart w:id="984" w:name="_Ref531951597"/>
      <w:r>
        <w:rPr>
          <w:rFonts w:hint="eastAsia" w:ascii="宋体" w:hAnsi="宋体" w:eastAsia="宋体" w:cs="宋体"/>
          <w:b w:val="0"/>
          <w:bCs/>
          <w:sz w:val="21"/>
          <w:szCs w:val="21"/>
        </w:rPr>
        <w:t>3.4 任命和授权</w:t>
      </w:r>
      <w:bookmarkEnd w:id="981"/>
      <w:bookmarkEnd w:id="982"/>
    </w:p>
    <w:p>
      <w:pPr>
        <w:pStyle w:val="686"/>
        <w:numPr>
          <w:ilvl w:val="0"/>
          <w:numId w:val="0"/>
        </w:numPr>
        <w:spacing w:line="400" w:lineRule="exact"/>
        <w:rPr>
          <w:rFonts w:hint="eastAsia" w:cs="宋体"/>
          <w:sz w:val="21"/>
        </w:rPr>
      </w:pPr>
      <w:r>
        <w:rPr>
          <w:rFonts w:hint="eastAsia" w:cs="宋体"/>
          <w:sz w:val="21"/>
        </w:rPr>
        <w:t>3.4.1 发包人应在发出开始工作通知前将工程师的任命通知承包人。更换工程师的，发包人应提前7天以书面形式通知承包人，并在通知中写明替换者的姓名、职务、职权、权限和任命时间。工程师超过2天不能履行职责的，应委派代表代行其职责，并通知承包人。</w:t>
      </w:r>
    </w:p>
    <w:p>
      <w:pPr>
        <w:pStyle w:val="686"/>
        <w:numPr>
          <w:ilvl w:val="0"/>
          <w:numId w:val="0"/>
        </w:numPr>
        <w:spacing w:line="400" w:lineRule="exact"/>
        <w:rPr>
          <w:rFonts w:hint="eastAsia" w:cs="宋体"/>
          <w:sz w:val="21"/>
        </w:rPr>
      </w:pPr>
      <w:r>
        <w:rPr>
          <w:rFonts w:hint="eastAsia" w:cs="宋体"/>
          <w:sz w:val="21"/>
        </w:rPr>
        <w:t>3.4.2 工程师可以授权其他人员负责执行其指派的一项或多项工作，但第3.6款[商定或确定]下的权利除外。工程师应将被授权人员的姓名及其授权范围通知承包人。被授权的人员在授权范围内发出的指示视为已得到工程师的同意，与工程师发出的指示具有同等效力。工程师撤销某项授权时，应将撤销授权的决定及时通知承包人。</w:t>
      </w:r>
    </w:p>
    <w:p>
      <w:pPr>
        <w:pStyle w:val="685"/>
        <w:widowControl/>
        <w:numPr>
          <w:ilvl w:val="0"/>
          <w:numId w:val="0"/>
        </w:numPr>
        <w:spacing w:line="400" w:lineRule="exact"/>
        <w:rPr>
          <w:rFonts w:hint="eastAsia" w:ascii="宋体" w:hAnsi="宋体" w:eastAsia="宋体" w:cs="宋体"/>
          <w:b w:val="0"/>
          <w:bCs/>
          <w:sz w:val="21"/>
          <w:szCs w:val="21"/>
        </w:rPr>
      </w:pPr>
      <w:bookmarkStart w:id="985" w:name="_Ref20165400"/>
      <w:bookmarkStart w:id="986" w:name="_Toc59203107"/>
      <w:bookmarkStart w:id="987" w:name="_Toc54862208"/>
      <w:r>
        <w:rPr>
          <w:rFonts w:hint="eastAsia" w:ascii="宋体" w:hAnsi="宋体" w:eastAsia="宋体" w:cs="宋体"/>
          <w:b w:val="0"/>
          <w:bCs/>
          <w:sz w:val="21"/>
          <w:szCs w:val="21"/>
        </w:rPr>
        <w:t>3.5 指示</w:t>
      </w:r>
      <w:bookmarkEnd w:id="983"/>
      <w:bookmarkEnd w:id="984"/>
      <w:bookmarkEnd w:id="985"/>
      <w:bookmarkEnd w:id="986"/>
      <w:bookmarkEnd w:id="987"/>
    </w:p>
    <w:p>
      <w:pPr>
        <w:pStyle w:val="686"/>
        <w:numPr>
          <w:ilvl w:val="0"/>
          <w:numId w:val="0"/>
        </w:numPr>
        <w:spacing w:line="400" w:lineRule="exact"/>
        <w:rPr>
          <w:rFonts w:hint="eastAsia" w:cs="宋体"/>
          <w:sz w:val="21"/>
        </w:rPr>
      </w:pPr>
      <w:r>
        <w:rPr>
          <w:rFonts w:hint="eastAsia" w:cs="宋体"/>
          <w:sz w:val="21"/>
        </w:rPr>
        <w:t>3.5.1 工程师应按照发包人的授权发出指示。工程师的指示应采用书面形式，盖有工程师授权的项目管理机构章，并由工程师的授权人员签字。在紧急情况下，工程师的授权人员可以口头形式发出指示或当场签发临时书面指示，承包人应遵照执行。工程师应在授权人员发出口头指示或临时书面指示后24小时内发出书面确认函，在24小时内未发出书面确认函的，该口头指示或临时书面指示应被视为工程师的正式指示。</w:t>
      </w:r>
    </w:p>
    <w:p>
      <w:pPr>
        <w:pStyle w:val="686"/>
        <w:numPr>
          <w:ilvl w:val="0"/>
          <w:numId w:val="0"/>
        </w:numPr>
        <w:spacing w:line="400" w:lineRule="exact"/>
        <w:rPr>
          <w:rFonts w:hint="eastAsia" w:cs="宋体"/>
          <w:sz w:val="21"/>
        </w:rPr>
      </w:pPr>
      <w:r>
        <w:rPr>
          <w:rFonts w:hint="eastAsia" w:cs="宋体"/>
          <w:sz w:val="21"/>
        </w:rPr>
        <w:t>3.5.2 承包人收到工程师作出的指示后应遵照执行。如果任何此类指示构成一项变更时，应按照第13条[变更与调整]的约定办理。</w:t>
      </w:r>
    </w:p>
    <w:p>
      <w:pPr>
        <w:pStyle w:val="686"/>
        <w:numPr>
          <w:ilvl w:val="0"/>
          <w:numId w:val="0"/>
        </w:numPr>
        <w:spacing w:line="400" w:lineRule="exact"/>
        <w:rPr>
          <w:rFonts w:hint="eastAsia" w:cs="宋体"/>
          <w:sz w:val="21"/>
        </w:rPr>
      </w:pPr>
      <w:r>
        <w:rPr>
          <w:rFonts w:hint="eastAsia" w:cs="宋体"/>
          <w:sz w:val="21"/>
        </w:rPr>
        <w:t>3.5.3 由于工程师未能按合同约定发出指示、指示延误或指示错误而导致承包人费用增加和（或）工期延误的，发包人应承担由此增加的费用和（或）工期延误，并向承包人支付合理利润。</w:t>
      </w:r>
    </w:p>
    <w:p>
      <w:pPr>
        <w:pStyle w:val="685"/>
        <w:widowControl/>
        <w:numPr>
          <w:ilvl w:val="0"/>
          <w:numId w:val="0"/>
        </w:numPr>
        <w:spacing w:line="400" w:lineRule="exact"/>
        <w:rPr>
          <w:rFonts w:hint="eastAsia" w:ascii="宋体" w:hAnsi="宋体" w:eastAsia="宋体" w:cs="宋体"/>
          <w:b w:val="0"/>
          <w:bCs/>
          <w:sz w:val="21"/>
          <w:szCs w:val="21"/>
        </w:rPr>
      </w:pPr>
      <w:bookmarkStart w:id="988" w:name="_Toc54862209"/>
      <w:bookmarkStart w:id="989" w:name="_Ref531951609"/>
      <w:bookmarkStart w:id="990" w:name="_Ref531951611"/>
      <w:bookmarkStart w:id="991" w:name="_Toc59203108"/>
      <w:r>
        <w:rPr>
          <w:rFonts w:hint="eastAsia" w:ascii="宋体" w:hAnsi="宋体" w:eastAsia="宋体" w:cs="宋体"/>
          <w:b w:val="0"/>
          <w:bCs/>
          <w:sz w:val="21"/>
          <w:szCs w:val="21"/>
        </w:rPr>
        <w:t>3.6 商定或确定</w:t>
      </w:r>
      <w:bookmarkEnd w:id="988"/>
      <w:bookmarkEnd w:id="989"/>
      <w:bookmarkEnd w:id="990"/>
      <w:bookmarkEnd w:id="991"/>
    </w:p>
    <w:p>
      <w:pPr>
        <w:pStyle w:val="686"/>
        <w:numPr>
          <w:ilvl w:val="0"/>
          <w:numId w:val="0"/>
        </w:numPr>
        <w:spacing w:line="400" w:lineRule="exact"/>
        <w:rPr>
          <w:rFonts w:hint="eastAsia" w:cs="宋体"/>
          <w:sz w:val="21"/>
        </w:rPr>
      </w:pPr>
      <w:r>
        <w:rPr>
          <w:rFonts w:hint="eastAsia" w:cs="宋体"/>
          <w:sz w:val="21"/>
        </w:rPr>
        <w:t>3.6.1 合同约定工程师应按照本款对任何事项进行商定或确定时，工程师应及时与合同当事人协商，尽量达成一致。工程师应将商定的结果以书面形式通知发包人和承包人，并由双方签署确认。</w:t>
      </w:r>
    </w:p>
    <w:p>
      <w:pPr>
        <w:pStyle w:val="686"/>
        <w:numPr>
          <w:ilvl w:val="0"/>
          <w:numId w:val="0"/>
        </w:numPr>
        <w:spacing w:line="400" w:lineRule="exact"/>
        <w:rPr>
          <w:rFonts w:hint="eastAsia" w:cs="宋体"/>
          <w:sz w:val="21"/>
        </w:rPr>
      </w:pPr>
      <w:r>
        <w:rPr>
          <w:rFonts w:hint="eastAsia" w:cs="宋体"/>
          <w:sz w:val="21"/>
        </w:rPr>
        <w:t>3.6.2 除专用合同条件另有约定外，商定的期限应为工程师收到任何一方就商定事由发出的通知后42天内或工程师提出并经双方同意的其他期限。未能在该期限内达成一致的，由工程师按照合同约定审慎做出公正的确定。确定的期限应为商定的期限届满后42天内或工程师提出并经双方同意的其他期限。工程师应将确定的结果以书面形式通知发包人和承包人，并附详细依据。</w:t>
      </w:r>
    </w:p>
    <w:p>
      <w:pPr>
        <w:pStyle w:val="686"/>
        <w:numPr>
          <w:ilvl w:val="0"/>
          <w:numId w:val="0"/>
        </w:numPr>
        <w:spacing w:line="400" w:lineRule="exact"/>
        <w:rPr>
          <w:rFonts w:hint="eastAsia" w:cs="宋体"/>
          <w:sz w:val="21"/>
        </w:rPr>
      </w:pPr>
      <w:bookmarkStart w:id="992" w:name="_Ref532287856"/>
      <w:r>
        <w:rPr>
          <w:rFonts w:hint="eastAsia" w:cs="宋体"/>
          <w:sz w:val="21"/>
        </w:rPr>
        <w:t>3.6.3 任何一方对工程师的确定有异议的，应在收到确定的结果后28天内向另一方发出书面异议通知并抄送工程师。除第19.2款[承包人索赔的处理程序]另有约定外，工程师未能在确定的期限内发出确定的结果通知的，或者任何一方发出对确定的结果有异议的通知的，则构成争议并应按照第20条[争议解决]的约定处理。如未在28天内发出上述通知的，工程师的确定应被视为已被双方接受并对双方具有约束力，但专用合同条件另有约定的除外。</w:t>
      </w:r>
      <w:bookmarkEnd w:id="992"/>
    </w:p>
    <w:p>
      <w:pPr>
        <w:pStyle w:val="686"/>
        <w:numPr>
          <w:ilvl w:val="0"/>
          <w:numId w:val="0"/>
        </w:numPr>
        <w:spacing w:line="400" w:lineRule="exact"/>
        <w:rPr>
          <w:rFonts w:hint="eastAsia" w:cs="宋体"/>
          <w:sz w:val="21"/>
        </w:rPr>
      </w:pPr>
      <w:r>
        <w:rPr>
          <w:rFonts w:hint="eastAsia" w:cs="宋体"/>
          <w:sz w:val="21"/>
        </w:rPr>
        <w:t>3.6.4 在该争议解决前，双方应暂按工程师的确定执行。按照第20条[争议解决]的约定对工程师的确定作出修改的，按修改后的结果执行，由此导致承包人增加的费用和延误的工期由责任方承担。</w:t>
      </w:r>
    </w:p>
    <w:p>
      <w:pPr>
        <w:pStyle w:val="685"/>
        <w:widowControl/>
        <w:numPr>
          <w:ilvl w:val="0"/>
          <w:numId w:val="0"/>
        </w:numPr>
        <w:spacing w:line="400" w:lineRule="exact"/>
        <w:rPr>
          <w:rFonts w:hint="eastAsia" w:ascii="宋体" w:hAnsi="宋体" w:eastAsia="宋体" w:cs="宋体"/>
          <w:b w:val="0"/>
          <w:bCs/>
          <w:sz w:val="21"/>
          <w:szCs w:val="21"/>
        </w:rPr>
      </w:pPr>
      <w:bookmarkStart w:id="993" w:name="_Ref531951747"/>
      <w:bookmarkStart w:id="994" w:name="_Ref531951749"/>
      <w:bookmarkStart w:id="995" w:name="_Toc59203109"/>
      <w:bookmarkStart w:id="996" w:name="_Toc54862210"/>
      <w:r>
        <w:rPr>
          <w:rFonts w:hint="eastAsia" w:ascii="宋体" w:hAnsi="宋体" w:eastAsia="宋体" w:cs="宋体"/>
          <w:b w:val="0"/>
          <w:bCs/>
          <w:sz w:val="21"/>
          <w:szCs w:val="21"/>
        </w:rPr>
        <w:t>3.7 会议</w:t>
      </w:r>
      <w:bookmarkEnd w:id="993"/>
      <w:bookmarkEnd w:id="994"/>
      <w:bookmarkEnd w:id="995"/>
      <w:bookmarkEnd w:id="996"/>
    </w:p>
    <w:p>
      <w:pPr>
        <w:pStyle w:val="686"/>
        <w:numPr>
          <w:ilvl w:val="0"/>
          <w:numId w:val="0"/>
        </w:numPr>
        <w:spacing w:line="400" w:lineRule="exact"/>
        <w:rPr>
          <w:rFonts w:hint="eastAsia" w:cs="宋体"/>
          <w:sz w:val="21"/>
        </w:rPr>
      </w:pPr>
      <w:r>
        <w:rPr>
          <w:rFonts w:hint="eastAsia" w:cs="宋体"/>
          <w:sz w:val="21"/>
        </w:rPr>
        <w:t>3.7.1 除专用合同条件另有约定外，任何一方可向另一方发出通知，要求另一方出席会议，讨论工程的实施安排或与本合同履行有关的其他事项。发包人的其他承包人、承包人的分包人和其他第三方可应任何一方的请求出席任何此类会议。</w:t>
      </w:r>
    </w:p>
    <w:p>
      <w:pPr>
        <w:pStyle w:val="686"/>
        <w:numPr>
          <w:ilvl w:val="0"/>
          <w:numId w:val="0"/>
        </w:numPr>
        <w:spacing w:line="400" w:lineRule="exact"/>
        <w:rPr>
          <w:rFonts w:hint="eastAsia" w:cs="宋体"/>
          <w:sz w:val="21"/>
        </w:rPr>
      </w:pPr>
      <w:r>
        <w:rPr>
          <w:rFonts w:hint="eastAsia" w:cs="宋体"/>
          <w:sz w:val="21"/>
        </w:rPr>
        <w:t>3.7.2 除专用合同条件另有约定外，发包人应保存每次会议参加人签名的记录，并将会议纪要提供给出席会议的人员。任何根据此类会议以及会议纪要采取的行动应符合本合同的约定。</w:t>
      </w:r>
    </w:p>
    <w:p>
      <w:pPr>
        <w:pStyle w:val="684"/>
        <w:numPr>
          <w:ilvl w:val="0"/>
          <w:numId w:val="0"/>
        </w:numPr>
        <w:spacing w:line="400" w:lineRule="exact"/>
        <w:rPr>
          <w:rFonts w:hint="eastAsia" w:ascii="宋体" w:hAnsi="宋体" w:eastAsia="宋体" w:cs="宋体"/>
          <w:b w:val="0"/>
          <w:szCs w:val="21"/>
        </w:rPr>
      </w:pPr>
      <w:bookmarkStart w:id="997" w:name="_Toc59203110"/>
      <w:bookmarkStart w:id="998" w:name="_Ref531952805"/>
      <w:bookmarkStart w:id="999" w:name="_Toc54862211"/>
      <w:r>
        <w:rPr>
          <w:rFonts w:hint="eastAsia" w:ascii="宋体" w:hAnsi="宋体" w:eastAsia="宋体" w:cs="宋体"/>
          <w:b w:val="0"/>
          <w:szCs w:val="21"/>
        </w:rPr>
        <w:t>第4条 承包人</w:t>
      </w:r>
      <w:bookmarkEnd w:id="997"/>
      <w:bookmarkEnd w:id="998"/>
      <w:bookmarkEnd w:id="999"/>
    </w:p>
    <w:p>
      <w:pPr>
        <w:pStyle w:val="685"/>
        <w:widowControl/>
        <w:numPr>
          <w:ilvl w:val="0"/>
          <w:numId w:val="0"/>
        </w:numPr>
        <w:spacing w:line="400" w:lineRule="exact"/>
        <w:rPr>
          <w:rFonts w:hint="eastAsia" w:ascii="宋体" w:hAnsi="宋体" w:eastAsia="宋体" w:cs="宋体"/>
          <w:b w:val="0"/>
          <w:bCs/>
          <w:sz w:val="21"/>
          <w:szCs w:val="21"/>
        </w:rPr>
      </w:pPr>
      <w:bookmarkStart w:id="1000" w:name="_Toc59203111"/>
      <w:bookmarkStart w:id="1001" w:name="_Toc54862212"/>
      <w:bookmarkStart w:id="1002" w:name="_Ref531951961"/>
      <w:bookmarkStart w:id="1003" w:name="_Ref531951958"/>
      <w:bookmarkStart w:id="1004" w:name="_Ref531951945"/>
      <w:bookmarkStart w:id="1005" w:name="_Ref531951941"/>
      <w:bookmarkStart w:id="1006" w:name="_Ref531951975"/>
      <w:r>
        <w:rPr>
          <w:rFonts w:hint="eastAsia" w:ascii="宋体" w:hAnsi="宋体" w:eastAsia="宋体" w:cs="宋体"/>
          <w:b w:val="0"/>
          <w:bCs/>
          <w:sz w:val="21"/>
          <w:szCs w:val="21"/>
        </w:rPr>
        <w:t>4.1 承包人的一般义务</w:t>
      </w:r>
      <w:bookmarkEnd w:id="1000"/>
      <w:bookmarkEnd w:id="1001"/>
      <w:bookmarkEnd w:id="1002"/>
      <w:bookmarkEnd w:id="1003"/>
      <w:bookmarkEnd w:id="1004"/>
      <w:bookmarkEnd w:id="1005"/>
      <w:bookmarkEnd w:id="1006"/>
      <w:r>
        <w:rPr>
          <w:rFonts w:hint="eastAsia" w:ascii="宋体" w:hAnsi="宋体" w:eastAsia="宋体" w:cs="宋体"/>
          <w:b w:val="0"/>
          <w:bCs/>
          <w:sz w:val="21"/>
          <w:szCs w:val="21"/>
        </w:rPr>
        <w:t xml:space="preserve"> </w:t>
      </w:r>
    </w:p>
    <w:p>
      <w:pPr>
        <w:spacing w:line="400" w:lineRule="exact"/>
        <w:ind w:firstLine="600"/>
        <w:rPr>
          <w:rFonts w:hint="eastAsia" w:ascii="宋体" w:hAnsi="宋体" w:cs="宋体"/>
          <w:szCs w:val="21"/>
        </w:rPr>
      </w:pPr>
      <w:bookmarkStart w:id="1007" w:name="_Ref509046929"/>
      <w:r>
        <w:rPr>
          <w:rFonts w:hint="eastAsia" w:ascii="宋体" w:hAnsi="宋体" w:cs="宋体"/>
          <w:szCs w:val="21"/>
        </w:rPr>
        <w:t>除专用合同条件另有约定外，承包人在履行合同过程中应遵守法律和工程建设标准规范，并履行以下义务：</w:t>
      </w:r>
    </w:p>
    <w:p>
      <w:pPr>
        <w:spacing w:line="400" w:lineRule="exact"/>
        <w:ind w:firstLine="600"/>
        <w:rPr>
          <w:rFonts w:hint="eastAsia" w:ascii="宋体" w:hAnsi="宋体" w:cs="宋体"/>
          <w:szCs w:val="21"/>
        </w:rPr>
      </w:pPr>
      <w:r>
        <w:rPr>
          <w:rFonts w:hint="eastAsia" w:ascii="宋体" w:hAnsi="宋体" w:cs="宋体"/>
          <w:szCs w:val="21"/>
        </w:rPr>
        <w:t>（1） 办理法律规定和合同约定由承包人办理的许可和批准，将办理结果书面报送发包人留存，并承担因承包人违反法律或合同约定给发包人造成的任何费用和损失；</w:t>
      </w:r>
    </w:p>
    <w:p>
      <w:pPr>
        <w:spacing w:line="400" w:lineRule="exact"/>
        <w:ind w:firstLine="600"/>
        <w:rPr>
          <w:rFonts w:hint="eastAsia" w:ascii="宋体" w:hAnsi="宋体" w:cs="宋体"/>
          <w:szCs w:val="21"/>
        </w:rPr>
      </w:pPr>
      <w:r>
        <w:rPr>
          <w:rFonts w:hint="eastAsia" w:ascii="宋体" w:hAnsi="宋体" w:cs="宋体"/>
          <w:szCs w:val="21"/>
        </w:rPr>
        <w:t>（2） 按合同约定完成全部工作并在缺陷责任期和保修期内承担缺陷保证责任和保修义务，对工作中的任何缺陷进行整改、完善和修补，使其满足合同约定的目的；</w:t>
      </w:r>
    </w:p>
    <w:p>
      <w:pPr>
        <w:spacing w:line="400" w:lineRule="exact"/>
        <w:ind w:firstLine="600"/>
        <w:rPr>
          <w:rFonts w:hint="eastAsia" w:ascii="宋体" w:hAnsi="宋体" w:cs="宋体"/>
          <w:szCs w:val="21"/>
        </w:rPr>
      </w:pPr>
      <w:r>
        <w:rPr>
          <w:rFonts w:hint="eastAsia" w:ascii="宋体" w:hAnsi="宋体" w:cs="宋体"/>
          <w:szCs w:val="21"/>
        </w:rPr>
        <w:t>（3） 提供合同约定的工程设备和承包人文件，以及为完成合同工作所需的劳务、材料、施工设备和其他物品，并按合同约定负责临时设施的设计、施工、运行、维护、管理和拆除；</w:t>
      </w:r>
    </w:p>
    <w:p>
      <w:pPr>
        <w:spacing w:line="400" w:lineRule="exact"/>
        <w:ind w:firstLine="600"/>
        <w:rPr>
          <w:rFonts w:hint="eastAsia" w:ascii="宋体" w:hAnsi="宋体" w:cs="宋体"/>
          <w:szCs w:val="21"/>
        </w:rPr>
      </w:pPr>
      <w:r>
        <w:rPr>
          <w:rFonts w:hint="eastAsia" w:ascii="宋体" w:hAnsi="宋体" w:cs="宋体"/>
          <w:szCs w:val="21"/>
        </w:rPr>
        <w:t>（4） 按合同约定的工作内容和进度要求，编制设计、施工的组织和实施计划，保证项目进度计划的实现，并对所有设计、施工作业和施工方法，以及全部工程的完备性和安全可靠性负责；</w:t>
      </w:r>
    </w:p>
    <w:p>
      <w:pPr>
        <w:spacing w:line="400" w:lineRule="exact"/>
        <w:ind w:firstLine="600"/>
        <w:rPr>
          <w:rFonts w:hint="eastAsia" w:ascii="宋体" w:hAnsi="宋体" w:cs="宋体"/>
          <w:szCs w:val="21"/>
        </w:rPr>
      </w:pPr>
      <w:r>
        <w:rPr>
          <w:rFonts w:hint="eastAsia" w:ascii="宋体" w:hAnsi="宋体" w:cs="宋体"/>
          <w:szCs w:val="21"/>
        </w:rPr>
        <w:t>（5） 按法律规定和合同约定采取安全文明施工、职业健康和环境保护措施，办理员工工伤保险等相关保险，确保工程及人员、材料、设备和设施的安全，防止因工程实施造成的人身伤害和财产损失；</w:t>
      </w:r>
    </w:p>
    <w:p>
      <w:pPr>
        <w:spacing w:line="400" w:lineRule="exact"/>
        <w:ind w:firstLine="600"/>
        <w:rPr>
          <w:rFonts w:hint="eastAsia" w:ascii="宋体" w:hAnsi="宋体" w:cs="宋体"/>
          <w:szCs w:val="21"/>
        </w:rPr>
      </w:pPr>
      <w:r>
        <w:rPr>
          <w:rFonts w:hint="eastAsia" w:ascii="宋体" w:hAnsi="宋体" w:cs="宋体"/>
          <w:szCs w:val="21"/>
        </w:rPr>
        <w:t>（6） 将发包人按合同约定支付的各项价款专用于合同工程，且应及时支付其雇用人员（包括建筑工人）工资，并及时向分包人支付合同价款；</w:t>
      </w:r>
    </w:p>
    <w:p>
      <w:pPr>
        <w:spacing w:line="400" w:lineRule="exact"/>
        <w:ind w:firstLine="600"/>
        <w:rPr>
          <w:rFonts w:hint="eastAsia" w:ascii="宋体" w:hAnsi="宋体" w:cs="宋体"/>
          <w:szCs w:val="21"/>
        </w:rPr>
      </w:pPr>
      <w:r>
        <w:rPr>
          <w:rFonts w:hint="eastAsia" w:ascii="宋体" w:hAnsi="宋体" w:cs="宋体"/>
          <w:szCs w:val="21"/>
        </w:rPr>
        <w:t>（7） 在进行合同约定的各项工作时，不得侵害发包人与他人使用公用道路、水源、市政管网等公共设施的权利，避免对邻近的公共设施产生干扰。</w:t>
      </w:r>
    </w:p>
    <w:p>
      <w:pPr>
        <w:pStyle w:val="685"/>
        <w:widowControl/>
        <w:numPr>
          <w:ilvl w:val="0"/>
          <w:numId w:val="0"/>
        </w:numPr>
        <w:spacing w:line="400" w:lineRule="exact"/>
        <w:rPr>
          <w:rFonts w:hint="eastAsia" w:ascii="宋体" w:hAnsi="宋体" w:eastAsia="宋体" w:cs="宋体"/>
          <w:b w:val="0"/>
          <w:bCs/>
          <w:sz w:val="21"/>
          <w:szCs w:val="21"/>
        </w:rPr>
      </w:pPr>
      <w:bookmarkStart w:id="1008" w:name="_Toc54862213"/>
      <w:bookmarkStart w:id="1009" w:name="_Ref4426803"/>
      <w:bookmarkStart w:id="1010" w:name="_Toc59203112"/>
      <w:bookmarkStart w:id="1011" w:name="_Ref4428418"/>
      <w:r>
        <w:rPr>
          <w:rFonts w:hint="eastAsia" w:ascii="宋体" w:hAnsi="宋体" w:eastAsia="宋体" w:cs="宋体"/>
          <w:b w:val="0"/>
          <w:bCs/>
          <w:sz w:val="21"/>
          <w:szCs w:val="21"/>
        </w:rPr>
        <w:t>4.2 履约担保</w:t>
      </w:r>
      <w:bookmarkEnd w:id="1008"/>
      <w:bookmarkEnd w:id="1009"/>
      <w:bookmarkEnd w:id="1010"/>
    </w:p>
    <w:p>
      <w:pPr>
        <w:spacing w:line="400" w:lineRule="exact"/>
        <w:ind w:firstLine="600"/>
        <w:rPr>
          <w:rFonts w:hint="eastAsia" w:ascii="宋体" w:hAnsi="宋体" w:cs="宋体"/>
          <w:szCs w:val="21"/>
        </w:rPr>
      </w:pPr>
      <w:r>
        <w:rPr>
          <w:rFonts w:hint="eastAsia" w:ascii="宋体" w:hAnsi="宋体" w:cs="宋体"/>
          <w:szCs w:val="21"/>
        </w:rPr>
        <w:t>发包人需要承包人提供履约担保的，由合同当事人在专用合同条件中约定履约担保的方式、金额及提交的时间等，并应符合第2.5款[支付合同价款]的规定。履约担保可以采用银行保函或担保公司担保等形式，承包人为联合体的，其履约担保由联合体各方或者联合体中牵头人的名义代表联合体提交，具体由合同当事人在专用合同条件中约定。</w:t>
      </w:r>
    </w:p>
    <w:p>
      <w:pPr>
        <w:spacing w:line="400" w:lineRule="exact"/>
        <w:ind w:firstLine="600"/>
        <w:rPr>
          <w:rFonts w:hint="eastAsia" w:ascii="宋体" w:hAnsi="宋体" w:cs="宋体"/>
          <w:szCs w:val="21"/>
        </w:rPr>
      </w:pPr>
      <w:r>
        <w:rPr>
          <w:rFonts w:hint="eastAsia" w:ascii="宋体" w:hAnsi="宋体" w:cs="宋体"/>
          <w:szCs w:val="21"/>
        </w:rPr>
        <w:t>承包人应保证其履约担保在发包人竣工验收前一直有效，发包人应在竣工验收合格后7天内将履约担保款项退还给承包人或者解除履约担保。</w:t>
      </w:r>
    </w:p>
    <w:p>
      <w:pPr>
        <w:spacing w:line="400" w:lineRule="exact"/>
        <w:ind w:firstLine="600"/>
        <w:rPr>
          <w:rFonts w:hint="eastAsia" w:ascii="宋体" w:hAnsi="宋体" w:cs="宋体"/>
          <w:szCs w:val="21"/>
        </w:rPr>
      </w:pPr>
      <w:r>
        <w:rPr>
          <w:rFonts w:hint="eastAsia" w:ascii="宋体" w:hAnsi="宋体" w:cs="宋体"/>
          <w:szCs w:val="21"/>
        </w:rPr>
        <w:t>因承包人原因导致工期延长的，继续提供履约担保所增加的费用由承包人承担；非因承包人原因导致工期延长的，继续提供履约担保所增加的费用由发包人承担。</w:t>
      </w:r>
    </w:p>
    <w:bookmarkEnd w:id="1007"/>
    <w:bookmarkEnd w:id="1011"/>
    <w:p>
      <w:pPr>
        <w:pStyle w:val="685"/>
        <w:widowControl/>
        <w:numPr>
          <w:ilvl w:val="0"/>
          <w:numId w:val="0"/>
        </w:numPr>
        <w:spacing w:line="400" w:lineRule="exact"/>
        <w:rPr>
          <w:rFonts w:hint="eastAsia" w:ascii="宋体" w:hAnsi="宋体" w:eastAsia="宋体" w:cs="宋体"/>
          <w:b w:val="0"/>
          <w:bCs/>
          <w:sz w:val="21"/>
          <w:szCs w:val="21"/>
        </w:rPr>
      </w:pPr>
      <w:bookmarkStart w:id="1012" w:name="_Ref532689108"/>
      <w:bookmarkStart w:id="1013" w:name="_Toc54862214"/>
      <w:bookmarkStart w:id="1014" w:name="_Ref532689105"/>
      <w:bookmarkStart w:id="1015" w:name="_Toc59203113"/>
      <w:r>
        <w:rPr>
          <w:rFonts w:hint="eastAsia" w:ascii="宋体" w:hAnsi="宋体" w:eastAsia="宋体" w:cs="宋体"/>
          <w:b w:val="0"/>
          <w:bCs/>
          <w:sz w:val="21"/>
          <w:szCs w:val="21"/>
        </w:rPr>
        <w:t>4.3 工程总承包项目经理</w:t>
      </w:r>
      <w:bookmarkEnd w:id="1012"/>
      <w:bookmarkEnd w:id="1013"/>
      <w:bookmarkEnd w:id="1014"/>
      <w:bookmarkEnd w:id="1015"/>
    </w:p>
    <w:p>
      <w:pPr>
        <w:pStyle w:val="686"/>
        <w:numPr>
          <w:ilvl w:val="0"/>
          <w:numId w:val="0"/>
        </w:numPr>
        <w:spacing w:line="400" w:lineRule="exact"/>
        <w:rPr>
          <w:rFonts w:hint="eastAsia" w:cs="宋体"/>
          <w:sz w:val="21"/>
        </w:rPr>
      </w:pPr>
      <w:bookmarkStart w:id="1016" w:name="_Ref532351726"/>
      <w:r>
        <w:rPr>
          <w:rFonts w:hint="eastAsia" w:cs="宋体"/>
          <w:sz w:val="21"/>
        </w:rPr>
        <w:t>4.3.1 工程总承包项目经理应为合同当事人所确认的人选，并在专用合同条件中明确工程总承包项目经理的姓名、注册执业资格或职称、联系方式及授权范围等事项。工程总承包项目经理应具备履行其职责所需的资格、经验和能力，并为承包人正式聘用的员工，承包人应向发包人提交工程总承包项目经理与承包人之间的劳动合同，以及承包人为工程总承包项目经理缴纳社会保险的有效证明。承包人不提交上述文件的，工程总承包项目经理无权履行职责，发包人有权要求更换工程总承包项目经理，由此增加的费用和（或）延误的工期由承包人承担。同时，发包人有权根据专用合同条件约定要求承包人承担违约责任。</w:t>
      </w:r>
      <w:bookmarkEnd w:id="1016"/>
    </w:p>
    <w:p>
      <w:pPr>
        <w:pStyle w:val="686"/>
        <w:numPr>
          <w:ilvl w:val="0"/>
          <w:numId w:val="0"/>
        </w:numPr>
        <w:spacing w:line="400" w:lineRule="exact"/>
        <w:rPr>
          <w:rFonts w:hint="eastAsia" w:cs="宋体"/>
          <w:sz w:val="21"/>
        </w:rPr>
      </w:pPr>
      <w:bookmarkStart w:id="1017" w:name="_Ref532689263"/>
      <w:r>
        <w:rPr>
          <w:rFonts w:hint="eastAsia" w:cs="宋体"/>
          <w:sz w:val="21"/>
        </w:rPr>
        <w:t>4.3.2 承包人应按合同协议书的约定指派工程总承包项目经理，并在约定的期限内到职。工程总承包项目经理不得同时担任其他工程项目的工程总承包项目经理或施工工程总承包项目经理（含施工总承包工程、专业承包工程）。工程在现场实施的全部时间内，工程总承包项目经理每月在施工现场时间不得少于专用合同条件约定的天数。工程总承包项目经理确需离开施工现场时，应事先通知工程师，并取得发包人的书面同意。工程总承包项目经理未经批准擅自离开施工现场的，承包人应按照专用合同条件的约定承担违约责任。工程总承包项目经理的通知中应当载明临时代行其职责的人员的注册执业资格、管理经验等资料，该人员应具备履行相应职责的资格、经验和能力。</w:t>
      </w:r>
      <w:bookmarkEnd w:id="1017"/>
    </w:p>
    <w:p>
      <w:pPr>
        <w:pStyle w:val="686"/>
        <w:numPr>
          <w:ilvl w:val="0"/>
          <w:numId w:val="0"/>
        </w:numPr>
        <w:spacing w:line="400" w:lineRule="exact"/>
        <w:rPr>
          <w:rFonts w:hint="eastAsia" w:cs="宋体"/>
          <w:sz w:val="21"/>
        </w:rPr>
      </w:pPr>
      <w:bookmarkStart w:id="1018" w:name="_Ref532689178"/>
      <w:bookmarkStart w:id="1019" w:name="_Ref531952112"/>
      <w:r>
        <w:rPr>
          <w:rFonts w:hint="eastAsia" w:cs="宋体"/>
          <w:sz w:val="21"/>
        </w:rPr>
        <w:t>4.3.3 承包人应根据本合同的约定授予工程总承包项目经理代表承包人履行合同所需的权利，工程总承包项目经理权限以专用合同条件中约定的权限为准。经承包人授权后，工程总承包项目经理应按合同约定以及工程师按第3.5款[指示]作出的指示，代表承包人负责组织合同的实施。在紧急情况下，且无法与发包人和工程师取得联系时，工程总承包项目经理有权采取必要的措施保证人身、工程和财产的安全，但须在事后48小时内向工程师送交书面报告。</w:t>
      </w:r>
      <w:bookmarkEnd w:id="1018"/>
    </w:p>
    <w:bookmarkEnd w:id="1019"/>
    <w:p>
      <w:pPr>
        <w:pStyle w:val="686"/>
        <w:numPr>
          <w:ilvl w:val="0"/>
          <w:numId w:val="0"/>
        </w:numPr>
        <w:spacing w:line="400" w:lineRule="exact"/>
        <w:rPr>
          <w:rFonts w:hint="eastAsia" w:cs="宋体"/>
          <w:sz w:val="21"/>
        </w:rPr>
      </w:pPr>
      <w:bookmarkStart w:id="1020" w:name="_Ref4426412"/>
      <w:r>
        <w:rPr>
          <w:rFonts w:hint="eastAsia" w:cs="宋体"/>
          <w:sz w:val="21"/>
        </w:rPr>
        <w:t>4.3.4 承包人需要更换工程总承包项目经理的，应提前14天书面通知发包人并抄送工程师，征得发包人书面同意。通知中应当载明继任工程总承包项目经理的注册执业资格、管理经验等资料，继任工程总承包项目经理继续履行本合同约定的职责。未经发包人书面同意，承包人不得擅自更换工程总承包项目经理，在发包人未予以书面回复期间内，工程总承包项目经理将继续履行其职责。工程总承包项目经理突发丧失履行职务能力的，承包人应当及时委派一位具有相应资格能力的人员担任临时工程总承包项目经理，履行工程总承包项目经理的职责，临时工程总承包项目经理将履行职责直至发包人同意新的工程总承包项目经理的任命之日止。承包人擅自更换工程总承包项目经理的，</w:t>
      </w:r>
      <w:bookmarkStart w:id="1021" w:name="_Hlk55056591"/>
      <w:r>
        <w:rPr>
          <w:rFonts w:hint="eastAsia" w:cs="宋体"/>
          <w:sz w:val="21"/>
        </w:rPr>
        <w:t>应按照专用合同条件的约定承担违约责任。</w:t>
      </w:r>
      <w:bookmarkEnd w:id="1020"/>
      <w:bookmarkEnd w:id="1021"/>
    </w:p>
    <w:p>
      <w:pPr>
        <w:pStyle w:val="686"/>
        <w:numPr>
          <w:ilvl w:val="0"/>
          <w:numId w:val="0"/>
        </w:numPr>
        <w:spacing w:line="400" w:lineRule="exact"/>
        <w:rPr>
          <w:rFonts w:hint="eastAsia" w:cs="宋体"/>
          <w:sz w:val="21"/>
        </w:rPr>
      </w:pPr>
      <w:bookmarkStart w:id="1022" w:name="_Ref531952137"/>
      <w:r>
        <w:rPr>
          <w:rFonts w:hint="eastAsia" w:cs="宋体"/>
          <w:sz w:val="21"/>
        </w:rPr>
        <w:t>4.3.5 发包人有权书面通知承包人要求更换其认为不称职的工程总承包项目经理，通知中应当载明要求更换的理由。承包人应在接到更换通知后14天内向发包人提出书面的改进报告。如承包人没有提出改进报告，应在收到更换通知后28天内更换项目经理。发包人收到改进报告后仍要求更换的，承包人应在接到第二次更换通知的28天内进行更换，并将新任命的工程总承包项目经理的注册执业资格、管理经验等资料书面通知发包人。继任工程总承包项目经理继续履行本合同约定的职责。承包人无正当理由拒绝更换工程总承包项目经理的，应按照专用合同条件的约定承担违约责任。</w:t>
      </w:r>
      <w:bookmarkEnd w:id="1022"/>
    </w:p>
    <w:p>
      <w:pPr>
        <w:pStyle w:val="686"/>
        <w:numPr>
          <w:ilvl w:val="0"/>
          <w:numId w:val="0"/>
        </w:numPr>
        <w:spacing w:line="400" w:lineRule="exact"/>
        <w:rPr>
          <w:rFonts w:hint="eastAsia" w:cs="宋体"/>
          <w:sz w:val="21"/>
        </w:rPr>
      </w:pPr>
      <w:bookmarkStart w:id="1023" w:name="_Ref122620"/>
      <w:r>
        <w:rPr>
          <w:rFonts w:hint="eastAsia" w:cs="宋体"/>
          <w:sz w:val="21"/>
        </w:rPr>
        <w:t>4.3.6 工程总承包项目经理因特殊情况授权其下属人员履行其某项工作职责的，该下属人员应具备履行相应职责的能力，并应事先将上述人员的姓名、注册执业资格、管理经验等信息和授权范围书面通知发包人并抄送工程师，征得发包人书面同意。</w:t>
      </w:r>
      <w:bookmarkEnd w:id="1023"/>
    </w:p>
    <w:p>
      <w:pPr>
        <w:pStyle w:val="685"/>
        <w:widowControl/>
        <w:numPr>
          <w:ilvl w:val="0"/>
          <w:numId w:val="0"/>
        </w:numPr>
        <w:spacing w:line="400" w:lineRule="exact"/>
        <w:rPr>
          <w:rFonts w:hint="eastAsia" w:ascii="宋体" w:hAnsi="宋体" w:eastAsia="宋体" w:cs="宋体"/>
          <w:b w:val="0"/>
          <w:bCs/>
          <w:sz w:val="21"/>
          <w:szCs w:val="21"/>
        </w:rPr>
      </w:pPr>
      <w:bookmarkStart w:id="1024" w:name="_Ref531952172"/>
      <w:bookmarkStart w:id="1025" w:name="_Toc54862215"/>
      <w:bookmarkStart w:id="1026" w:name="_Toc59203114"/>
      <w:bookmarkStart w:id="1027" w:name="_Ref531952175"/>
      <w:r>
        <w:rPr>
          <w:rFonts w:hint="eastAsia" w:ascii="宋体" w:hAnsi="宋体" w:eastAsia="宋体" w:cs="宋体"/>
          <w:b w:val="0"/>
          <w:bCs/>
          <w:sz w:val="21"/>
          <w:szCs w:val="21"/>
        </w:rPr>
        <w:t>4.4 承包人人员</w:t>
      </w:r>
      <w:bookmarkEnd w:id="1024"/>
      <w:bookmarkEnd w:id="1025"/>
      <w:bookmarkEnd w:id="1026"/>
      <w:bookmarkEnd w:id="1027"/>
    </w:p>
    <w:p>
      <w:pPr>
        <w:pStyle w:val="686"/>
        <w:numPr>
          <w:ilvl w:val="0"/>
          <w:numId w:val="0"/>
        </w:numPr>
        <w:spacing w:line="400" w:lineRule="exact"/>
        <w:rPr>
          <w:rFonts w:hint="eastAsia" w:cs="宋体"/>
          <w:sz w:val="21"/>
        </w:rPr>
      </w:pPr>
      <w:bookmarkStart w:id="1028" w:name="_Ref531952185"/>
      <w:r>
        <w:rPr>
          <w:rFonts w:hint="eastAsia" w:cs="宋体"/>
          <w:sz w:val="21"/>
        </w:rPr>
        <w:t>4.4.1 人员安排</w:t>
      </w:r>
      <w:bookmarkEnd w:id="1028"/>
    </w:p>
    <w:p>
      <w:pPr>
        <w:spacing w:line="400" w:lineRule="exact"/>
        <w:ind w:firstLine="600"/>
        <w:rPr>
          <w:rFonts w:hint="eastAsia" w:ascii="宋体" w:hAnsi="宋体" w:cs="宋体"/>
          <w:szCs w:val="21"/>
        </w:rPr>
      </w:pPr>
      <w:r>
        <w:rPr>
          <w:rFonts w:hint="eastAsia" w:ascii="宋体" w:hAnsi="宋体" w:cs="宋体"/>
          <w:szCs w:val="21"/>
        </w:rPr>
        <w:t>承包人人员的资质、数量、配置和管理应能满足工程实施的需要。除专用合同条件另有约定外，承包人应在接到开始工作通知之日起14天内，向工程师提交承包人的项目管理机构以及人员安排的报告，其内容应包括管理机构的设置、各主要岗位的关键人员名单及注册执业资格等证明其具备担任关键人员能力的相关文件，以及设计人员和各工种技术负责人的安排状况。</w:t>
      </w:r>
    </w:p>
    <w:p>
      <w:pPr>
        <w:spacing w:line="400" w:lineRule="exact"/>
        <w:ind w:firstLine="600"/>
        <w:rPr>
          <w:rFonts w:hint="eastAsia" w:ascii="宋体" w:hAnsi="宋体" w:cs="宋体"/>
          <w:szCs w:val="21"/>
        </w:rPr>
      </w:pPr>
      <w:r>
        <w:rPr>
          <w:rFonts w:hint="eastAsia" w:ascii="宋体" w:hAnsi="宋体" w:cs="宋体"/>
          <w:szCs w:val="21"/>
        </w:rPr>
        <w:t>关键人员</w:t>
      </w:r>
      <w:bookmarkStart w:id="1029" w:name="_Hlk16210335"/>
      <w:r>
        <w:rPr>
          <w:rFonts w:hint="eastAsia" w:ascii="宋体" w:hAnsi="宋体" w:cs="宋体"/>
          <w:szCs w:val="21"/>
        </w:rPr>
        <w:t>是发包人及承包人一致认为对工程建设起重要作用的承包人主要管理人员或技术人员。关键人员的具体范围由发包人及承包人在附件5[承包人主要管理人员表]中另行约定。</w:t>
      </w:r>
    </w:p>
    <w:bookmarkEnd w:id="1029"/>
    <w:p>
      <w:pPr>
        <w:pStyle w:val="686"/>
        <w:numPr>
          <w:ilvl w:val="0"/>
          <w:numId w:val="0"/>
        </w:numPr>
        <w:spacing w:line="400" w:lineRule="exact"/>
        <w:rPr>
          <w:rFonts w:hint="eastAsia" w:cs="宋体"/>
          <w:sz w:val="21"/>
        </w:rPr>
      </w:pPr>
      <w:bookmarkStart w:id="1030" w:name="_Ref531952211"/>
      <w:bookmarkStart w:id="1031" w:name="_Ref4426641"/>
      <w:r>
        <w:rPr>
          <w:rFonts w:hint="eastAsia" w:cs="宋体"/>
          <w:sz w:val="21"/>
        </w:rPr>
        <w:t>4.4.2 关键人员更换</w:t>
      </w:r>
      <w:bookmarkEnd w:id="1030"/>
      <w:bookmarkEnd w:id="1031"/>
    </w:p>
    <w:p>
      <w:pPr>
        <w:spacing w:line="400" w:lineRule="exact"/>
        <w:ind w:firstLine="600"/>
        <w:rPr>
          <w:rFonts w:hint="eastAsia" w:ascii="宋体" w:hAnsi="宋体" w:cs="宋体"/>
          <w:szCs w:val="21"/>
        </w:rPr>
      </w:pPr>
      <w:r>
        <w:rPr>
          <w:rFonts w:hint="eastAsia" w:ascii="宋体" w:hAnsi="宋体" w:cs="宋体"/>
          <w:szCs w:val="21"/>
        </w:rPr>
        <w:t>承包人派驻到施工现场的关键人员应相对稳定。承包人更换关键人员时，应提前14天将继任关键人员信息及相关证明文件提交给工程师，并由工程师报发包人征求同意。在发包人未予以书面回复期间内，关键人员将继续履行其职务。关键人员突发丧失履行职务能力的，承包人应当及时委派一位具有相应资格能力的人员临时继任该关键人员职位，履行该关键人员职责，临时继任关键人员将履行职责直至发包人同意新的关键人员任命之日止。承包人擅自更换关键人员，应按照专用合同条件约定承担违约责任。</w:t>
      </w:r>
    </w:p>
    <w:p>
      <w:pPr>
        <w:spacing w:line="400" w:lineRule="exact"/>
        <w:ind w:firstLine="600"/>
        <w:rPr>
          <w:rFonts w:hint="eastAsia" w:ascii="宋体" w:hAnsi="宋体" w:cs="宋体"/>
          <w:szCs w:val="21"/>
        </w:rPr>
      </w:pPr>
      <w:r>
        <w:rPr>
          <w:rFonts w:hint="eastAsia" w:ascii="宋体" w:hAnsi="宋体" w:cs="宋体"/>
          <w:szCs w:val="21"/>
        </w:rPr>
        <w:t>工程师对于承包人关键人员的资格或能力有异议的，承包人应提供资料证明被质疑人员有能力完成其岗位工作或不存在工程师所质疑的情形。工程师指示撤换不能按照合同约定履行职责及义务的主要施工管理人员的，承包人应当撤换。承包人无正当理由拒绝撤换的，应按照专用合同条件的约定承担违约责任。</w:t>
      </w:r>
    </w:p>
    <w:p>
      <w:pPr>
        <w:pStyle w:val="686"/>
        <w:numPr>
          <w:ilvl w:val="0"/>
          <w:numId w:val="0"/>
        </w:numPr>
        <w:spacing w:line="400" w:lineRule="exact"/>
        <w:rPr>
          <w:rFonts w:hint="eastAsia" w:cs="宋体"/>
          <w:sz w:val="21"/>
        </w:rPr>
      </w:pPr>
      <w:bookmarkStart w:id="1032" w:name="_Ref531952227"/>
      <w:r>
        <w:rPr>
          <w:rFonts w:hint="eastAsia" w:cs="宋体"/>
          <w:sz w:val="21"/>
        </w:rPr>
        <w:t>4.4.3 现场管理关键人员在岗要求</w:t>
      </w:r>
      <w:bookmarkEnd w:id="1032"/>
    </w:p>
    <w:p>
      <w:pPr>
        <w:spacing w:line="400" w:lineRule="exact"/>
        <w:ind w:firstLine="600"/>
        <w:rPr>
          <w:rFonts w:hint="eastAsia" w:ascii="宋体" w:hAnsi="宋体" w:cs="宋体"/>
          <w:szCs w:val="21"/>
        </w:rPr>
      </w:pPr>
      <w:r>
        <w:rPr>
          <w:rFonts w:hint="eastAsia" w:ascii="宋体" w:hAnsi="宋体" w:cs="宋体"/>
          <w:szCs w:val="21"/>
        </w:rPr>
        <w:t>除专用合同条件另有约定外，承包人的现场管理关键人员离开施工现场每月累计不超过7天的，应报工程师同意；离开施工现场每月累计超过7天的，应书面通知发包人并抄送工程师，征得发包人书面同意。现场管理关键人员因故离开施工现场的，可授权有经验的人员临时代行其职责，但承包人应将被授权人员信息及授权范围书面通知发包人并取得其同意。现场管理关键人员未经工程师或发包人同意擅自离开施工现场的，应按照专用合同条件约定承担违约责任。</w:t>
      </w:r>
    </w:p>
    <w:p>
      <w:pPr>
        <w:pStyle w:val="685"/>
        <w:widowControl/>
        <w:numPr>
          <w:ilvl w:val="0"/>
          <w:numId w:val="0"/>
        </w:numPr>
        <w:spacing w:line="400" w:lineRule="exact"/>
        <w:rPr>
          <w:rFonts w:hint="eastAsia" w:ascii="宋体" w:hAnsi="宋体" w:eastAsia="宋体" w:cs="宋体"/>
          <w:b w:val="0"/>
          <w:bCs/>
          <w:sz w:val="21"/>
          <w:szCs w:val="21"/>
        </w:rPr>
      </w:pPr>
      <w:bookmarkStart w:id="1033" w:name="_Ref531952259"/>
      <w:bookmarkStart w:id="1034" w:name="_Ref531952262"/>
      <w:bookmarkStart w:id="1035" w:name="_Toc54862216"/>
      <w:bookmarkStart w:id="1036" w:name="_Toc59203115"/>
      <w:r>
        <w:rPr>
          <w:rFonts w:hint="eastAsia" w:ascii="宋体" w:hAnsi="宋体" w:eastAsia="宋体" w:cs="宋体"/>
          <w:b w:val="0"/>
          <w:bCs/>
          <w:sz w:val="21"/>
          <w:szCs w:val="21"/>
        </w:rPr>
        <w:t>4.5 分包</w:t>
      </w:r>
      <w:bookmarkEnd w:id="1033"/>
      <w:bookmarkEnd w:id="1034"/>
      <w:bookmarkEnd w:id="1035"/>
      <w:bookmarkEnd w:id="1036"/>
      <w:r>
        <w:rPr>
          <w:rFonts w:hint="eastAsia" w:ascii="宋体" w:hAnsi="宋体" w:eastAsia="宋体" w:cs="宋体"/>
          <w:b w:val="0"/>
          <w:bCs/>
          <w:sz w:val="21"/>
          <w:szCs w:val="21"/>
        </w:rPr>
        <w:t xml:space="preserve"> </w:t>
      </w:r>
    </w:p>
    <w:p>
      <w:pPr>
        <w:pStyle w:val="686"/>
        <w:numPr>
          <w:ilvl w:val="0"/>
          <w:numId w:val="0"/>
        </w:numPr>
        <w:spacing w:line="400" w:lineRule="exact"/>
        <w:rPr>
          <w:rFonts w:hint="eastAsia" w:cs="宋体"/>
          <w:sz w:val="21"/>
        </w:rPr>
      </w:pPr>
      <w:bookmarkStart w:id="1037" w:name="_Ref531952273"/>
      <w:r>
        <w:rPr>
          <w:rFonts w:hint="eastAsia" w:cs="宋体"/>
          <w:sz w:val="21"/>
        </w:rPr>
        <w:t>4.5.1 一般约定</w:t>
      </w:r>
      <w:bookmarkEnd w:id="1037"/>
    </w:p>
    <w:p>
      <w:pPr>
        <w:spacing w:line="400" w:lineRule="exact"/>
        <w:ind w:firstLine="600"/>
        <w:rPr>
          <w:rFonts w:hint="eastAsia" w:ascii="宋体" w:hAnsi="宋体" w:cs="宋体"/>
          <w:szCs w:val="21"/>
        </w:rPr>
      </w:pPr>
      <w:r>
        <w:rPr>
          <w:rFonts w:hint="eastAsia" w:ascii="宋体" w:hAnsi="宋体" w:cs="宋体"/>
          <w:szCs w:val="21"/>
        </w:rPr>
        <w:t>承包人不得将其承包的全部工程转包给第三人，或将其承包的全部工程支解后以分包的名义转包给第三人。承包人不得将法律或专用合同条件中禁止分包的工作事项分包给第三人，不得以劳务分包的名义转包或违法分包工程。</w:t>
      </w:r>
    </w:p>
    <w:p>
      <w:pPr>
        <w:pStyle w:val="686"/>
        <w:numPr>
          <w:ilvl w:val="0"/>
          <w:numId w:val="0"/>
        </w:numPr>
        <w:spacing w:line="400" w:lineRule="exact"/>
        <w:rPr>
          <w:rFonts w:hint="eastAsia" w:cs="宋体"/>
          <w:sz w:val="21"/>
        </w:rPr>
      </w:pPr>
      <w:bookmarkStart w:id="1038" w:name="_Ref531952286"/>
      <w:r>
        <w:rPr>
          <w:rFonts w:hint="eastAsia" w:cs="宋体"/>
          <w:sz w:val="21"/>
        </w:rPr>
        <w:t>4.5.2 分包的确定</w:t>
      </w:r>
      <w:bookmarkEnd w:id="1038"/>
    </w:p>
    <w:p>
      <w:pPr>
        <w:spacing w:line="400" w:lineRule="exact"/>
        <w:ind w:firstLine="600"/>
        <w:rPr>
          <w:rFonts w:hint="eastAsia" w:ascii="宋体" w:hAnsi="宋体" w:cs="宋体"/>
          <w:szCs w:val="21"/>
        </w:rPr>
      </w:pPr>
      <w:r>
        <w:rPr>
          <w:rFonts w:hint="eastAsia" w:ascii="宋体" w:hAnsi="宋体" w:cs="宋体"/>
          <w:szCs w:val="21"/>
        </w:rPr>
        <w:t>承包人应按照专用合同条件约定对工作事项进行分包，确定分包人。</w:t>
      </w:r>
    </w:p>
    <w:p>
      <w:pPr>
        <w:spacing w:line="400" w:lineRule="exact"/>
        <w:ind w:firstLine="600"/>
        <w:rPr>
          <w:rFonts w:hint="eastAsia" w:ascii="宋体" w:hAnsi="宋体" w:cs="宋体"/>
          <w:szCs w:val="21"/>
        </w:rPr>
      </w:pPr>
      <w:r>
        <w:rPr>
          <w:rFonts w:hint="eastAsia" w:ascii="宋体" w:hAnsi="宋体" w:cs="宋体"/>
          <w:szCs w:val="21"/>
        </w:rPr>
        <w:t>专用合同条件未列出的分包事项，承包人可在工程实施阶段分批分期就分包事项向发包人提交申请，发包人在接到分包事项申请后的14天内，予以批准或提出意见。未经发包人同意，承包人不得将提出的拟分包事项对外分包。发包人未能在14天内批准亦未提出意见的，承包人有权将提出的拟分包事项对外分包，但应在分包人确定后通知发包人。</w:t>
      </w:r>
    </w:p>
    <w:p>
      <w:pPr>
        <w:pStyle w:val="686"/>
        <w:numPr>
          <w:ilvl w:val="0"/>
          <w:numId w:val="0"/>
        </w:numPr>
        <w:spacing w:line="400" w:lineRule="exact"/>
        <w:rPr>
          <w:rFonts w:hint="eastAsia" w:cs="宋体"/>
          <w:sz w:val="21"/>
        </w:rPr>
      </w:pPr>
      <w:r>
        <w:rPr>
          <w:rFonts w:hint="eastAsia" w:cs="宋体"/>
          <w:sz w:val="21"/>
        </w:rPr>
        <w:t>4.5.3 分包人资质</w:t>
      </w:r>
    </w:p>
    <w:p>
      <w:pPr>
        <w:spacing w:line="400" w:lineRule="exact"/>
        <w:ind w:firstLine="600"/>
        <w:rPr>
          <w:rFonts w:hint="eastAsia" w:ascii="宋体" w:hAnsi="宋体" w:cs="宋体"/>
          <w:szCs w:val="21"/>
        </w:rPr>
      </w:pPr>
      <w:r>
        <w:rPr>
          <w:rFonts w:hint="eastAsia" w:ascii="宋体" w:hAnsi="宋体" w:cs="宋体"/>
          <w:szCs w:val="21"/>
        </w:rPr>
        <w:t>分包人应符合国家法律规定的资质等级，否则不能作为分包人。承包人有义务对分包人的资质进行审查。</w:t>
      </w:r>
    </w:p>
    <w:p>
      <w:pPr>
        <w:pStyle w:val="686"/>
        <w:numPr>
          <w:ilvl w:val="0"/>
          <w:numId w:val="0"/>
        </w:numPr>
        <w:spacing w:line="400" w:lineRule="exact"/>
        <w:rPr>
          <w:rFonts w:hint="eastAsia" w:cs="宋体"/>
          <w:sz w:val="21"/>
        </w:rPr>
      </w:pPr>
      <w:r>
        <w:rPr>
          <w:rFonts w:hint="eastAsia" w:cs="宋体"/>
          <w:sz w:val="21"/>
        </w:rPr>
        <w:t>4.5.4 分包管理</w:t>
      </w:r>
    </w:p>
    <w:p>
      <w:pPr>
        <w:spacing w:line="400" w:lineRule="exact"/>
        <w:ind w:firstLine="600"/>
        <w:rPr>
          <w:rFonts w:hint="eastAsia" w:ascii="宋体" w:hAnsi="宋体" w:cs="宋体"/>
          <w:szCs w:val="21"/>
        </w:rPr>
      </w:pPr>
      <w:r>
        <w:rPr>
          <w:rFonts w:hint="eastAsia" w:ascii="宋体" w:hAnsi="宋体" w:cs="宋体"/>
          <w:szCs w:val="21"/>
        </w:rPr>
        <w:t>承包人应当对分包人的工作进行必要的协调与管理，确保分包人严格执行国家有关分包事项的管理规定。承包人应向工程师提交分包人的主要管理人员表，并对分包人的工作人员进行实名制管理，包括但不限于进出场管理、登记造册以及各种证照的办理。</w:t>
      </w:r>
    </w:p>
    <w:p>
      <w:pPr>
        <w:pStyle w:val="686"/>
        <w:numPr>
          <w:ilvl w:val="0"/>
          <w:numId w:val="0"/>
        </w:numPr>
        <w:spacing w:line="400" w:lineRule="exact"/>
        <w:rPr>
          <w:rFonts w:hint="eastAsia" w:cs="宋体"/>
          <w:sz w:val="21"/>
        </w:rPr>
      </w:pPr>
      <w:bookmarkStart w:id="1039" w:name="_Ref531952298"/>
      <w:r>
        <w:rPr>
          <w:rFonts w:hint="eastAsia" w:cs="宋体"/>
          <w:sz w:val="21"/>
        </w:rPr>
        <w:t>4.5.5 分包合同价款支付</w:t>
      </w:r>
      <w:bookmarkEnd w:id="1039"/>
    </w:p>
    <w:p>
      <w:pPr>
        <w:spacing w:line="400" w:lineRule="exact"/>
        <w:ind w:firstLine="600"/>
        <w:rPr>
          <w:rFonts w:hint="eastAsia" w:ascii="宋体" w:hAnsi="宋体" w:cs="宋体"/>
          <w:szCs w:val="21"/>
        </w:rPr>
      </w:pPr>
      <w:r>
        <w:rPr>
          <w:rFonts w:hint="eastAsia" w:ascii="宋体" w:hAnsi="宋体" w:cs="宋体"/>
          <w:szCs w:val="21"/>
        </w:rPr>
        <w:t>（1） 除本项第（2）目约定的情况或专用合同条件另有约定外，分包合同价款由承包人与分包人结算，未经承包人同意，发包人不得向分包人支付分包合同价款；</w:t>
      </w:r>
    </w:p>
    <w:p>
      <w:pPr>
        <w:spacing w:line="400" w:lineRule="exact"/>
        <w:ind w:firstLine="600"/>
        <w:rPr>
          <w:rFonts w:hint="eastAsia" w:ascii="宋体" w:hAnsi="宋体" w:cs="宋体"/>
          <w:szCs w:val="21"/>
        </w:rPr>
      </w:pPr>
      <w:bookmarkStart w:id="1040" w:name="_Ref4613798"/>
      <w:r>
        <w:rPr>
          <w:rFonts w:hint="eastAsia" w:ascii="宋体" w:hAnsi="宋体" w:cs="宋体"/>
          <w:szCs w:val="21"/>
        </w:rPr>
        <w:t>（2） 生效法律文书要求发包人向分包人支付分包合同价款的，发包人有权从应付承包人工程款中扣除该部分款项</w:t>
      </w:r>
      <w:bookmarkEnd w:id="1040"/>
      <w:r>
        <w:rPr>
          <w:rFonts w:hint="eastAsia" w:ascii="宋体" w:hAnsi="宋体" w:cs="宋体"/>
          <w:szCs w:val="21"/>
        </w:rPr>
        <w:t>，将扣款直接支付给分包人，并书面通知承包人。</w:t>
      </w:r>
    </w:p>
    <w:p>
      <w:pPr>
        <w:pStyle w:val="686"/>
        <w:numPr>
          <w:ilvl w:val="0"/>
          <w:numId w:val="0"/>
        </w:numPr>
        <w:spacing w:line="400" w:lineRule="exact"/>
        <w:rPr>
          <w:rFonts w:hint="eastAsia" w:cs="宋体"/>
          <w:sz w:val="21"/>
        </w:rPr>
      </w:pPr>
      <w:r>
        <w:rPr>
          <w:rFonts w:hint="eastAsia" w:cs="宋体"/>
          <w:sz w:val="21"/>
        </w:rPr>
        <w:t>4.5.6 责任承担</w:t>
      </w:r>
    </w:p>
    <w:p>
      <w:pPr>
        <w:spacing w:line="400" w:lineRule="exact"/>
        <w:ind w:firstLine="600"/>
        <w:rPr>
          <w:rFonts w:hint="eastAsia" w:ascii="宋体" w:hAnsi="宋体" w:cs="宋体"/>
          <w:szCs w:val="21"/>
        </w:rPr>
      </w:pPr>
      <w:r>
        <w:rPr>
          <w:rFonts w:hint="eastAsia" w:ascii="宋体" w:hAnsi="宋体" w:cs="宋体"/>
          <w:szCs w:val="21"/>
        </w:rPr>
        <w:t>承包人对分包人的行为向发包人负责，承包人和分包人就分包工作向发包人承担连带责任。</w:t>
      </w:r>
    </w:p>
    <w:p>
      <w:pPr>
        <w:pStyle w:val="685"/>
        <w:widowControl/>
        <w:numPr>
          <w:ilvl w:val="0"/>
          <w:numId w:val="0"/>
        </w:numPr>
        <w:spacing w:line="400" w:lineRule="exact"/>
        <w:rPr>
          <w:rFonts w:hint="eastAsia" w:ascii="宋体" w:hAnsi="宋体" w:eastAsia="宋体" w:cs="宋体"/>
          <w:b w:val="0"/>
          <w:bCs/>
          <w:sz w:val="21"/>
          <w:szCs w:val="21"/>
        </w:rPr>
      </w:pPr>
      <w:bookmarkStart w:id="1041" w:name="_Ref4426916"/>
      <w:bookmarkStart w:id="1042" w:name="_Toc59203116"/>
      <w:bookmarkStart w:id="1043" w:name="_Toc54862217"/>
      <w:bookmarkStart w:id="1044" w:name="_Ref4768805"/>
      <w:bookmarkStart w:id="1045" w:name="_Ref531952321"/>
      <w:bookmarkStart w:id="1046" w:name="_Ref531952317"/>
      <w:r>
        <w:rPr>
          <w:rFonts w:hint="eastAsia" w:ascii="宋体" w:hAnsi="宋体" w:eastAsia="宋体" w:cs="宋体"/>
          <w:b w:val="0"/>
          <w:bCs/>
          <w:sz w:val="21"/>
          <w:szCs w:val="21"/>
        </w:rPr>
        <w:t>4.6 联合体</w:t>
      </w:r>
      <w:bookmarkEnd w:id="1041"/>
      <w:bookmarkEnd w:id="1042"/>
      <w:bookmarkEnd w:id="1043"/>
    </w:p>
    <w:p>
      <w:pPr>
        <w:pStyle w:val="686"/>
        <w:numPr>
          <w:ilvl w:val="0"/>
          <w:numId w:val="0"/>
        </w:numPr>
        <w:spacing w:line="400" w:lineRule="exact"/>
        <w:rPr>
          <w:rFonts w:hint="eastAsia" w:cs="宋体"/>
          <w:sz w:val="21"/>
        </w:rPr>
      </w:pPr>
      <w:bookmarkStart w:id="1047" w:name="_Hlk16235129"/>
      <w:r>
        <w:rPr>
          <w:rFonts w:hint="eastAsia" w:cs="宋体"/>
          <w:sz w:val="21"/>
        </w:rPr>
        <w:t>4.6.1 经发包人同意，</w:t>
      </w:r>
      <w:bookmarkEnd w:id="1047"/>
      <w:r>
        <w:rPr>
          <w:rFonts w:hint="eastAsia" w:cs="宋体"/>
          <w:sz w:val="21"/>
        </w:rPr>
        <w:t>以联合体方式承包工程的，联合体各方应共同与发包人订立合同协议书。联合体各方应为履行合同向发包人承担连带责任。</w:t>
      </w:r>
    </w:p>
    <w:p>
      <w:pPr>
        <w:pStyle w:val="686"/>
        <w:numPr>
          <w:ilvl w:val="0"/>
          <w:numId w:val="0"/>
        </w:numPr>
        <w:spacing w:line="400" w:lineRule="exact"/>
        <w:rPr>
          <w:rFonts w:hint="eastAsia" w:cs="宋体"/>
          <w:sz w:val="21"/>
        </w:rPr>
      </w:pPr>
      <w:r>
        <w:rPr>
          <w:rFonts w:hint="eastAsia" w:cs="宋体"/>
          <w:sz w:val="21"/>
        </w:rPr>
        <w:t>4.6.2 承包人应在专用合同条件中明确联合体各成员的分工、费用收取、发票开具等事项。联合体各成员分工承担的工作内容必须与适用法律规定的该成员的资质资格相适应，并应具有相应的项目管理体系和项目管理能力，且不应根据其就承包工作的分工而减免对发包人的任何合同责任。</w:t>
      </w:r>
    </w:p>
    <w:p>
      <w:pPr>
        <w:pStyle w:val="686"/>
        <w:numPr>
          <w:ilvl w:val="0"/>
          <w:numId w:val="0"/>
        </w:numPr>
        <w:spacing w:line="400" w:lineRule="exact"/>
        <w:rPr>
          <w:rFonts w:hint="eastAsia" w:cs="宋体"/>
          <w:sz w:val="21"/>
        </w:rPr>
      </w:pPr>
      <w:r>
        <w:rPr>
          <w:rFonts w:hint="eastAsia" w:cs="宋体"/>
          <w:sz w:val="21"/>
        </w:rPr>
        <w:t>4.6.3 联合体协议经发包人确认后作为合同附件。在履行合同过程中，未经发包人同意，不得变更联合体成员和其负责的工作范围，或者修改联合体协议中与本合同履行相关的内容。</w:t>
      </w:r>
    </w:p>
    <w:p>
      <w:pPr>
        <w:pStyle w:val="685"/>
        <w:widowControl/>
        <w:numPr>
          <w:ilvl w:val="0"/>
          <w:numId w:val="0"/>
        </w:numPr>
        <w:spacing w:line="400" w:lineRule="exact"/>
        <w:rPr>
          <w:rFonts w:hint="eastAsia" w:ascii="宋体" w:hAnsi="宋体" w:eastAsia="宋体" w:cs="宋体"/>
          <w:b w:val="0"/>
          <w:bCs/>
          <w:sz w:val="21"/>
          <w:szCs w:val="21"/>
        </w:rPr>
      </w:pPr>
      <w:bookmarkStart w:id="1048" w:name="_Toc59203117"/>
      <w:bookmarkStart w:id="1049" w:name="_Toc54862218"/>
      <w:bookmarkStart w:id="1050" w:name="_Ref11926629"/>
      <w:bookmarkStart w:id="1051" w:name="_Ref11926631"/>
      <w:r>
        <w:rPr>
          <w:rFonts w:hint="eastAsia" w:ascii="宋体" w:hAnsi="宋体" w:eastAsia="宋体" w:cs="宋体"/>
          <w:b w:val="0"/>
          <w:bCs/>
          <w:sz w:val="21"/>
          <w:szCs w:val="21"/>
        </w:rPr>
        <w:t>4.7 承包人现场查勘</w:t>
      </w:r>
      <w:bookmarkEnd w:id="1048"/>
      <w:bookmarkEnd w:id="1049"/>
      <w:bookmarkEnd w:id="1050"/>
      <w:bookmarkEnd w:id="1051"/>
    </w:p>
    <w:p>
      <w:pPr>
        <w:pStyle w:val="686"/>
        <w:numPr>
          <w:ilvl w:val="0"/>
          <w:numId w:val="0"/>
        </w:numPr>
        <w:spacing w:line="400" w:lineRule="exact"/>
        <w:rPr>
          <w:rFonts w:hint="eastAsia" w:cs="宋体"/>
          <w:sz w:val="21"/>
        </w:rPr>
      </w:pPr>
      <w:r>
        <w:rPr>
          <w:rFonts w:hint="eastAsia" w:cs="宋体"/>
          <w:sz w:val="21"/>
        </w:rPr>
        <w:t>4.7.1 除专用合同条件另有约定外，承包人应对基于发包人提交的基础资料所做出的解释和推断负责，因基础资料存在错误、遗漏导致承包人解释或推断失实的，按照第2.3项[提供基础资料]的规定承担责任。承包人发现基础资料中存在明显错误或疏忽的，应及时书面通知发包人。</w:t>
      </w:r>
    </w:p>
    <w:p>
      <w:pPr>
        <w:pStyle w:val="686"/>
        <w:numPr>
          <w:ilvl w:val="0"/>
          <w:numId w:val="0"/>
        </w:numPr>
        <w:spacing w:line="400" w:lineRule="exact"/>
        <w:rPr>
          <w:rFonts w:hint="eastAsia" w:cs="宋体"/>
          <w:sz w:val="21"/>
        </w:rPr>
      </w:pPr>
      <w:r>
        <w:rPr>
          <w:rFonts w:hint="eastAsia" w:cs="宋体"/>
          <w:sz w:val="21"/>
        </w:rPr>
        <w:t>4.7.2 承包人应对现场和工程实施条件进行查勘，并充分了解工程所在地的气象条件、交通条件、风俗习惯以及其他与完成合同工作有关的其他资料。承包人提交投标文件，视为承包人已对施工现场及周围环境进行了踏勘，并已充分了解评估施工现场及周围环境对工程可能产生的影响，自愿承担相应风险与责任。在全部合同工作中，视为承包人已充分估计了应承担的责任和风险，但属于4.8款[不可预见的困难]约定的情形除外。</w:t>
      </w:r>
    </w:p>
    <w:p>
      <w:pPr>
        <w:pStyle w:val="685"/>
        <w:widowControl/>
        <w:numPr>
          <w:ilvl w:val="0"/>
          <w:numId w:val="0"/>
        </w:numPr>
        <w:spacing w:line="400" w:lineRule="exact"/>
        <w:rPr>
          <w:rFonts w:hint="eastAsia" w:ascii="宋体" w:hAnsi="宋体" w:eastAsia="宋体" w:cs="宋体"/>
          <w:b w:val="0"/>
          <w:bCs/>
          <w:sz w:val="21"/>
          <w:szCs w:val="21"/>
        </w:rPr>
      </w:pPr>
      <w:bookmarkStart w:id="1052" w:name="不可预见的困难"/>
      <w:bookmarkStart w:id="1053" w:name="_Ref11918626"/>
      <w:bookmarkStart w:id="1054" w:name="_Toc54862219"/>
      <w:bookmarkStart w:id="1055" w:name="_Ref11918789"/>
      <w:bookmarkStart w:id="1056" w:name="_Ref11918693"/>
      <w:bookmarkStart w:id="1057" w:name="_Toc59203118"/>
      <w:r>
        <w:rPr>
          <w:rFonts w:hint="eastAsia" w:ascii="宋体" w:hAnsi="宋体" w:eastAsia="宋体" w:cs="宋体"/>
          <w:b w:val="0"/>
          <w:bCs/>
          <w:sz w:val="21"/>
          <w:szCs w:val="21"/>
        </w:rPr>
        <w:t>4.8 不可预见的困难</w:t>
      </w:r>
      <w:bookmarkEnd w:id="1044"/>
      <w:bookmarkEnd w:id="1045"/>
      <w:bookmarkEnd w:id="1046"/>
      <w:bookmarkEnd w:id="1052"/>
      <w:bookmarkEnd w:id="1053"/>
      <w:bookmarkEnd w:id="1054"/>
      <w:bookmarkEnd w:id="1055"/>
      <w:bookmarkEnd w:id="1056"/>
      <w:bookmarkEnd w:id="1057"/>
      <w:r>
        <w:rPr>
          <w:rFonts w:hint="eastAsia" w:ascii="宋体" w:hAnsi="宋体" w:eastAsia="宋体" w:cs="宋体"/>
          <w:b w:val="0"/>
          <w:bCs/>
          <w:sz w:val="21"/>
          <w:szCs w:val="21"/>
        </w:rPr>
        <w:t xml:space="preserve"> </w:t>
      </w:r>
    </w:p>
    <w:p>
      <w:pPr>
        <w:spacing w:line="400" w:lineRule="exact"/>
        <w:ind w:firstLine="600"/>
        <w:rPr>
          <w:rFonts w:hint="eastAsia" w:ascii="宋体" w:hAnsi="宋体" w:cs="宋体"/>
          <w:szCs w:val="21"/>
        </w:rPr>
      </w:pPr>
      <w:r>
        <w:rPr>
          <w:rFonts w:hint="eastAsia" w:ascii="宋体" w:hAnsi="宋体" w:cs="宋体"/>
          <w:szCs w:val="21"/>
        </w:rPr>
        <w:t>不可预见的困难是指有经验的承包人在施工现场遇到的不可预见的自然物质条件、非自然的物质障碍和污染物，包括地表以下物质条件和水文条件以及专用合同条件约定的其他情形，但不包括气候条件。</w:t>
      </w:r>
    </w:p>
    <w:p>
      <w:pPr>
        <w:spacing w:line="400" w:lineRule="exact"/>
        <w:ind w:firstLine="600"/>
        <w:rPr>
          <w:rFonts w:hint="eastAsia" w:ascii="宋体" w:hAnsi="宋体" w:cs="宋体"/>
          <w:szCs w:val="21"/>
        </w:rPr>
      </w:pPr>
      <w:r>
        <w:rPr>
          <w:rFonts w:hint="eastAsia" w:ascii="宋体" w:hAnsi="宋体" w:cs="宋体"/>
          <w:szCs w:val="21"/>
        </w:rPr>
        <w:t>承包人遇到不可预见的困难时，应采取克服不可预见的困难的合理措施继续施工，并及时通知工程师并抄送发包人。通知应载明不可预见的困难的内容、承包人认为不可预见的理由以及承包人制定的处理方案。工程师应当及时发出指示，指示构成变更的，按第13条[变更与调整]约定执行。承包人因采取合理措施而增加的费用和（或）延误的工期由发包人承担。</w:t>
      </w:r>
    </w:p>
    <w:p>
      <w:pPr>
        <w:pStyle w:val="685"/>
        <w:widowControl/>
        <w:numPr>
          <w:ilvl w:val="0"/>
          <w:numId w:val="0"/>
        </w:numPr>
        <w:spacing w:line="400" w:lineRule="exact"/>
        <w:rPr>
          <w:rFonts w:hint="eastAsia" w:ascii="宋体" w:hAnsi="宋体" w:eastAsia="宋体" w:cs="宋体"/>
          <w:b w:val="0"/>
          <w:bCs/>
          <w:sz w:val="21"/>
          <w:szCs w:val="21"/>
        </w:rPr>
      </w:pPr>
      <w:bookmarkStart w:id="1058" w:name="_Toc54862220"/>
      <w:bookmarkStart w:id="1059" w:name="_Ref11926566"/>
      <w:bookmarkStart w:id="1060" w:name="_Toc59203119"/>
      <w:bookmarkStart w:id="1061" w:name="_Ref11926570"/>
      <w:r>
        <w:rPr>
          <w:rFonts w:hint="eastAsia" w:ascii="宋体" w:hAnsi="宋体" w:eastAsia="宋体" w:cs="宋体"/>
          <w:b w:val="0"/>
          <w:bCs/>
          <w:sz w:val="21"/>
          <w:szCs w:val="21"/>
        </w:rPr>
        <w:t>4.9 工程质量管理</w:t>
      </w:r>
      <w:bookmarkEnd w:id="1058"/>
      <w:bookmarkEnd w:id="1059"/>
      <w:bookmarkEnd w:id="1060"/>
      <w:bookmarkEnd w:id="1061"/>
    </w:p>
    <w:p>
      <w:pPr>
        <w:pStyle w:val="686"/>
        <w:numPr>
          <w:ilvl w:val="0"/>
          <w:numId w:val="0"/>
        </w:numPr>
        <w:spacing w:line="400" w:lineRule="exact"/>
        <w:rPr>
          <w:rFonts w:hint="eastAsia" w:cs="宋体"/>
          <w:sz w:val="21"/>
        </w:rPr>
      </w:pPr>
      <w:r>
        <w:rPr>
          <w:rFonts w:hint="eastAsia" w:cs="宋体"/>
          <w:sz w:val="21"/>
        </w:rPr>
        <w:t>4.9.1 承包人应按合同约定的质量标准规范，建立有效的质量管理系统，确保设计、采购、加工制造、施工、竣工试验等各项工作的质量，并按照国家有关规定，通过质量保修责任书的形式约定保修范围、保修期限和保修责任。</w:t>
      </w:r>
    </w:p>
    <w:p>
      <w:pPr>
        <w:pStyle w:val="686"/>
        <w:numPr>
          <w:ilvl w:val="0"/>
          <w:numId w:val="0"/>
        </w:numPr>
        <w:spacing w:line="400" w:lineRule="exact"/>
        <w:rPr>
          <w:rFonts w:hint="eastAsia" w:cs="宋体"/>
          <w:sz w:val="21"/>
        </w:rPr>
      </w:pPr>
      <w:r>
        <w:rPr>
          <w:rFonts w:hint="eastAsia" w:cs="宋体"/>
          <w:sz w:val="21"/>
        </w:rPr>
        <w:t>4.9.2 承包人按照第8.4款[项目进度计划]约定向工程师提交工程质量保证体系及措施文件，建立完善的质量检查制度，并提交相应的工程质量文件。对于发包人和工程师违反法律规定和合同约定的错误指示，承包人有权拒绝实施。</w:t>
      </w:r>
    </w:p>
    <w:p>
      <w:pPr>
        <w:pStyle w:val="686"/>
        <w:numPr>
          <w:ilvl w:val="0"/>
          <w:numId w:val="0"/>
        </w:numPr>
        <w:spacing w:line="400" w:lineRule="exact"/>
        <w:rPr>
          <w:rFonts w:hint="eastAsia" w:cs="宋体"/>
          <w:sz w:val="21"/>
        </w:rPr>
      </w:pPr>
      <w:r>
        <w:rPr>
          <w:rFonts w:hint="eastAsia" w:cs="宋体"/>
          <w:sz w:val="21"/>
        </w:rPr>
        <w:t>4.9.3 承包人应对其人员进行质量教育和技术培训，定期考核人员的劳动技能，严格执行相关规范和操作规程。</w:t>
      </w:r>
    </w:p>
    <w:p>
      <w:pPr>
        <w:pStyle w:val="686"/>
        <w:numPr>
          <w:ilvl w:val="0"/>
          <w:numId w:val="0"/>
        </w:numPr>
        <w:spacing w:line="400" w:lineRule="exact"/>
        <w:rPr>
          <w:rFonts w:hint="eastAsia" w:cs="宋体"/>
          <w:sz w:val="21"/>
        </w:rPr>
      </w:pPr>
      <w:r>
        <w:rPr>
          <w:rFonts w:hint="eastAsia" w:cs="宋体"/>
          <w:sz w:val="21"/>
        </w:rPr>
        <w:t>4.9.4 承包人应按照法律规定和合同约定，对设计、材料、工程设备以及全部工程内容及其施工工艺进行全过程的质量检查和检验，并作详细记录，编制工程质量报表，报送工程师审查。此外，承包人还应按照法律规定和合同约定，进行施工现场取样试验、工程复核测量和设备性能检测，提供试验样品、提交试验报告和测量成果以及其他工作。</w:t>
      </w:r>
    </w:p>
    <w:p>
      <w:pPr>
        <w:pStyle w:val="684"/>
        <w:numPr>
          <w:ilvl w:val="0"/>
          <w:numId w:val="0"/>
        </w:numPr>
        <w:spacing w:line="400" w:lineRule="exact"/>
        <w:rPr>
          <w:rFonts w:hint="eastAsia" w:ascii="宋体" w:hAnsi="宋体" w:eastAsia="宋体" w:cs="宋体"/>
          <w:b w:val="0"/>
          <w:szCs w:val="21"/>
        </w:rPr>
      </w:pPr>
      <w:bookmarkStart w:id="1062" w:name="_Toc54862221"/>
      <w:bookmarkStart w:id="1063" w:name="_Toc59203120"/>
      <w:bookmarkStart w:id="1064" w:name="_Ref531952837"/>
      <w:r>
        <w:rPr>
          <w:rFonts w:hint="eastAsia" w:ascii="宋体" w:hAnsi="宋体" w:eastAsia="宋体" w:cs="宋体"/>
          <w:b w:val="0"/>
          <w:szCs w:val="21"/>
        </w:rPr>
        <w:t>第5条 设计</w:t>
      </w:r>
      <w:bookmarkEnd w:id="1062"/>
      <w:bookmarkEnd w:id="1063"/>
      <w:bookmarkEnd w:id="1064"/>
    </w:p>
    <w:p>
      <w:pPr>
        <w:pStyle w:val="685"/>
        <w:widowControl/>
        <w:numPr>
          <w:ilvl w:val="0"/>
          <w:numId w:val="0"/>
        </w:numPr>
        <w:spacing w:line="400" w:lineRule="exact"/>
        <w:rPr>
          <w:rFonts w:hint="eastAsia" w:ascii="宋体" w:hAnsi="宋体" w:eastAsia="宋体" w:cs="宋体"/>
          <w:b w:val="0"/>
          <w:bCs/>
          <w:sz w:val="21"/>
          <w:szCs w:val="21"/>
        </w:rPr>
      </w:pPr>
      <w:bookmarkStart w:id="1065" w:name="_Ref531952860"/>
      <w:bookmarkStart w:id="1066" w:name="_Toc54862222"/>
      <w:bookmarkStart w:id="1067" w:name="_Ref531952863"/>
      <w:bookmarkStart w:id="1068" w:name="_Toc59203121"/>
      <w:r>
        <w:rPr>
          <w:rFonts w:hint="eastAsia" w:ascii="宋体" w:hAnsi="宋体" w:eastAsia="宋体" w:cs="宋体"/>
          <w:b w:val="0"/>
          <w:bCs/>
          <w:sz w:val="21"/>
          <w:szCs w:val="21"/>
        </w:rPr>
        <w:t>5.1 承包人的设计义务</w:t>
      </w:r>
      <w:bookmarkEnd w:id="1065"/>
      <w:bookmarkEnd w:id="1066"/>
      <w:bookmarkEnd w:id="1067"/>
      <w:bookmarkEnd w:id="1068"/>
      <w:r>
        <w:rPr>
          <w:rFonts w:hint="eastAsia" w:ascii="宋体" w:hAnsi="宋体" w:eastAsia="宋体" w:cs="宋体"/>
          <w:b w:val="0"/>
          <w:bCs/>
          <w:sz w:val="21"/>
          <w:szCs w:val="21"/>
        </w:rPr>
        <w:t xml:space="preserve"> </w:t>
      </w:r>
    </w:p>
    <w:p>
      <w:pPr>
        <w:pStyle w:val="686"/>
        <w:numPr>
          <w:ilvl w:val="0"/>
          <w:numId w:val="0"/>
        </w:numPr>
        <w:spacing w:line="400" w:lineRule="exact"/>
        <w:rPr>
          <w:rFonts w:hint="eastAsia" w:cs="宋体"/>
          <w:sz w:val="21"/>
        </w:rPr>
      </w:pPr>
      <w:bookmarkStart w:id="1069" w:name="_Ref531952881"/>
      <w:r>
        <w:rPr>
          <w:rFonts w:hint="eastAsia" w:cs="宋体"/>
          <w:sz w:val="21"/>
        </w:rPr>
        <w:t>5.1.1 设计义务的一般要求</w:t>
      </w:r>
      <w:bookmarkEnd w:id="1069"/>
    </w:p>
    <w:p>
      <w:pPr>
        <w:spacing w:line="400" w:lineRule="exact"/>
        <w:ind w:firstLine="600"/>
        <w:rPr>
          <w:rFonts w:hint="eastAsia" w:ascii="宋体" w:hAnsi="宋体" w:cs="宋体"/>
          <w:szCs w:val="21"/>
        </w:rPr>
      </w:pPr>
      <w:r>
        <w:rPr>
          <w:rFonts w:hint="eastAsia" w:ascii="宋体" w:hAnsi="宋体" w:cs="宋体"/>
          <w:szCs w:val="21"/>
        </w:rPr>
        <w:t>承包人应当按照法律规定，国家、行业和地方的规范和标准，以及《发包人要求》和合同约定完成设计工作和设计相关的其他服务，并对工程的设计负责。承包人应根据工程实施的需要及时向发包人和工程师说明设计文件的意图，解释设计文件。</w:t>
      </w:r>
    </w:p>
    <w:p>
      <w:pPr>
        <w:pStyle w:val="686"/>
        <w:numPr>
          <w:ilvl w:val="0"/>
          <w:numId w:val="0"/>
        </w:numPr>
        <w:spacing w:line="400" w:lineRule="exact"/>
        <w:rPr>
          <w:rFonts w:hint="eastAsia" w:cs="宋体"/>
          <w:sz w:val="21"/>
        </w:rPr>
      </w:pPr>
      <w:bookmarkStart w:id="1070" w:name="_Ref531952952"/>
      <w:bookmarkStart w:id="1071" w:name="_Ref531952899"/>
      <w:r>
        <w:rPr>
          <w:rFonts w:hint="eastAsia" w:cs="宋体"/>
          <w:sz w:val="21"/>
        </w:rPr>
        <w:t>5.1.2 对设计人员的要求</w:t>
      </w:r>
      <w:bookmarkEnd w:id="1070"/>
    </w:p>
    <w:p>
      <w:pPr>
        <w:spacing w:line="400" w:lineRule="exact"/>
        <w:ind w:firstLine="600"/>
        <w:rPr>
          <w:rFonts w:hint="eastAsia" w:ascii="宋体" w:hAnsi="宋体" w:cs="宋体"/>
          <w:szCs w:val="21"/>
        </w:rPr>
      </w:pPr>
      <w:r>
        <w:rPr>
          <w:rFonts w:hint="eastAsia" w:ascii="宋体" w:hAnsi="宋体" w:cs="宋体"/>
          <w:szCs w:val="21"/>
        </w:rPr>
        <w:t>承包人应保证其或其设计分包人的设计资质在合同有效期内满足法律法规、行业标准或合同约定的相关要求，并指派符合法律法规、行业标准或合同约定的资质要求并具有从事设计所必需的经验与能力的的设计人员完成设计工作。承包人应保证其设计人员（包括分包人的设计人员）在合同期限内，都能按时参加发包人或工程师组织的工作会议。</w:t>
      </w:r>
    </w:p>
    <w:bookmarkEnd w:id="1071"/>
    <w:p>
      <w:pPr>
        <w:pStyle w:val="686"/>
        <w:numPr>
          <w:ilvl w:val="0"/>
          <w:numId w:val="0"/>
        </w:numPr>
        <w:spacing w:line="400" w:lineRule="exact"/>
        <w:rPr>
          <w:rFonts w:hint="eastAsia" w:cs="宋体"/>
          <w:sz w:val="21"/>
        </w:rPr>
      </w:pPr>
      <w:r>
        <w:rPr>
          <w:rFonts w:hint="eastAsia" w:cs="宋体"/>
          <w:sz w:val="21"/>
        </w:rPr>
        <w:t>5.1.3 法律和标准的变化</w:t>
      </w:r>
    </w:p>
    <w:p>
      <w:pPr>
        <w:spacing w:line="400" w:lineRule="exact"/>
        <w:ind w:firstLine="600"/>
        <w:rPr>
          <w:rFonts w:hint="eastAsia" w:ascii="宋体" w:hAnsi="宋体" w:cs="宋体"/>
          <w:szCs w:val="21"/>
        </w:rPr>
      </w:pPr>
      <w:r>
        <w:rPr>
          <w:rFonts w:hint="eastAsia" w:ascii="宋体" w:hAnsi="宋体" w:cs="宋体"/>
          <w:szCs w:val="21"/>
        </w:rPr>
        <w:t>除合同另有约定外，承包人完成设计工作所应遵守的法律规定，以及国家、行业和地方的规范和标准，均应视为在基准日期适用的版本。基准日期之后，前述版本发生重大变化，或者有新的法律，以及国家、行业和地方的规范和标准实施的，承包人应向工程师提出遵守新规定的建议。发包人或其委托的工程师应在收到建议后7天内发出是否遵守新规定的指示。如果该项建议构成变更的，按照第13.2款[承包人的合理化建议]的约定执行。</w:t>
      </w:r>
    </w:p>
    <w:p>
      <w:pPr>
        <w:spacing w:line="400" w:lineRule="exact"/>
        <w:ind w:firstLine="600"/>
        <w:rPr>
          <w:rFonts w:hint="eastAsia" w:ascii="宋体" w:hAnsi="宋体" w:cs="宋体"/>
          <w:szCs w:val="21"/>
        </w:rPr>
      </w:pPr>
      <w:r>
        <w:rPr>
          <w:rFonts w:hint="eastAsia" w:ascii="宋体" w:hAnsi="宋体" w:cs="宋体"/>
          <w:szCs w:val="21"/>
        </w:rPr>
        <w:t>在基准日期之后，因国家颁布新的强制性规范、标准导致承包人的费用变化的，发包人应合理调整合同价格；导致工期延误的，发包人应合理延长工期。</w:t>
      </w:r>
    </w:p>
    <w:p>
      <w:pPr>
        <w:pStyle w:val="685"/>
        <w:widowControl/>
        <w:numPr>
          <w:ilvl w:val="0"/>
          <w:numId w:val="0"/>
        </w:numPr>
        <w:spacing w:line="400" w:lineRule="exact"/>
        <w:rPr>
          <w:rFonts w:hint="eastAsia" w:ascii="宋体" w:hAnsi="宋体" w:eastAsia="宋体" w:cs="宋体"/>
          <w:b w:val="0"/>
          <w:bCs/>
          <w:sz w:val="21"/>
          <w:szCs w:val="21"/>
        </w:rPr>
      </w:pPr>
      <w:bookmarkStart w:id="1072" w:name="_Toc59203122"/>
      <w:bookmarkStart w:id="1073" w:name="_Toc54862223"/>
      <w:bookmarkStart w:id="1074" w:name="_Ref531953051"/>
      <w:bookmarkStart w:id="1075" w:name="_Ref531953054"/>
      <w:r>
        <w:rPr>
          <w:rFonts w:hint="eastAsia" w:ascii="宋体" w:hAnsi="宋体" w:eastAsia="宋体" w:cs="宋体"/>
          <w:b w:val="0"/>
          <w:bCs/>
          <w:sz w:val="21"/>
          <w:szCs w:val="21"/>
        </w:rPr>
        <w:t>5.2 承包人文件审查</w:t>
      </w:r>
      <w:bookmarkEnd w:id="1072"/>
      <w:bookmarkEnd w:id="1073"/>
      <w:bookmarkEnd w:id="1074"/>
      <w:bookmarkEnd w:id="1075"/>
      <w:r>
        <w:rPr>
          <w:rFonts w:hint="eastAsia" w:ascii="宋体" w:hAnsi="宋体" w:eastAsia="宋体" w:cs="宋体"/>
          <w:b w:val="0"/>
          <w:bCs/>
          <w:sz w:val="21"/>
          <w:szCs w:val="21"/>
        </w:rPr>
        <w:t xml:space="preserve"> </w:t>
      </w:r>
    </w:p>
    <w:p>
      <w:pPr>
        <w:pStyle w:val="686"/>
        <w:numPr>
          <w:ilvl w:val="0"/>
          <w:numId w:val="0"/>
        </w:numPr>
        <w:spacing w:line="400" w:lineRule="exact"/>
        <w:rPr>
          <w:rFonts w:hint="eastAsia" w:cs="宋体"/>
          <w:sz w:val="21"/>
        </w:rPr>
      </w:pPr>
      <w:bookmarkStart w:id="1076" w:name="_Ref531953064"/>
      <w:r>
        <w:rPr>
          <w:rFonts w:hint="eastAsia" w:cs="宋体"/>
          <w:sz w:val="21"/>
        </w:rPr>
        <w:t>5.2.1 根据《发包人要求》应当通过工程师报发包人审查同意的承包人文件，承包人应当按照《发包人要求》约定的范围和内容及时报送审查。</w:t>
      </w:r>
      <w:bookmarkEnd w:id="1076"/>
    </w:p>
    <w:p>
      <w:pPr>
        <w:spacing w:line="400" w:lineRule="exact"/>
        <w:ind w:firstLine="600"/>
        <w:rPr>
          <w:rFonts w:hint="eastAsia" w:ascii="宋体" w:hAnsi="宋体" w:cs="宋体"/>
          <w:szCs w:val="21"/>
        </w:rPr>
      </w:pPr>
      <w:r>
        <w:rPr>
          <w:rFonts w:hint="eastAsia" w:ascii="宋体" w:hAnsi="宋体" w:cs="宋体"/>
          <w:szCs w:val="21"/>
        </w:rPr>
        <w:t>除专用合同条件另有约定外，自工程师收到承包人文件以及承包人的通知之日起，发包人对承包人文件审查期不超过21天。承包人的设计文件对于合同约定有偏离的，应在通知中说明。承包人需要修改已提交的承包人文件的，应立即通知工程师，并向工程师提交修改后的承包人文件，审查期重新起算。</w:t>
      </w:r>
    </w:p>
    <w:p>
      <w:pPr>
        <w:spacing w:line="400" w:lineRule="exact"/>
        <w:ind w:firstLine="600"/>
        <w:rPr>
          <w:rFonts w:hint="eastAsia" w:ascii="宋体" w:hAnsi="宋体" w:cs="宋体"/>
          <w:szCs w:val="21"/>
        </w:rPr>
      </w:pPr>
      <w:r>
        <w:rPr>
          <w:rFonts w:hint="eastAsia" w:ascii="宋体" w:hAnsi="宋体" w:cs="宋体"/>
          <w:szCs w:val="21"/>
        </w:rPr>
        <w:t>发包人同意承包人文件的，应及时通知承包人，发包人不同意承包人文件的，应在审查期限内通过工程师以书面形式通知承包人，并说明不同意的具体内容和理由。</w:t>
      </w:r>
    </w:p>
    <w:p>
      <w:pPr>
        <w:spacing w:line="400" w:lineRule="exact"/>
        <w:ind w:firstLine="600"/>
        <w:rPr>
          <w:rFonts w:hint="eastAsia" w:ascii="宋体" w:hAnsi="宋体" w:cs="宋体"/>
          <w:szCs w:val="21"/>
        </w:rPr>
      </w:pPr>
      <w:r>
        <w:rPr>
          <w:rFonts w:hint="eastAsia" w:ascii="宋体" w:hAnsi="宋体" w:cs="宋体"/>
          <w:szCs w:val="21"/>
        </w:rPr>
        <w:t>承包人对发包人的意见按以下方式处理：</w:t>
      </w:r>
    </w:p>
    <w:p>
      <w:pPr>
        <w:spacing w:line="400" w:lineRule="exact"/>
        <w:ind w:firstLine="600"/>
        <w:rPr>
          <w:rFonts w:hint="eastAsia" w:ascii="宋体" w:hAnsi="宋体" w:cs="宋体"/>
          <w:szCs w:val="21"/>
        </w:rPr>
      </w:pPr>
      <w:r>
        <w:rPr>
          <w:rFonts w:hint="eastAsia" w:ascii="宋体" w:hAnsi="宋体" w:cs="宋体"/>
          <w:szCs w:val="21"/>
        </w:rPr>
        <w:t>（1） 发包人的意见构成变更的，承包人应在7天内通知发包人按照第13条[变更与调整]中关于发包人指示变更的约定执行，双方对是否构成变更无法达成一致的，按照第20条[争议解决]的约定执行；</w:t>
      </w:r>
    </w:p>
    <w:p>
      <w:pPr>
        <w:spacing w:line="400" w:lineRule="exact"/>
        <w:ind w:firstLine="600"/>
        <w:rPr>
          <w:rFonts w:hint="eastAsia" w:ascii="宋体" w:hAnsi="宋体" w:cs="宋体"/>
          <w:szCs w:val="21"/>
        </w:rPr>
      </w:pPr>
      <w:r>
        <w:rPr>
          <w:rFonts w:hint="eastAsia" w:ascii="宋体" w:hAnsi="宋体" w:cs="宋体"/>
          <w:szCs w:val="21"/>
        </w:rPr>
        <w:t>（2） 因承包人原因导致无法通过审查的，承包人应根据发包人的书面说明，对承包人文件进行修改后重新报送发包人审查，审查期重新起算。因此引起的工期延长和必要的工程费用增加，由承包人负责。</w:t>
      </w:r>
    </w:p>
    <w:p>
      <w:pPr>
        <w:spacing w:line="400" w:lineRule="exact"/>
        <w:ind w:firstLine="600"/>
        <w:rPr>
          <w:rFonts w:hint="eastAsia" w:ascii="宋体" w:hAnsi="宋体" w:cs="宋体"/>
          <w:szCs w:val="21"/>
        </w:rPr>
      </w:pPr>
      <w:r>
        <w:rPr>
          <w:rFonts w:hint="eastAsia" w:ascii="宋体" w:hAnsi="宋体" w:cs="宋体"/>
          <w:szCs w:val="21"/>
        </w:rPr>
        <w:t>合同约定的审查期满，发包人没有做出审查结论也没有提出异议的，视为承包人文件已获发包人同意。</w:t>
      </w:r>
    </w:p>
    <w:p>
      <w:pPr>
        <w:spacing w:line="400" w:lineRule="exact"/>
        <w:ind w:firstLine="600"/>
        <w:rPr>
          <w:rFonts w:hint="eastAsia" w:ascii="宋体" w:hAnsi="宋体" w:cs="宋体"/>
          <w:szCs w:val="21"/>
        </w:rPr>
      </w:pPr>
      <w:r>
        <w:rPr>
          <w:rFonts w:hint="eastAsia" w:ascii="宋体" w:hAnsi="宋体" w:cs="宋体"/>
          <w:szCs w:val="21"/>
        </w:rPr>
        <w:t>发包人对承包人文件的审查和同意不得被理解为对合同的修改或改变，也并不减轻或免除承包人任何的责任和义务。</w:t>
      </w:r>
    </w:p>
    <w:p>
      <w:pPr>
        <w:pStyle w:val="686"/>
        <w:numPr>
          <w:ilvl w:val="0"/>
          <w:numId w:val="0"/>
        </w:numPr>
        <w:spacing w:line="400" w:lineRule="exact"/>
        <w:rPr>
          <w:rFonts w:hint="eastAsia" w:cs="宋体"/>
          <w:sz w:val="21"/>
        </w:rPr>
      </w:pPr>
      <w:r>
        <w:rPr>
          <w:rFonts w:hint="eastAsia" w:cs="宋体"/>
          <w:sz w:val="21"/>
        </w:rPr>
        <w:t>5.2.2 承包人文件不需要政府有关部门或专用合同条件约定的第三方审查单位审查或批准的，承包人应当严格按照经发包人审查同意的承包人文件设计和实施工程。</w:t>
      </w:r>
    </w:p>
    <w:p>
      <w:pPr>
        <w:spacing w:line="400" w:lineRule="exact"/>
        <w:ind w:firstLine="600"/>
        <w:rPr>
          <w:rFonts w:hint="eastAsia" w:ascii="宋体" w:hAnsi="宋体" w:cs="宋体"/>
          <w:szCs w:val="21"/>
        </w:rPr>
      </w:pPr>
      <w:r>
        <w:rPr>
          <w:rFonts w:hint="eastAsia" w:ascii="宋体" w:hAnsi="宋体" w:cs="宋体"/>
          <w:szCs w:val="21"/>
        </w:rPr>
        <w:t>发包人需要组织审查会议对承包人文件进行审查的，审查会议的审查形式、时间安排、费用承担，在专用合同条件中约定。发包人负责组织承包人文件审查会议，承包人有义务参加发包人组织的审查会议，向审查者介绍、解答、解释承包人文件，并提供有关补充资料。</w:t>
      </w:r>
    </w:p>
    <w:p>
      <w:pPr>
        <w:spacing w:line="400" w:lineRule="exact"/>
        <w:ind w:firstLine="600"/>
        <w:rPr>
          <w:rFonts w:hint="eastAsia" w:ascii="宋体" w:hAnsi="宋体" w:cs="宋体"/>
          <w:szCs w:val="21"/>
        </w:rPr>
      </w:pPr>
      <w:r>
        <w:rPr>
          <w:rFonts w:hint="eastAsia" w:ascii="宋体" w:hAnsi="宋体" w:cs="宋体"/>
          <w:szCs w:val="21"/>
        </w:rPr>
        <w:t>发包人有义务向承包人提供审查会议的批准文件和纪要。承包人有义务按照相关审查会议批准的文件和纪要，并依据合同约定及相关技术标准，对承包人文件进行修改、补充和完善。</w:t>
      </w:r>
    </w:p>
    <w:p>
      <w:pPr>
        <w:pStyle w:val="686"/>
        <w:numPr>
          <w:ilvl w:val="0"/>
          <w:numId w:val="0"/>
        </w:numPr>
        <w:spacing w:line="400" w:lineRule="exact"/>
        <w:rPr>
          <w:rFonts w:hint="eastAsia" w:cs="宋体"/>
          <w:sz w:val="21"/>
        </w:rPr>
      </w:pPr>
      <w:bookmarkStart w:id="1077" w:name="_Ref531953074"/>
      <w:r>
        <w:rPr>
          <w:rFonts w:hint="eastAsia" w:cs="宋体"/>
          <w:sz w:val="21"/>
        </w:rPr>
        <w:t>5.2.3 承包人文件需政府有关部门或专用合同条件约定的第三方审查单位审查或批准的，发包人应在发包人审查同意承包人文件后7天内，向政府有关部门或第三方报送承包人文件，承包人应予以协助。</w:t>
      </w:r>
      <w:bookmarkEnd w:id="1077"/>
    </w:p>
    <w:p>
      <w:pPr>
        <w:spacing w:line="400" w:lineRule="exact"/>
        <w:ind w:firstLine="600"/>
        <w:rPr>
          <w:rFonts w:hint="eastAsia" w:ascii="宋体" w:hAnsi="宋体" w:cs="宋体"/>
          <w:szCs w:val="21"/>
        </w:rPr>
      </w:pPr>
      <w:r>
        <w:rPr>
          <w:rFonts w:hint="eastAsia" w:ascii="宋体" w:hAnsi="宋体" w:cs="宋体"/>
          <w:szCs w:val="21"/>
        </w:rPr>
        <w:t>对于政府有关部门或第三方审查单位的审查意见，不需要修改《发包人要求》的，承包人需按该审查意见修改承包人的设计文件；需要修改《发包人要求》的，承包人应按第13.2款[承包人的合理化建议]的约定执行。上述情形还应适用第5.1款[承包人的设计义务]和第13条[变更与调整]的有关约定。</w:t>
      </w:r>
    </w:p>
    <w:p>
      <w:pPr>
        <w:spacing w:line="400" w:lineRule="exact"/>
        <w:ind w:firstLine="600"/>
        <w:rPr>
          <w:rFonts w:hint="eastAsia" w:ascii="宋体" w:hAnsi="宋体" w:cs="宋体"/>
          <w:szCs w:val="21"/>
        </w:rPr>
      </w:pPr>
      <w:r>
        <w:rPr>
          <w:rFonts w:hint="eastAsia" w:ascii="宋体" w:hAnsi="宋体" w:cs="宋体"/>
          <w:szCs w:val="21"/>
        </w:rPr>
        <w:t>政府有关部门或第三方审查单位审查批准后，承包人应当严格按照批准后的承包人文件实施工程。政府有关部门或第三方审查单位批准时间较合同约定时间延长的，竣工日期相应顺延。因此给双方带来的费用增加，由双方在负责的范围内各自承担。</w:t>
      </w:r>
    </w:p>
    <w:p>
      <w:pPr>
        <w:pStyle w:val="685"/>
        <w:widowControl/>
        <w:numPr>
          <w:ilvl w:val="0"/>
          <w:numId w:val="0"/>
        </w:numPr>
        <w:spacing w:line="400" w:lineRule="exact"/>
        <w:rPr>
          <w:rFonts w:hint="eastAsia" w:ascii="宋体" w:hAnsi="宋体" w:eastAsia="宋体" w:cs="宋体"/>
          <w:b w:val="0"/>
          <w:bCs/>
          <w:sz w:val="21"/>
          <w:szCs w:val="21"/>
        </w:rPr>
      </w:pPr>
      <w:bookmarkStart w:id="1078" w:name="_Toc59203123"/>
      <w:bookmarkStart w:id="1079" w:name="_Toc54862224"/>
      <w:bookmarkStart w:id="1080" w:name="_Ref531953097"/>
      <w:bookmarkStart w:id="1081" w:name="_Ref531953095"/>
      <w:r>
        <w:rPr>
          <w:rFonts w:hint="eastAsia" w:ascii="宋体" w:hAnsi="宋体" w:eastAsia="宋体" w:cs="宋体"/>
          <w:b w:val="0"/>
          <w:bCs/>
          <w:sz w:val="21"/>
          <w:szCs w:val="21"/>
        </w:rPr>
        <w:t>5.3 培训</w:t>
      </w:r>
      <w:bookmarkEnd w:id="1078"/>
      <w:bookmarkEnd w:id="1079"/>
      <w:bookmarkEnd w:id="1080"/>
      <w:bookmarkEnd w:id="1081"/>
    </w:p>
    <w:p>
      <w:pPr>
        <w:spacing w:line="400" w:lineRule="exact"/>
        <w:ind w:firstLine="600"/>
        <w:rPr>
          <w:rFonts w:hint="eastAsia" w:ascii="宋体" w:hAnsi="宋体" w:cs="宋体"/>
          <w:szCs w:val="21"/>
        </w:rPr>
      </w:pPr>
      <w:r>
        <w:rPr>
          <w:rFonts w:hint="eastAsia" w:ascii="宋体" w:hAnsi="宋体" w:cs="宋体"/>
          <w:szCs w:val="21"/>
        </w:rPr>
        <w:t>承包人应按照《发包人要求》，对发包人的雇员或其它发包人指定的人员进行工程操作、维修或其它合同中约定的培训。合同约定接收之前进行培训的，应在第10.1款[竣工验收]约定的竣工验收前或试运行结束前完成培训。</w:t>
      </w:r>
    </w:p>
    <w:p>
      <w:pPr>
        <w:spacing w:line="400" w:lineRule="exact"/>
        <w:ind w:firstLine="600"/>
        <w:rPr>
          <w:rFonts w:hint="eastAsia" w:ascii="宋体" w:hAnsi="宋体" w:cs="宋体"/>
          <w:szCs w:val="21"/>
        </w:rPr>
      </w:pPr>
      <w:r>
        <w:rPr>
          <w:rFonts w:hint="eastAsia" w:ascii="宋体" w:hAnsi="宋体" w:cs="宋体"/>
          <w:szCs w:val="21"/>
        </w:rPr>
        <w:t>培训的时长应由双方在专用合同条件中约定，承包人应为培训提供有经验的人员、设施和其它必要条件。</w:t>
      </w:r>
    </w:p>
    <w:p>
      <w:pPr>
        <w:pStyle w:val="685"/>
        <w:widowControl/>
        <w:numPr>
          <w:ilvl w:val="0"/>
          <w:numId w:val="0"/>
        </w:numPr>
        <w:spacing w:line="400" w:lineRule="exact"/>
        <w:rPr>
          <w:rFonts w:hint="eastAsia" w:ascii="宋体" w:hAnsi="宋体" w:eastAsia="宋体" w:cs="宋体"/>
          <w:b w:val="0"/>
          <w:bCs/>
          <w:sz w:val="21"/>
          <w:szCs w:val="21"/>
        </w:rPr>
      </w:pPr>
      <w:bookmarkStart w:id="1082" w:name="_Toc54862225"/>
      <w:bookmarkStart w:id="1083" w:name="_Ref531953108"/>
      <w:bookmarkStart w:id="1084" w:name="_Ref531953105"/>
      <w:bookmarkStart w:id="1085" w:name="_Toc59203124"/>
      <w:r>
        <w:rPr>
          <w:rFonts w:hint="eastAsia" w:ascii="宋体" w:hAnsi="宋体" w:eastAsia="宋体" w:cs="宋体"/>
          <w:b w:val="0"/>
          <w:bCs/>
          <w:sz w:val="21"/>
          <w:szCs w:val="21"/>
        </w:rPr>
        <w:t>5.4 竣工文件</w:t>
      </w:r>
      <w:bookmarkEnd w:id="1082"/>
      <w:bookmarkEnd w:id="1083"/>
      <w:bookmarkEnd w:id="1084"/>
      <w:bookmarkEnd w:id="1085"/>
    </w:p>
    <w:p>
      <w:pPr>
        <w:pStyle w:val="686"/>
        <w:numPr>
          <w:ilvl w:val="0"/>
          <w:numId w:val="0"/>
        </w:numPr>
        <w:spacing w:line="400" w:lineRule="exact"/>
        <w:rPr>
          <w:rFonts w:hint="eastAsia" w:cs="宋体"/>
          <w:sz w:val="21"/>
        </w:rPr>
      </w:pPr>
      <w:bookmarkStart w:id="1086" w:name="_Ref531953134"/>
      <w:r>
        <w:rPr>
          <w:rFonts w:hint="eastAsia" w:cs="宋体"/>
          <w:sz w:val="21"/>
        </w:rPr>
        <w:t>5.4.1 承包人应编制并及时更新反映工程实施结果的竣工记录，如实记载竣工工程的确切位置、尺寸和已实施工作的详细说明。竣工文件的形式、技术标准以及其它相关内容应按照相关法律法规、行业标准与《发包人要求》执行。竣工记录应保存在施工现场，并在竣工试验开始前，按照专用合同条件约定的份数提交给工程师。</w:t>
      </w:r>
      <w:bookmarkEnd w:id="1086"/>
    </w:p>
    <w:p>
      <w:pPr>
        <w:pStyle w:val="686"/>
        <w:numPr>
          <w:ilvl w:val="0"/>
          <w:numId w:val="0"/>
        </w:numPr>
        <w:spacing w:line="400" w:lineRule="exact"/>
        <w:rPr>
          <w:rFonts w:hint="eastAsia" w:cs="宋体"/>
          <w:sz w:val="21"/>
        </w:rPr>
      </w:pPr>
      <w:r>
        <w:rPr>
          <w:rFonts w:hint="eastAsia" w:cs="宋体"/>
          <w:sz w:val="21"/>
        </w:rPr>
        <w:t>5.4.2 在颁发工程接收证书之前，承包人应按照《发包人要求》的份数和形式向工程师提交相应竣工图纸，并取得工程师对尺寸、参照系统及其他有关细节的认可。工程师应按照第5.2款[承包人文件审查]的约定进行审查。</w:t>
      </w:r>
    </w:p>
    <w:p>
      <w:pPr>
        <w:pStyle w:val="686"/>
        <w:numPr>
          <w:ilvl w:val="0"/>
          <w:numId w:val="0"/>
        </w:numPr>
        <w:spacing w:line="400" w:lineRule="exact"/>
        <w:rPr>
          <w:rFonts w:hint="eastAsia" w:cs="宋体"/>
          <w:sz w:val="21"/>
        </w:rPr>
      </w:pPr>
      <w:r>
        <w:rPr>
          <w:rFonts w:hint="eastAsia" w:cs="宋体"/>
          <w:sz w:val="21"/>
        </w:rPr>
        <w:t>5.4.3 除专用合同条件另有约定外，在工程师收到本款下的文件前，不应认为工程已根据第10.1款[竣工验收]和第10.2款[单位/区段工程的验收]的约定完成验收。</w:t>
      </w:r>
    </w:p>
    <w:p>
      <w:pPr>
        <w:pStyle w:val="685"/>
        <w:widowControl/>
        <w:numPr>
          <w:ilvl w:val="0"/>
          <w:numId w:val="0"/>
        </w:numPr>
        <w:spacing w:line="400" w:lineRule="exact"/>
        <w:rPr>
          <w:rFonts w:hint="eastAsia" w:ascii="宋体" w:hAnsi="宋体" w:eastAsia="宋体" w:cs="宋体"/>
          <w:b w:val="0"/>
          <w:bCs/>
          <w:sz w:val="21"/>
          <w:szCs w:val="21"/>
        </w:rPr>
      </w:pPr>
      <w:bookmarkStart w:id="1087" w:name="_Ref531953119"/>
      <w:bookmarkStart w:id="1088" w:name="_Toc54862226"/>
      <w:bookmarkStart w:id="1089" w:name="_Ref531953117"/>
      <w:bookmarkStart w:id="1090" w:name="_Toc59203125"/>
      <w:r>
        <w:rPr>
          <w:rFonts w:hint="eastAsia" w:ascii="宋体" w:hAnsi="宋体" w:eastAsia="宋体" w:cs="宋体"/>
          <w:b w:val="0"/>
          <w:bCs/>
          <w:sz w:val="21"/>
          <w:szCs w:val="21"/>
        </w:rPr>
        <w:t>5.5 操作和维修手册</w:t>
      </w:r>
      <w:bookmarkEnd w:id="1087"/>
      <w:bookmarkEnd w:id="1088"/>
      <w:bookmarkEnd w:id="1089"/>
      <w:bookmarkEnd w:id="1090"/>
    </w:p>
    <w:p>
      <w:pPr>
        <w:pStyle w:val="686"/>
        <w:numPr>
          <w:ilvl w:val="0"/>
          <w:numId w:val="0"/>
        </w:numPr>
        <w:spacing w:line="400" w:lineRule="exact"/>
        <w:rPr>
          <w:rFonts w:hint="eastAsia" w:cs="宋体"/>
          <w:sz w:val="21"/>
        </w:rPr>
      </w:pPr>
      <w:bookmarkStart w:id="1091" w:name="_Ref531953145"/>
      <w:r>
        <w:rPr>
          <w:rFonts w:hint="eastAsia" w:cs="宋体"/>
          <w:sz w:val="21"/>
        </w:rPr>
        <w:t>5.5.1 在竣工试验开始前，承包人应向工程师提交暂行的操作和维修手册并负责及时更新，该手册应足够详细，以便发包人能够对工程设备进行操作、维修、拆卸、重新安装、调整及修理，以及实现《发包人要求》。同时，手册还应包含发包人未来可能需要的备品备件清单。</w:t>
      </w:r>
      <w:bookmarkEnd w:id="1091"/>
    </w:p>
    <w:p>
      <w:pPr>
        <w:pStyle w:val="686"/>
        <w:numPr>
          <w:ilvl w:val="0"/>
          <w:numId w:val="0"/>
        </w:numPr>
        <w:spacing w:line="400" w:lineRule="exact"/>
        <w:rPr>
          <w:rFonts w:hint="eastAsia" w:cs="宋体"/>
          <w:sz w:val="21"/>
        </w:rPr>
      </w:pPr>
      <w:r>
        <w:rPr>
          <w:rFonts w:hint="eastAsia" w:cs="宋体"/>
          <w:sz w:val="21"/>
        </w:rPr>
        <w:t>5.5.2 工程师收到承包人提交的文件后，应依据第5.2款[承包人文件审查]的约定对操作和维修手册进行审查，竣工试验工程中，承包人应为任何因操作和维修手册错误或遗漏引起的风险或损失承担责任。</w:t>
      </w:r>
    </w:p>
    <w:p>
      <w:pPr>
        <w:pStyle w:val="686"/>
        <w:numPr>
          <w:ilvl w:val="0"/>
          <w:numId w:val="0"/>
        </w:numPr>
        <w:spacing w:line="400" w:lineRule="exact"/>
        <w:rPr>
          <w:rFonts w:hint="eastAsia" w:cs="宋体"/>
          <w:sz w:val="21"/>
        </w:rPr>
      </w:pPr>
      <w:r>
        <w:rPr>
          <w:rFonts w:hint="eastAsia" w:cs="宋体"/>
          <w:sz w:val="21"/>
        </w:rPr>
        <w:t>5.5.3 除专用合同条件另有约定外，承包人应提交足够详细的最终操作和维修手册，以及在《发包人要求》中明确的相关操作和维修手册。除专用合同条件另有约定外，在工程师收到上述文件前，不应认为工程已根据第10.1款[竣工验收]和第10.2款[单位/区段工程的验收]的约定完成验收。</w:t>
      </w:r>
    </w:p>
    <w:p>
      <w:pPr>
        <w:pStyle w:val="685"/>
        <w:widowControl/>
        <w:numPr>
          <w:ilvl w:val="0"/>
          <w:numId w:val="0"/>
        </w:numPr>
        <w:spacing w:line="400" w:lineRule="exact"/>
        <w:rPr>
          <w:rFonts w:hint="eastAsia" w:ascii="宋体" w:hAnsi="宋体" w:eastAsia="宋体" w:cs="宋体"/>
          <w:b w:val="0"/>
          <w:bCs/>
          <w:sz w:val="21"/>
          <w:szCs w:val="21"/>
        </w:rPr>
      </w:pPr>
      <w:bookmarkStart w:id="1092" w:name="_Toc54862227"/>
      <w:bookmarkStart w:id="1093" w:name="_Toc59203126"/>
      <w:r>
        <w:rPr>
          <w:rFonts w:hint="eastAsia" w:ascii="宋体" w:hAnsi="宋体" w:eastAsia="宋体" w:cs="宋体"/>
          <w:b w:val="0"/>
          <w:bCs/>
          <w:sz w:val="21"/>
          <w:szCs w:val="21"/>
        </w:rPr>
        <w:t>5.6 承包人文件错误</w:t>
      </w:r>
      <w:bookmarkEnd w:id="1092"/>
      <w:bookmarkEnd w:id="1093"/>
      <w:r>
        <w:rPr>
          <w:rFonts w:hint="eastAsia" w:ascii="宋体" w:hAnsi="宋体" w:eastAsia="宋体" w:cs="宋体"/>
          <w:b w:val="0"/>
          <w:bCs/>
          <w:sz w:val="21"/>
          <w:szCs w:val="21"/>
        </w:rPr>
        <w:t xml:space="preserve"> </w:t>
      </w:r>
    </w:p>
    <w:p>
      <w:pPr>
        <w:spacing w:line="400" w:lineRule="exact"/>
        <w:ind w:firstLine="600"/>
        <w:rPr>
          <w:rFonts w:hint="eastAsia" w:ascii="宋体" w:hAnsi="宋体" w:cs="宋体"/>
          <w:szCs w:val="21"/>
        </w:rPr>
      </w:pPr>
      <w:r>
        <w:rPr>
          <w:rFonts w:hint="eastAsia" w:ascii="宋体" w:hAnsi="宋体" w:cs="宋体"/>
          <w:szCs w:val="21"/>
        </w:rPr>
        <w:t>承包人文件存在错误、遗漏、含混、矛盾、不充分之处或其他缺陷，无论承包人是否根据本款获得了同意，承包人均应自费对前述问题带来的缺陷和工程问题进行改正，并按照第5.2款[承包人文件审查]的要求，重新送工程师审查，审查日期从工程师收到文件开始重新计算。因此款原因重新提交审查文件导致的工程延误和必要费用增加由承包人承担。《发包人要求》的错误导致承包人文件错误、遗漏、含混、矛盾、不充分或其他缺陷的除外。</w:t>
      </w:r>
    </w:p>
    <w:p>
      <w:pPr>
        <w:pStyle w:val="684"/>
        <w:numPr>
          <w:ilvl w:val="0"/>
          <w:numId w:val="0"/>
        </w:numPr>
        <w:spacing w:line="400" w:lineRule="exact"/>
        <w:rPr>
          <w:rFonts w:hint="eastAsia" w:ascii="宋体" w:hAnsi="宋体" w:eastAsia="宋体" w:cs="宋体"/>
          <w:b w:val="0"/>
          <w:szCs w:val="21"/>
        </w:rPr>
      </w:pPr>
      <w:bookmarkStart w:id="1094" w:name="_Ref531953761"/>
      <w:bookmarkStart w:id="1095" w:name="_Toc54862228"/>
      <w:bookmarkStart w:id="1096" w:name="_Toc59203127"/>
      <w:bookmarkStart w:id="1097" w:name="_Ref531953765"/>
      <w:r>
        <w:rPr>
          <w:rFonts w:hint="eastAsia" w:ascii="宋体" w:hAnsi="宋体" w:eastAsia="宋体" w:cs="宋体"/>
          <w:b w:val="0"/>
          <w:szCs w:val="21"/>
        </w:rPr>
        <w:t>第6条 材料、工程设备</w:t>
      </w:r>
      <w:bookmarkEnd w:id="1094"/>
      <w:bookmarkEnd w:id="1095"/>
      <w:bookmarkEnd w:id="1096"/>
      <w:bookmarkEnd w:id="1097"/>
    </w:p>
    <w:p>
      <w:pPr>
        <w:pStyle w:val="685"/>
        <w:widowControl/>
        <w:numPr>
          <w:ilvl w:val="0"/>
          <w:numId w:val="0"/>
        </w:numPr>
        <w:spacing w:line="400" w:lineRule="exact"/>
        <w:rPr>
          <w:rFonts w:hint="eastAsia" w:ascii="宋体" w:hAnsi="宋体" w:eastAsia="宋体" w:cs="宋体"/>
          <w:b w:val="0"/>
          <w:bCs/>
          <w:sz w:val="21"/>
          <w:szCs w:val="21"/>
        </w:rPr>
      </w:pPr>
      <w:bookmarkStart w:id="1098" w:name="_Toc54862229"/>
      <w:bookmarkStart w:id="1099" w:name="_Toc59203128"/>
      <w:bookmarkStart w:id="1100" w:name="_Ref531953828"/>
      <w:bookmarkStart w:id="1101" w:name="_Ref531953832"/>
      <w:r>
        <w:rPr>
          <w:rFonts w:hint="eastAsia" w:ascii="宋体" w:hAnsi="宋体" w:eastAsia="宋体" w:cs="宋体"/>
          <w:b w:val="0"/>
          <w:bCs/>
          <w:sz w:val="21"/>
          <w:szCs w:val="21"/>
        </w:rPr>
        <w:t>6.1 实施方法</w:t>
      </w:r>
      <w:bookmarkEnd w:id="1098"/>
      <w:bookmarkEnd w:id="1099"/>
      <w:bookmarkEnd w:id="1100"/>
      <w:bookmarkEnd w:id="1101"/>
      <w:r>
        <w:rPr>
          <w:rFonts w:hint="eastAsia" w:ascii="宋体" w:hAnsi="宋体" w:eastAsia="宋体" w:cs="宋体"/>
          <w:b w:val="0"/>
          <w:bCs/>
          <w:sz w:val="21"/>
          <w:szCs w:val="21"/>
        </w:rPr>
        <w:t xml:space="preserve"> </w:t>
      </w:r>
    </w:p>
    <w:p>
      <w:pPr>
        <w:spacing w:line="400" w:lineRule="exact"/>
        <w:ind w:firstLine="600"/>
        <w:rPr>
          <w:rFonts w:hint="eastAsia" w:ascii="宋体" w:hAnsi="宋体" w:cs="宋体"/>
          <w:szCs w:val="21"/>
        </w:rPr>
      </w:pPr>
      <w:r>
        <w:rPr>
          <w:rFonts w:hint="eastAsia" w:ascii="宋体" w:hAnsi="宋体" w:cs="宋体"/>
          <w:szCs w:val="21"/>
        </w:rPr>
        <w:t>承包人应按以下方法进行材料的加工、工程设备的采购、制造和安装、以及工程的所有其他实施作业：</w:t>
      </w:r>
    </w:p>
    <w:p>
      <w:pPr>
        <w:spacing w:line="400" w:lineRule="exact"/>
        <w:ind w:firstLine="600"/>
        <w:rPr>
          <w:rFonts w:hint="eastAsia" w:ascii="宋体" w:hAnsi="宋体" w:cs="宋体"/>
          <w:szCs w:val="21"/>
        </w:rPr>
      </w:pPr>
      <w:bookmarkStart w:id="1102" w:name="_Ref531953847"/>
      <w:r>
        <w:rPr>
          <w:rFonts w:hint="eastAsia" w:ascii="宋体" w:hAnsi="宋体" w:cs="宋体"/>
          <w:szCs w:val="21"/>
        </w:rPr>
        <w:t>（1） 按照法律规定和合同约定的方法；</w:t>
      </w:r>
      <w:bookmarkEnd w:id="1102"/>
    </w:p>
    <w:p>
      <w:pPr>
        <w:spacing w:line="400" w:lineRule="exact"/>
        <w:ind w:firstLine="600"/>
        <w:rPr>
          <w:rFonts w:hint="eastAsia" w:ascii="宋体" w:hAnsi="宋体" w:cs="宋体"/>
          <w:szCs w:val="21"/>
        </w:rPr>
      </w:pPr>
      <w:r>
        <w:rPr>
          <w:rFonts w:hint="eastAsia" w:ascii="宋体" w:hAnsi="宋体" w:cs="宋体"/>
          <w:szCs w:val="21"/>
        </w:rPr>
        <w:t>（2） 按照公认的良好行业习惯，使用恰当、审慎、先进的方法；</w:t>
      </w:r>
    </w:p>
    <w:p>
      <w:pPr>
        <w:spacing w:line="400" w:lineRule="exact"/>
        <w:ind w:firstLine="600"/>
        <w:rPr>
          <w:rFonts w:hint="eastAsia" w:ascii="宋体" w:hAnsi="宋体" w:cs="宋体"/>
          <w:szCs w:val="21"/>
        </w:rPr>
      </w:pPr>
      <w:r>
        <w:rPr>
          <w:rFonts w:hint="eastAsia" w:ascii="宋体" w:hAnsi="宋体" w:cs="宋体"/>
          <w:szCs w:val="21"/>
        </w:rPr>
        <w:t>（3） 除专用合同条件另有规定外，应使用适当配备的实施方法、设备、设施和无危险的材料。</w:t>
      </w:r>
    </w:p>
    <w:p>
      <w:pPr>
        <w:pStyle w:val="685"/>
        <w:widowControl/>
        <w:numPr>
          <w:ilvl w:val="0"/>
          <w:numId w:val="0"/>
        </w:numPr>
        <w:spacing w:line="400" w:lineRule="exact"/>
        <w:rPr>
          <w:rFonts w:hint="eastAsia" w:ascii="宋体" w:hAnsi="宋体" w:eastAsia="宋体" w:cs="宋体"/>
          <w:b w:val="0"/>
          <w:bCs/>
          <w:sz w:val="21"/>
          <w:szCs w:val="21"/>
        </w:rPr>
      </w:pPr>
      <w:bookmarkStart w:id="1103" w:name="_Ref11926422"/>
      <w:bookmarkStart w:id="1104" w:name="_Toc54862230"/>
      <w:bookmarkStart w:id="1105" w:name="_Toc59203129"/>
      <w:bookmarkStart w:id="1106" w:name="_Ref4427594"/>
      <w:r>
        <w:rPr>
          <w:rFonts w:hint="eastAsia" w:ascii="宋体" w:hAnsi="宋体" w:eastAsia="宋体" w:cs="宋体"/>
          <w:b w:val="0"/>
          <w:bCs/>
          <w:sz w:val="21"/>
          <w:szCs w:val="21"/>
        </w:rPr>
        <w:t>6.2 材料和工程设备</w:t>
      </w:r>
      <w:bookmarkEnd w:id="1103"/>
      <w:bookmarkEnd w:id="1104"/>
      <w:bookmarkEnd w:id="1105"/>
    </w:p>
    <w:p>
      <w:pPr>
        <w:pStyle w:val="686"/>
        <w:numPr>
          <w:ilvl w:val="0"/>
          <w:numId w:val="0"/>
        </w:numPr>
        <w:spacing w:line="400" w:lineRule="exact"/>
        <w:rPr>
          <w:rFonts w:hint="eastAsia" w:cs="宋体"/>
          <w:sz w:val="21"/>
        </w:rPr>
      </w:pPr>
      <w:bookmarkStart w:id="1107" w:name="_Ref11960295"/>
      <w:r>
        <w:rPr>
          <w:rFonts w:hint="eastAsia" w:cs="宋体"/>
          <w:sz w:val="21"/>
        </w:rPr>
        <w:t>6.2.1 发包人提供的材料和工程设备</w:t>
      </w:r>
      <w:bookmarkEnd w:id="1106"/>
      <w:bookmarkEnd w:id="1107"/>
    </w:p>
    <w:p>
      <w:pPr>
        <w:spacing w:line="400" w:lineRule="exact"/>
        <w:ind w:firstLine="600"/>
        <w:rPr>
          <w:rFonts w:hint="eastAsia" w:ascii="宋体" w:hAnsi="宋体" w:cs="宋体"/>
          <w:szCs w:val="21"/>
        </w:rPr>
      </w:pPr>
      <w:r>
        <w:rPr>
          <w:rFonts w:hint="eastAsia" w:ascii="宋体" w:hAnsi="宋体" w:cs="宋体"/>
          <w:szCs w:val="21"/>
        </w:rPr>
        <w:t>发包人自行供应材料、工程设备的，应在订立合同时在专用合同条件的附件《发包人提供材料设备一览表》中明确材料、工程设备的品种、规格、型号、主要参数、数量、单价、质量等级和交接地点等。</w:t>
      </w:r>
    </w:p>
    <w:p>
      <w:pPr>
        <w:spacing w:line="400" w:lineRule="exact"/>
        <w:ind w:firstLine="600"/>
        <w:rPr>
          <w:rFonts w:hint="eastAsia" w:ascii="宋体" w:hAnsi="宋体" w:cs="宋体"/>
          <w:szCs w:val="21"/>
        </w:rPr>
      </w:pPr>
      <w:r>
        <w:rPr>
          <w:rFonts w:hint="eastAsia" w:ascii="宋体" w:hAnsi="宋体" w:cs="宋体"/>
          <w:szCs w:val="21"/>
        </w:rPr>
        <w:t>承包人应根据项目进度计划的安排，提前28天以书面形式通知工程师供应材料与工程设备的进场计划。承包人按照第8.4款[项目进度计划]约定修订项目进度计划时，需同时提交经修订后的发包人提供材料与工程设备的进场计划。发包人应按照上述进场计划，向承包人提交材料和工程设备。</w:t>
      </w:r>
    </w:p>
    <w:p>
      <w:pPr>
        <w:spacing w:line="400" w:lineRule="exact"/>
        <w:ind w:firstLine="600"/>
        <w:rPr>
          <w:rFonts w:hint="eastAsia" w:ascii="宋体" w:hAnsi="宋体" w:cs="宋体"/>
          <w:szCs w:val="21"/>
        </w:rPr>
      </w:pPr>
      <w:r>
        <w:rPr>
          <w:rFonts w:hint="eastAsia" w:ascii="宋体" w:hAnsi="宋体" w:cs="宋体"/>
          <w:szCs w:val="21"/>
        </w:rPr>
        <w:t>发包人应在材料和工程设备到货7天前通知承包人，承包人应会同工程师在约定的时间内，赴交货地点共同进行验收。除专用合同条件另有约定外，发包人提供的材料和工程设备验收后，由承包人负责接收、运输和保管。</w:t>
      </w:r>
    </w:p>
    <w:p>
      <w:pPr>
        <w:spacing w:line="400" w:lineRule="exact"/>
        <w:ind w:firstLine="600"/>
        <w:rPr>
          <w:rFonts w:hint="eastAsia" w:ascii="宋体" w:hAnsi="宋体" w:cs="宋体"/>
          <w:szCs w:val="21"/>
        </w:rPr>
      </w:pPr>
      <w:r>
        <w:rPr>
          <w:rFonts w:hint="eastAsia" w:ascii="宋体" w:hAnsi="宋体" w:cs="宋体"/>
          <w:szCs w:val="21"/>
        </w:rPr>
        <w:t>发包人需要对进场计划进行变更的，承包人不得拒绝，应根据第13条[变更与调整]的规定执行，并由发包人承担承包人由此增加的费用，以及引起的工期延误。承包人需要对进场计划进行变更的，应事先报请工程师批准，由此增加的费用和（或）工期延误由承包人承担。</w:t>
      </w:r>
    </w:p>
    <w:p>
      <w:pPr>
        <w:spacing w:line="400" w:lineRule="exact"/>
        <w:ind w:firstLine="600"/>
        <w:rPr>
          <w:rFonts w:hint="eastAsia" w:ascii="宋体" w:hAnsi="宋体" w:cs="宋体"/>
          <w:szCs w:val="21"/>
        </w:rPr>
      </w:pPr>
      <w:r>
        <w:rPr>
          <w:rFonts w:hint="eastAsia" w:ascii="宋体" w:hAnsi="宋体" w:cs="宋体"/>
          <w:szCs w:val="21"/>
        </w:rPr>
        <w:t>发包人提供的材料和工程设备的规格、数量或质量不符合合同要求，或由于发包人原因发生交货日期延误及交货地点变更等情况的，发包人应承担由此增加的费用和（或）工期延误，并向承包人支付合理利润。</w:t>
      </w:r>
    </w:p>
    <w:p>
      <w:pPr>
        <w:pStyle w:val="686"/>
        <w:numPr>
          <w:ilvl w:val="0"/>
          <w:numId w:val="0"/>
        </w:numPr>
        <w:spacing w:line="400" w:lineRule="exact"/>
        <w:rPr>
          <w:rFonts w:hint="eastAsia" w:cs="宋体"/>
          <w:sz w:val="21"/>
        </w:rPr>
      </w:pPr>
      <w:bookmarkStart w:id="1108" w:name="_Ref531953918"/>
      <w:r>
        <w:rPr>
          <w:rFonts w:hint="eastAsia" w:cs="宋体"/>
          <w:sz w:val="21"/>
        </w:rPr>
        <w:t>6.2.2 承包人提供的材料和工程设备</w:t>
      </w:r>
      <w:bookmarkEnd w:id="1108"/>
    </w:p>
    <w:p>
      <w:pPr>
        <w:spacing w:line="400" w:lineRule="exact"/>
        <w:ind w:firstLine="600"/>
        <w:rPr>
          <w:rFonts w:hint="eastAsia" w:ascii="宋体" w:hAnsi="宋体" w:cs="宋体"/>
          <w:szCs w:val="21"/>
        </w:rPr>
      </w:pPr>
      <w:r>
        <w:rPr>
          <w:rFonts w:hint="eastAsia" w:ascii="宋体" w:hAnsi="宋体" w:cs="宋体"/>
          <w:szCs w:val="21"/>
        </w:rPr>
        <w:t>承包人应将各项材料和工程设备的供货人及品种、技术要求、规格、数量和供货时间等报送工程师批准。承包人应向工程师提交其负责提供的材料和工程设备的质量证明文件，并根据合同约定的质量标准，对材料、工程设备质量负责。</w:t>
      </w:r>
    </w:p>
    <w:p>
      <w:pPr>
        <w:spacing w:line="400" w:lineRule="exact"/>
        <w:ind w:firstLine="600"/>
        <w:rPr>
          <w:rFonts w:hint="eastAsia" w:ascii="宋体" w:hAnsi="宋体" w:cs="宋体"/>
          <w:szCs w:val="21"/>
        </w:rPr>
      </w:pPr>
      <w:r>
        <w:rPr>
          <w:rFonts w:hint="eastAsia" w:ascii="宋体" w:hAnsi="宋体" w:cs="宋体"/>
          <w:szCs w:val="21"/>
        </w:rPr>
        <w:t>承包人应按照已被批准的第8.4款[项目进度计划]规定的数量要求及时间要求，负责组织材料和工程设备采购（包括备品备件、专用工具及厂商提供的技术文件），负责运抵现场。合同约定由承包人采购的材料、工程设备，发包人不得指定生产厂家或供应商，发包人违反本款约定指定生产厂家或供应商的，承包人有权拒绝，并由发包人承担相应责任。</w:t>
      </w:r>
    </w:p>
    <w:p>
      <w:pPr>
        <w:spacing w:line="400" w:lineRule="exact"/>
        <w:ind w:firstLine="600"/>
        <w:rPr>
          <w:rFonts w:hint="eastAsia" w:ascii="宋体" w:hAnsi="宋体" w:cs="宋体"/>
          <w:szCs w:val="21"/>
        </w:rPr>
      </w:pPr>
      <w:r>
        <w:rPr>
          <w:rFonts w:hint="eastAsia" w:ascii="宋体" w:hAnsi="宋体" w:cs="宋体"/>
          <w:szCs w:val="21"/>
        </w:rPr>
        <w:t>对承包人提供的材料和工程设备，承包人应会同工程师进行检验和交货验收，查验材料合格证明和产品合格证书，并按合同约定和工程师指示，进行材料的抽样检验和工程设备的检验测试，检验和测试结果应提交工程师，所需费用由承包人承担。</w:t>
      </w:r>
    </w:p>
    <w:p>
      <w:pPr>
        <w:spacing w:line="400" w:lineRule="exact"/>
        <w:ind w:firstLine="600"/>
        <w:rPr>
          <w:rFonts w:hint="eastAsia" w:ascii="宋体" w:hAnsi="宋体" w:cs="宋体"/>
          <w:szCs w:val="21"/>
        </w:rPr>
      </w:pPr>
      <w:r>
        <w:rPr>
          <w:rFonts w:hint="eastAsia" w:ascii="宋体" w:hAnsi="宋体" w:cs="宋体"/>
          <w:szCs w:val="21"/>
        </w:rPr>
        <w:t>因承包人提供的材料和工程设备不符合国家强制性标准、规范的规定或合同约定的标准、规范，所造成的质量缺陷，由承包人自费修复，竣工日期不予延长。在履行合同过程中，由于国家新颁布的强制性标准、规范，造成承包人负责提供的材料和工程设备，虽符合合同约定的标准，但不符合新颁布的强制性标准时，由承包人负责修复或重新订货，相关费用支出及导致的工期延长由发包人负责。</w:t>
      </w:r>
    </w:p>
    <w:p>
      <w:pPr>
        <w:pStyle w:val="686"/>
        <w:numPr>
          <w:ilvl w:val="0"/>
          <w:numId w:val="0"/>
        </w:numPr>
        <w:spacing w:line="400" w:lineRule="exact"/>
        <w:rPr>
          <w:rFonts w:hint="eastAsia" w:cs="宋体"/>
          <w:sz w:val="21"/>
        </w:rPr>
      </w:pPr>
      <w:bookmarkStart w:id="1109" w:name="_Ref531953991"/>
      <w:bookmarkStart w:id="1110" w:name="_Ref531953999"/>
      <w:r>
        <w:rPr>
          <w:rFonts w:hint="eastAsia" w:cs="宋体"/>
          <w:sz w:val="21"/>
        </w:rPr>
        <w:t>6.2.3 材料和工程设备的保管</w:t>
      </w:r>
      <w:bookmarkEnd w:id="1109"/>
      <w:bookmarkEnd w:id="1110"/>
      <w:r>
        <w:rPr>
          <w:rFonts w:hint="eastAsia" w:cs="宋体"/>
          <w:sz w:val="21"/>
        </w:rPr>
        <w:t xml:space="preserve"> </w:t>
      </w:r>
    </w:p>
    <w:p>
      <w:pPr>
        <w:spacing w:line="400" w:lineRule="exact"/>
        <w:ind w:firstLine="600"/>
        <w:rPr>
          <w:rFonts w:hint="eastAsia" w:ascii="宋体" w:hAnsi="宋体" w:cs="宋体"/>
          <w:szCs w:val="21"/>
        </w:rPr>
      </w:pPr>
      <w:r>
        <w:rPr>
          <w:rFonts w:hint="eastAsia" w:ascii="宋体" w:hAnsi="宋体" w:cs="宋体"/>
          <w:szCs w:val="21"/>
        </w:rPr>
        <w:t>（1） 发包人提供材料设备的保管与使用</w:t>
      </w:r>
    </w:p>
    <w:p>
      <w:pPr>
        <w:spacing w:line="400" w:lineRule="exact"/>
        <w:ind w:firstLine="600"/>
        <w:rPr>
          <w:rFonts w:hint="eastAsia" w:ascii="宋体" w:hAnsi="宋体" w:cs="宋体"/>
          <w:szCs w:val="21"/>
        </w:rPr>
      </w:pPr>
      <w:r>
        <w:rPr>
          <w:rFonts w:hint="eastAsia" w:ascii="宋体" w:hAnsi="宋体" w:cs="宋体"/>
          <w:szCs w:val="21"/>
        </w:rPr>
        <w:t>发包人提供的材料设备，承包人清点并接收后由承包人妥善保管，保管费用由承包人承担。因承包人原因发生丢失毁损的，由承包人负责赔偿。</w:t>
      </w:r>
    </w:p>
    <w:p>
      <w:pPr>
        <w:spacing w:line="400" w:lineRule="exact"/>
        <w:ind w:firstLine="600"/>
        <w:rPr>
          <w:rFonts w:hint="eastAsia" w:ascii="宋体" w:hAnsi="宋体" w:cs="宋体"/>
          <w:szCs w:val="21"/>
        </w:rPr>
      </w:pPr>
      <w:r>
        <w:rPr>
          <w:rFonts w:hint="eastAsia" w:ascii="宋体" w:hAnsi="宋体" w:cs="宋体"/>
          <w:szCs w:val="21"/>
        </w:rPr>
        <w:t>发包人提供的材料和工程设备使用前，由承包人负责必要的检验，检验费用由发包人承担，不合格的不得使用。</w:t>
      </w:r>
    </w:p>
    <w:p>
      <w:pPr>
        <w:spacing w:line="400" w:lineRule="exact"/>
        <w:ind w:firstLine="600"/>
        <w:rPr>
          <w:rFonts w:hint="eastAsia" w:ascii="宋体" w:hAnsi="宋体" w:cs="宋体"/>
          <w:szCs w:val="21"/>
        </w:rPr>
      </w:pPr>
      <w:r>
        <w:rPr>
          <w:rFonts w:hint="eastAsia" w:ascii="宋体" w:hAnsi="宋体" w:cs="宋体"/>
          <w:szCs w:val="21"/>
        </w:rPr>
        <w:t>（2） 承包人采购材料与工程设备的保管与使用</w:t>
      </w:r>
    </w:p>
    <w:p>
      <w:pPr>
        <w:spacing w:line="400" w:lineRule="exact"/>
        <w:ind w:firstLine="600"/>
        <w:rPr>
          <w:rFonts w:hint="eastAsia" w:ascii="宋体" w:hAnsi="宋体" w:cs="宋体"/>
          <w:szCs w:val="21"/>
        </w:rPr>
      </w:pPr>
      <w:r>
        <w:rPr>
          <w:rFonts w:hint="eastAsia" w:ascii="宋体" w:hAnsi="宋体" w:cs="宋体"/>
          <w:szCs w:val="21"/>
        </w:rPr>
        <w:t>承包人采购的材料和工程设备由承包人妥善保管，保管费用由承包人承担。合同约定或法律规定材料和工程设备使用前必须进行检验或试验的，承包人应按工程师的指示进行检验或试验，检验或试验费用由承包人承担，不合格的不得使用。</w:t>
      </w:r>
    </w:p>
    <w:p>
      <w:pPr>
        <w:spacing w:line="400" w:lineRule="exact"/>
        <w:ind w:firstLine="600"/>
        <w:rPr>
          <w:rFonts w:hint="eastAsia" w:ascii="宋体" w:hAnsi="宋体" w:cs="宋体"/>
          <w:szCs w:val="21"/>
        </w:rPr>
      </w:pPr>
      <w:r>
        <w:rPr>
          <w:rFonts w:hint="eastAsia" w:ascii="宋体" w:hAnsi="宋体" w:cs="宋体"/>
          <w:szCs w:val="21"/>
        </w:rPr>
        <w:t>工程师发现承包人使用不符合设计或有关标准要求的材料和工程设备时，有权要求承包人进行修复、拆除或重新采购，由此增加的费用和（或）延误的工期，由承包人承担。</w:t>
      </w:r>
    </w:p>
    <w:p>
      <w:pPr>
        <w:pStyle w:val="686"/>
        <w:numPr>
          <w:ilvl w:val="0"/>
          <w:numId w:val="0"/>
        </w:numPr>
        <w:spacing w:line="400" w:lineRule="exact"/>
        <w:rPr>
          <w:rFonts w:hint="eastAsia" w:cs="宋体"/>
          <w:sz w:val="21"/>
        </w:rPr>
      </w:pPr>
      <w:r>
        <w:rPr>
          <w:rFonts w:hint="eastAsia" w:cs="宋体"/>
          <w:sz w:val="21"/>
        </w:rPr>
        <w:t>6.2.4 材料和工程设备的所有权</w:t>
      </w:r>
    </w:p>
    <w:p>
      <w:pPr>
        <w:spacing w:line="400" w:lineRule="exact"/>
        <w:ind w:firstLine="600"/>
        <w:rPr>
          <w:rFonts w:hint="eastAsia" w:ascii="宋体" w:hAnsi="宋体" w:cs="宋体"/>
          <w:szCs w:val="21"/>
        </w:rPr>
      </w:pPr>
      <w:r>
        <w:rPr>
          <w:rFonts w:hint="eastAsia" w:ascii="宋体" w:hAnsi="宋体" w:cs="宋体"/>
          <w:szCs w:val="21"/>
        </w:rPr>
        <w:t>除本合同另有约定外，承包人根据第6.2.2项[承包人提供的材料和工程设备]约定提供的材料和工程设备后，材料及工程设备的价款应列入第14.3.1项第（2）目的进度款金额中，发包人支付当期进度款之后，其所有权转为发包人所有（周转性材料除外）；在发包人接收工程前，承包人有义务对材料和工程设备进行保管、维护和保养，未经发包人批准不得运出现场。</w:t>
      </w:r>
    </w:p>
    <w:p>
      <w:pPr>
        <w:spacing w:line="400" w:lineRule="exact"/>
        <w:ind w:firstLine="600"/>
        <w:rPr>
          <w:rFonts w:hint="eastAsia" w:ascii="宋体" w:hAnsi="宋体" w:cs="宋体"/>
          <w:szCs w:val="21"/>
        </w:rPr>
      </w:pPr>
      <w:r>
        <w:rPr>
          <w:rFonts w:hint="eastAsia" w:ascii="宋体" w:hAnsi="宋体" w:cs="宋体"/>
          <w:szCs w:val="21"/>
        </w:rPr>
        <w:t>承包人按第6.2.2项提供的材料和工程设备，承包人应确保发包人取得无权利负担的材料及工程设备所有权，因承包人与第三人的物权争议导致的增加的费用和（或）延误的工期，由承包人承担。</w:t>
      </w:r>
    </w:p>
    <w:p>
      <w:pPr>
        <w:pStyle w:val="685"/>
        <w:widowControl/>
        <w:numPr>
          <w:ilvl w:val="0"/>
          <w:numId w:val="0"/>
        </w:numPr>
        <w:spacing w:line="400" w:lineRule="exact"/>
        <w:rPr>
          <w:rFonts w:hint="eastAsia" w:ascii="宋体" w:hAnsi="宋体" w:eastAsia="宋体" w:cs="宋体"/>
          <w:b w:val="0"/>
          <w:bCs/>
          <w:sz w:val="21"/>
          <w:szCs w:val="21"/>
        </w:rPr>
      </w:pPr>
      <w:bookmarkStart w:id="1111" w:name="_Toc54862231"/>
      <w:bookmarkStart w:id="1112" w:name="_Toc59203130"/>
      <w:bookmarkStart w:id="1113" w:name="_Ref4428239"/>
      <w:bookmarkStart w:id="1114" w:name="_Toc351203565"/>
      <w:bookmarkStart w:id="1115" w:name="_Toc337558785"/>
      <w:r>
        <w:rPr>
          <w:rFonts w:hint="eastAsia" w:ascii="宋体" w:hAnsi="宋体" w:eastAsia="宋体" w:cs="宋体"/>
          <w:b w:val="0"/>
          <w:bCs/>
          <w:sz w:val="21"/>
          <w:szCs w:val="21"/>
        </w:rPr>
        <w:t>6.3 样品</w:t>
      </w:r>
      <w:bookmarkEnd w:id="1111"/>
      <w:bookmarkEnd w:id="1112"/>
      <w:bookmarkEnd w:id="1113"/>
    </w:p>
    <w:p>
      <w:pPr>
        <w:pStyle w:val="686"/>
        <w:numPr>
          <w:ilvl w:val="0"/>
          <w:numId w:val="0"/>
        </w:numPr>
        <w:spacing w:line="400" w:lineRule="exact"/>
        <w:rPr>
          <w:rFonts w:hint="eastAsia" w:cs="宋体"/>
          <w:sz w:val="21"/>
        </w:rPr>
      </w:pPr>
      <w:r>
        <w:rPr>
          <w:rFonts w:hint="eastAsia" w:cs="宋体"/>
          <w:sz w:val="21"/>
        </w:rPr>
        <w:t>6.3.1 样品的报送与封存</w:t>
      </w:r>
    </w:p>
    <w:p>
      <w:pPr>
        <w:spacing w:line="400" w:lineRule="exact"/>
        <w:ind w:firstLine="600"/>
        <w:rPr>
          <w:rFonts w:hint="eastAsia" w:ascii="宋体" w:hAnsi="宋体" w:cs="宋体"/>
          <w:color w:val="000000"/>
          <w:szCs w:val="21"/>
        </w:rPr>
      </w:pPr>
      <w:r>
        <w:rPr>
          <w:rFonts w:hint="eastAsia" w:ascii="宋体" w:hAnsi="宋体" w:cs="宋体"/>
          <w:szCs w:val="21"/>
        </w:rPr>
        <w:t>需要承包人报送样品的材料或工程设备，样品的种类、名称、规格、数量等要求均应在专用合同条件中约定。样品的报送程序如下：</w:t>
      </w:r>
    </w:p>
    <w:p>
      <w:pPr>
        <w:spacing w:line="400" w:lineRule="exact"/>
        <w:ind w:firstLine="600"/>
        <w:rPr>
          <w:rFonts w:hint="eastAsia" w:ascii="宋体" w:hAnsi="宋体" w:cs="宋体"/>
          <w:szCs w:val="21"/>
        </w:rPr>
      </w:pPr>
      <w:r>
        <w:rPr>
          <w:rFonts w:hint="eastAsia" w:ascii="宋体" w:hAnsi="宋体" w:cs="宋体"/>
          <w:szCs w:val="21"/>
        </w:rPr>
        <w:t>（1） 承包人应在计划采购前28天向工程师报送样品。承包人报送的样品均应来自供应材料的实际生产地，且提供的样品的规格、数量足以表明材料或工程设备的质量、型号、颜色、表面处理、质地、误差和其他要求的特征。</w:t>
      </w:r>
    </w:p>
    <w:p>
      <w:pPr>
        <w:spacing w:line="400" w:lineRule="exact"/>
        <w:ind w:firstLine="600"/>
        <w:rPr>
          <w:rFonts w:hint="eastAsia" w:ascii="宋体" w:hAnsi="宋体" w:cs="宋体"/>
          <w:szCs w:val="21"/>
        </w:rPr>
      </w:pPr>
      <w:r>
        <w:rPr>
          <w:rFonts w:hint="eastAsia" w:ascii="宋体" w:hAnsi="宋体" w:cs="宋体"/>
          <w:szCs w:val="21"/>
        </w:rPr>
        <w:t>（2） 承包人每次报送样品时应随附申报单，申报单应载明报送样品的相关数据和资料，并标明每件样品对应的图纸号，预留工程师审批意见栏。工程师应在收到承包人报送的样品后7天向承包人回复经发包人签认的样品审批意见。</w:t>
      </w:r>
    </w:p>
    <w:p>
      <w:pPr>
        <w:spacing w:line="400" w:lineRule="exact"/>
        <w:ind w:firstLine="600"/>
        <w:rPr>
          <w:rFonts w:hint="eastAsia" w:ascii="宋体" w:hAnsi="宋体" w:cs="宋体"/>
          <w:szCs w:val="21"/>
        </w:rPr>
      </w:pPr>
      <w:r>
        <w:rPr>
          <w:rFonts w:hint="eastAsia" w:ascii="宋体" w:hAnsi="宋体" w:cs="宋体"/>
          <w:szCs w:val="21"/>
        </w:rPr>
        <w:t>（3） 经工程师审批确认的样品应按约定的方法封样，封存的样品作为检验工程相关部分的标准之一。承包人在施工过程中不得使用与样品不符的材料或工程设备。</w:t>
      </w:r>
    </w:p>
    <w:p>
      <w:pPr>
        <w:spacing w:line="400" w:lineRule="exact"/>
        <w:ind w:firstLine="600"/>
        <w:rPr>
          <w:rFonts w:hint="eastAsia" w:ascii="宋体" w:hAnsi="宋体" w:cs="宋体"/>
          <w:szCs w:val="21"/>
        </w:rPr>
      </w:pPr>
      <w:r>
        <w:rPr>
          <w:rFonts w:hint="eastAsia" w:ascii="宋体" w:hAnsi="宋体" w:cs="宋体"/>
          <w:szCs w:val="21"/>
        </w:rPr>
        <w:t>（4） 工程师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pPr>
        <w:pStyle w:val="686"/>
        <w:numPr>
          <w:ilvl w:val="0"/>
          <w:numId w:val="0"/>
        </w:numPr>
        <w:spacing w:line="400" w:lineRule="exact"/>
        <w:rPr>
          <w:rFonts w:hint="eastAsia" w:cs="宋体"/>
          <w:sz w:val="21"/>
        </w:rPr>
      </w:pPr>
      <w:r>
        <w:rPr>
          <w:rFonts w:hint="eastAsia" w:cs="宋体"/>
          <w:sz w:val="21"/>
        </w:rPr>
        <w:t>6.3.2 样品的保管</w:t>
      </w:r>
    </w:p>
    <w:p>
      <w:pPr>
        <w:spacing w:line="400" w:lineRule="exact"/>
        <w:ind w:firstLine="600"/>
        <w:rPr>
          <w:rFonts w:hint="eastAsia" w:ascii="宋体" w:hAnsi="宋体" w:cs="宋体"/>
          <w:szCs w:val="21"/>
        </w:rPr>
      </w:pPr>
      <w:r>
        <w:rPr>
          <w:rFonts w:hint="eastAsia" w:ascii="宋体" w:hAnsi="宋体" w:cs="宋体"/>
          <w:szCs w:val="21"/>
        </w:rPr>
        <w:t>经批准的样品应由工程师负责封存于现场，承包人应在现场为保存样品提供适当和固定的场所并保持适当和良好的存储环境条件。</w:t>
      </w:r>
    </w:p>
    <w:p>
      <w:pPr>
        <w:pStyle w:val="685"/>
        <w:widowControl/>
        <w:numPr>
          <w:ilvl w:val="0"/>
          <w:numId w:val="0"/>
        </w:numPr>
        <w:spacing w:line="400" w:lineRule="exact"/>
        <w:rPr>
          <w:rFonts w:hint="eastAsia" w:ascii="宋体" w:hAnsi="宋体" w:eastAsia="宋体" w:cs="宋体"/>
          <w:b w:val="0"/>
          <w:bCs/>
          <w:sz w:val="21"/>
          <w:szCs w:val="21"/>
        </w:rPr>
      </w:pPr>
      <w:bookmarkStart w:id="1116" w:name="_Ref11959210"/>
      <w:bookmarkStart w:id="1117" w:name="_Toc59203131"/>
      <w:bookmarkStart w:id="1118" w:name="_Toc54862232"/>
      <w:bookmarkStart w:id="1119" w:name="_Ref11959204"/>
      <w:r>
        <w:rPr>
          <w:rFonts w:hint="eastAsia" w:ascii="宋体" w:hAnsi="宋体" w:eastAsia="宋体" w:cs="宋体"/>
          <w:b w:val="0"/>
          <w:bCs/>
          <w:sz w:val="21"/>
          <w:szCs w:val="21"/>
        </w:rPr>
        <w:t>6.4 质量检查</w:t>
      </w:r>
      <w:bookmarkEnd w:id="1116"/>
      <w:bookmarkEnd w:id="1117"/>
      <w:bookmarkEnd w:id="1118"/>
      <w:bookmarkEnd w:id="1119"/>
    </w:p>
    <w:p>
      <w:pPr>
        <w:pStyle w:val="686"/>
        <w:numPr>
          <w:ilvl w:val="0"/>
          <w:numId w:val="0"/>
        </w:numPr>
        <w:spacing w:line="400" w:lineRule="exact"/>
        <w:rPr>
          <w:rFonts w:hint="eastAsia" w:cs="宋体"/>
          <w:sz w:val="21"/>
        </w:rPr>
      </w:pPr>
      <w:bookmarkStart w:id="1120" w:name="_Ref18990699"/>
      <w:r>
        <w:rPr>
          <w:rFonts w:hint="eastAsia" w:cs="宋体"/>
          <w:sz w:val="21"/>
        </w:rPr>
        <w:t>6.4.1 工程质量要求</w:t>
      </w:r>
      <w:bookmarkEnd w:id="1120"/>
    </w:p>
    <w:p>
      <w:pPr>
        <w:spacing w:line="400" w:lineRule="exact"/>
        <w:ind w:firstLine="600"/>
        <w:rPr>
          <w:rFonts w:hint="eastAsia" w:ascii="宋体" w:hAnsi="宋体" w:cs="宋体"/>
          <w:szCs w:val="21"/>
        </w:rPr>
      </w:pPr>
      <w:r>
        <w:rPr>
          <w:rFonts w:hint="eastAsia" w:ascii="宋体" w:hAnsi="宋体" w:cs="宋体"/>
          <w:szCs w:val="21"/>
        </w:rPr>
        <w:t>工程质量标准必须符合现行国家有关工程施工质量验收规范和标准的要求。有关工程质量的特殊标准或要求由合同当事人在专用合同条件中约定。</w:t>
      </w:r>
    </w:p>
    <w:p>
      <w:pPr>
        <w:spacing w:line="400" w:lineRule="exact"/>
        <w:ind w:firstLine="600"/>
        <w:rPr>
          <w:rFonts w:hint="eastAsia" w:ascii="宋体" w:hAnsi="宋体" w:cs="宋体"/>
          <w:szCs w:val="21"/>
        </w:rPr>
      </w:pPr>
      <w:r>
        <w:rPr>
          <w:rFonts w:hint="eastAsia" w:ascii="宋体" w:hAnsi="宋体" w:cs="宋体"/>
          <w:szCs w:val="21"/>
        </w:rPr>
        <w:t>因承包人原因造成工程质量未达到合同约定标准的，发包人有权要求承包人返工直至工程质量达到合同约定的标准为止，并由承包人承担由此增加的费用和（或）延误的工期。因发包人原因造成工程质量未达到合同约定标准的，由发包人承担由此增加的费用和（或）延误的工期，并支付承包人合理的利润。</w:t>
      </w:r>
    </w:p>
    <w:p>
      <w:pPr>
        <w:pStyle w:val="686"/>
        <w:numPr>
          <w:ilvl w:val="0"/>
          <w:numId w:val="0"/>
        </w:numPr>
        <w:spacing w:line="400" w:lineRule="exact"/>
        <w:rPr>
          <w:rFonts w:hint="eastAsia" w:cs="宋体"/>
          <w:sz w:val="21"/>
        </w:rPr>
      </w:pPr>
      <w:bookmarkStart w:id="1121" w:name="_Ref18990717"/>
      <w:r>
        <w:rPr>
          <w:rFonts w:hint="eastAsia" w:cs="宋体"/>
          <w:sz w:val="21"/>
        </w:rPr>
        <w:t>6.4.2 质量检查</w:t>
      </w:r>
      <w:bookmarkEnd w:id="1121"/>
    </w:p>
    <w:p>
      <w:pPr>
        <w:spacing w:line="400" w:lineRule="exact"/>
        <w:ind w:firstLine="600"/>
        <w:rPr>
          <w:rFonts w:hint="eastAsia" w:ascii="宋体" w:hAnsi="宋体" w:cs="宋体"/>
          <w:szCs w:val="21"/>
        </w:rPr>
      </w:pPr>
      <w:r>
        <w:rPr>
          <w:rFonts w:hint="eastAsia" w:ascii="宋体" w:hAnsi="宋体" w:cs="宋体"/>
          <w:szCs w:val="21"/>
        </w:rPr>
        <w:t>发包人有权通过工程师或自行对全部工程内容及其施工工艺、材料和工程设备进行检查和检验。承包人应为工程师或发包人的检查和检验提供方便，包括到施工现场，或制造、加工地点，或专用合同条件约定的其他地方进行察看和查阅施工原始记录。承包人还应按工程师或发包人指示，进行施工现场的取样试验，工程复核测量和设备性能检测，提供试验样品、提交试验报告和测量成果以及工程师或发包人指示进行的其他工作。工程师或发包人的检查和检验，不免除承包人按合同约定应负的责任。</w:t>
      </w:r>
    </w:p>
    <w:p>
      <w:pPr>
        <w:pStyle w:val="686"/>
        <w:numPr>
          <w:ilvl w:val="0"/>
          <w:numId w:val="0"/>
        </w:numPr>
        <w:spacing w:line="400" w:lineRule="exact"/>
        <w:rPr>
          <w:rFonts w:hint="eastAsia" w:cs="宋体"/>
          <w:sz w:val="21"/>
        </w:rPr>
      </w:pPr>
      <w:bookmarkStart w:id="1122" w:name="_Ref11959222"/>
      <w:r>
        <w:rPr>
          <w:rFonts w:hint="eastAsia" w:cs="宋体"/>
          <w:sz w:val="21"/>
        </w:rPr>
        <w:t>6.4.3 隐蔽工程检查</w:t>
      </w:r>
      <w:bookmarkEnd w:id="1122"/>
    </w:p>
    <w:p>
      <w:pPr>
        <w:spacing w:line="400" w:lineRule="exact"/>
        <w:ind w:firstLine="600"/>
        <w:rPr>
          <w:rFonts w:hint="eastAsia" w:ascii="宋体" w:hAnsi="宋体" w:cs="宋体"/>
          <w:szCs w:val="21"/>
        </w:rPr>
      </w:pPr>
      <w:r>
        <w:rPr>
          <w:rFonts w:hint="eastAsia" w:ascii="宋体" w:hAnsi="宋体" w:cs="宋体"/>
          <w:szCs w:val="21"/>
        </w:rPr>
        <w:t>除专用合同条件另有约定外，工程隐蔽部位经承包人自检确认具备覆盖条件的，承包人应书面通知工程师在约定的期限内检查，通知中应载明隐蔽检查的内容、时间和地点，并应附有自检记录和必要的检查资料。</w:t>
      </w:r>
    </w:p>
    <w:p>
      <w:pPr>
        <w:spacing w:line="400" w:lineRule="exact"/>
        <w:ind w:firstLine="600"/>
        <w:rPr>
          <w:rFonts w:hint="eastAsia" w:ascii="宋体" w:hAnsi="宋体" w:cs="宋体"/>
          <w:szCs w:val="21"/>
        </w:rPr>
      </w:pPr>
      <w:r>
        <w:rPr>
          <w:rFonts w:hint="eastAsia" w:ascii="宋体" w:hAnsi="宋体" w:cs="宋体"/>
          <w:szCs w:val="21"/>
        </w:rPr>
        <w:t>工程师应按时到场并对隐蔽工程及其施工工艺、材料和工程设备进行检查。经工程师检查确认质量符合隐蔽要求，并在验收记录上签字后，承包人才能进行覆盖。经工程师检查质量不合格的，承包人应在工程师指示的时间内完成修复，并由工程师重新检查，由此增加的费用和（或）延误的工期由承包人承担。</w:t>
      </w:r>
    </w:p>
    <w:p>
      <w:pPr>
        <w:spacing w:line="400" w:lineRule="exact"/>
        <w:ind w:firstLine="600"/>
        <w:rPr>
          <w:rFonts w:hint="eastAsia" w:ascii="宋体" w:hAnsi="宋体" w:cs="宋体"/>
          <w:szCs w:val="21"/>
        </w:rPr>
      </w:pPr>
      <w:r>
        <w:rPr>
          <w:rFonts w:hint="eastAsia" w:ascii="宋体" w:hAnsi="宋体" w:cs="宋体"/>
          <w:szCs w:val="21"/>
        </w:rPr>
        <w:t>除专用合同条件另有约定外，工程师不能按时进行检查的，应提前向承包人提交书面延期要求，顺延时间不得超过48小时，由此导致工期延误的，工期应予以顺延，顺延超过48小时的，由此导致的工期延误及费用增加由发包人承担。工程师未按时进行检查，也未提出延期要求的，视为隐蔽工程检查合格，承包人可自行完成覆盖工作，并作相应记录报送工程师，工程师应签字确认。工程师事后对检查记录有疑问的，可按下列约定重新检查。</w:t>
      </w:r>
    </w:p>
    <w:p>
      <w:pPr>
        <w:spacing w:line="400" w:lineRule="exact"/>
        <w:ind w:firstLine="600"/>
        <w:rPr>
          <w:rFonts w:hint="eastAsia" w:ascii="宋体" w:hAnsi="宋体" w:cs="宋体"/>
          <w:szCs w:val="21"/>
        </w:rPr>
      </w:pPr>
      <w:r>
        <w:rPr>
          <w:rFonts w:hint="eastAsia" w:ascii="宋体" w:hAnsi="宋体" w:cs="宋体"/>
          <w:szCs w:val="21"/>
        </w:rPr>
        <w:t>承包人覆盖工程隐蔽部位后，工程师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spacing w:line="400" w:lineRule="exact"/>
        <w:ind w:firstLine="600"/>
        <w:rPr>
          <w:rFonts w:hint="eastAsia" w:ascii="宋体" w:hAnsi="宋体" w:cs="宋体"/>
          <w:szCs w:val="21"/>
        </w:rPr>
      </w:pPr>
      <w:r>
        <w:rPr>
          <w:rFonts w:hint="eastAsia" w:ascii="宋体" w:hAnsi="宋体" w:cs="宋体"/>
          <w:szCs w:val="21"/>
        </w:rPr>
        <w:t>承包人未通知工程师到场检查，私自将工程隐蔽部位覆盖的，工程师有权指示承包人钻孔探测或揭开检查，无论工程隐蔽部位质量是否合格，由此增加的费用和（或）延误的工期均由承包人承担。</w:t>
      </w:r>
    </w:p>
    <w:bookmarkEnd w:id="1114"/>
    <w:p>
      <w:pPr>
        <w:pStyle w:val="685"/>
        <w:widowControl/>
        <w:numPr>
          <w:ilvl w:val="0"/>
          <w:numId w:val="0"/>
        </w:numPr>
        <w:spacing w:line="400" w:lineRule="exact"/>
        <w:rPr>
          <w:rFonts w:hint="eastAsia" w:ascii="宋体" w:hAnsi="宋体" w:eastAsia="宋体" w:cs="宋体"/>
          <w:b w:val="0"/>
          <w:bCs/>
          <w:sz w:val="21"/>
          <w:szCs w:val="21"/>
        </w:rPr>
      </w:pPr>
      <w:bookmarkStart w:id="1123" w:name="_Ref11927398"/>
      <w:bookmarkStart w:id="1124" w:name="_Ref11927403"/>
      <w:bookmarkStart w:id="1125" w:name="_Ref11927389"/>
      <w:bookmarkStart w:id="1126" w:name="_Toc59203132"/>
      <w:bookmarkStart w:id="1127" w:name="_Toc54862233"/>
      <w:bookmarkStart w:id="1128" w:name="_Ref11959158"/>
      <w:bookmarkStart w:id="1129" w:name="_Ref11959175"/>
      <w:r>
        <w:rPr>
          <w:rFonts w:hint="eastAsia" w:ascii="宋体" w:hAnsi="宋体" w:eastAsia="宋体" w:cs="宋体"/>
          <w:b w:val="0"/>
          <w:bCs/>
          <w:sz w:val="21"/>
          <w:szCs w:val="21"/>
        </w:rPr>
        <w:t>6.5 由承包人试验</w:t>
      </w:r>
      <w:bookmarkEnd w:id="1123"/>
      <w:bookmarkEnd w:id="1124"/>
      <w:bookmarkEnd w:id="1125"/>
      <w:r>
        <w:rPr>
          <w:rFonts w:hint="eastAsia" w:ascii="宋体" w:hAnsi="宋体" w:eastAsia="宋体" w:cs="宋体"/>
          <w:b w:val="0"/>
          <w:bCs/>
          <w:sz w:val="21"/>
          <w:szCs w:val="21"/>
        </w:rPr>
        <w:t>和检验</w:t>
      </w:r>
      <w:bookmarkEnd w:id="1126"/>
      <w:bookmarkEnd w:id="1127"/>
      <w:bookmarkEnd w:id="1128"/>
      <w:bookmarkEnd w:id="1129"/>
    </w:p>
    <w:bookmarkEnd w:id="1115"/>
    <w:p>
      <w:pPr>
        <w:pStyle w:val="686"/>
        <w:numPr>
          <w:ilvl w:val="0"/>
          <w:numId w:val="0"/>
        </w:numPr>
        <w:spacing w:line="400" w:lineRule="exact"/>
        <w:rPr>
          <w:rFonts w:hint="eastAsia" w:cs="宋体"/>
          <w:sz w:val="21"/>
        </w:rPr>
      </w:pPr>
      <w:r>
        <w:rPr>
          <w:rFonts w:hint="eastAsia" w:cs="宋体"/>
          <w:sz w:val="21"/>
        </w:rPr>
        <w:t>6.5.1 试验设备与试验人员</w:t>
      </w:r>
    </w:p>
    <w:p>
      <w:pPr>
        <w:spacing w:line="400" w:lineRule="exact"/>
        <w:ind w:firstLine="600"/>
        <w:rPr>
          <w:rFonts w:hint="eastAsia" w:ascii="宋体" w:hAnsi="宋体" w:cs="宋体"/>
          <w:szCs w:val="21"/>
        </w:rPr>
      </w:pPr>
      <w:r>
        <w:rPr>
          <w:rFonts w:hint="eastAsia" w:ascii="宋体" w:hAnsi="宋体" w:cs="宋体"/>
          <w:szCs w:val="21"/>
        </w:rPr>
        <w:t>（1） 承包人根据合同约定或工程师指示进行的现场材料试验，应由承包人提供试验场所、试验人员、试验设备以及其他必要的试验条件。工程师在必要时可以使用承包人提供的试验场所、试验设备以及其他试验条件，进行以工程质量检查为目的的材料复核试验，承包人应予以协助。</w:t>
      </w:r>
    </w:p>
    <w:p>
      <w:pPr>
        <w:spacing w:line="400" w:lineRule="exact"/>
        <w:ind w:firstLine="600"/>
        <w:rPr>
          <w:rFonts w:hint="eastAsia" w:ascii="宋体" w:hAnsi="宋体" w:cs="宋体"/>
          <w:szCs w:val="21"/>
        </w:rPr>
      </w:pPr>
      <w:r>
        <w:rPr>
          <w:rFonts w:hint="eastAsia" w:ascii="宋体" w:hAnsi="宋体" w:cs="宋体"/>
          <w:szCs w:val="21"/>
        </w:rPr>
        <w:t>（2） 承包人应按专用合同条件约定的试验内容、时间和地点提供试验设备、取样装置、试验场所和试验条件，并向工程师提交相应进场计划表。</w:t>
      </w:r>
    </w:p>
    <w:p>
      <w:pPr>
        <w:spacing w:line="400" w:lineRule="exact"/>
        <w:ind w:firstLine="600"/>
        <w:rPr>
          <w:rFonts w:hint="eastAsia" w:ascii="宋体" w:hAnsi="宋体" w:cs="宋体"/>
          <w:szCs w:val="21"/>
        </w:rPr>
      </w:pPr>
      <w:r>
        <w:rPr>
          <w:rFonts w:hint="eastAsia" w:ascii="宋体" w:hAnsi="宋体" w:cs="宋体"/>
          <w:szCs w:val="21"/>
        </w:rPr>
        <w:t>承包人配置的试验设备要符合相应试验规程的要求并经过具有资质的检测单位检测，且在正式使用该试验设备前，需要经过工程师与承包人共同校定。</w:t>
      </w:r>
    </w:p>
    <w:p>
      <w:pPr>
        <w:spacing w:line="400" w:lineRule="exact"/>
        <w:ind w:firstLine="600"/>
        <w:rPr>
          <w:rFonts w:hint="eastAsia" w:ascii="宋体" w:hAnsi="宋体" w:cs="宋体"/>
          <w:szCs w:val="21"/>
        </w:rPr>
      </w:pPr>
      <w:r>
        <w:rPr>
          <w:rFonts w:hint="eastAsia" w:ascii="宋体" w:hAnsi="宋体" w:cs="宋体"/>
          <w:szCs w:val="21"/>
        </w:rPr>
        <w:t>（3） 承包人应向工程师提交试验人员的名单及其岗位、资格等证明资料，试验人员必须能够熟练进行相应的检测试验，承包人对试验人员的试验程序和试验结果的正确性负责。</w:t>
      </w:r>
    </w:p>
    <w:p>
      <w:pPr>
        <w:pStyle w:val="686"/>
        <w:numPr>
          <w:ilvl w:val="0"/>
          <w:numId w:val="0"/>
        </w:numPr>
        <w:spacing w:line="400" w:lineRule="exact"/>
        <w:rPr>
          <w:rFonts w:hint="eastAsia" w:cs="宋体"/>
          <w:sz w:val="21"/>
        </w:rPr>
      </w:pPr>
      <w:r>
        <w:rPr>
          <w:rFonts w:hint="eastAsia" w:cs="宋体"/>
          <w:sz w:val="21"/>
        </w:rPr>
        <w:t>6.5.2 取样</w:t>
      </w:r>
    </w:p>
    <w:p>
      <w:pPr>
        <w:spacing w:line="400" w:lineRule="exact"/>
        <w:ind w:firstLine="600"/>
        <w:rPr>
          <w:rFonts w:hint="eastAsia" w:ascii="宋体" w:hAnsi="宋体" w:cs="宋体"/>
          <w:szCs w:val="21"/>
        </w:rPr>
      </w:pPr>
      <w:r>
        <w:rPr>
          <w:rFonts w:hint="eastAsia" w:ascii="宋体" w:hAnsi="宋体" w:cs="宋体"/>
          <w:szCs w:val="21"/>
        </w:rPr>
        <w:t>试验属于自检性质的，承包人可以单独取样。试验属于工程师抽检性质的，可由工程师取样，也可由承包人的试验人员在工程师的监督下取样。</w:t>
      </w:r>
    </w:p>
    <w:p>
      <w:pPr>
        <w:pStyle w:val="686"/>
        <w:numPr>
          <w:ilvl w:val="0"/>
          <w:numId w:val="0"/>
        </w:numPr>
        <w:spacing w:line="400" w:lineRule="exact"/>
        <w:rPr>
          <w:rFonts w:hint="eastAsia" w:cs="宋体"/>
          <w:sz w:val="21"/>
        </w:rPr>
      </w:pPr>
      <w:r>
        <w:rPr>
          <w:rFonts w:hint="eastAsia" w:cs="宋体"/>
          <w:sz w:val="21"/>
        </w:rPr>
        <w:t>6.5.3 材料、工程设备和工程的试验和检验</w:t>
      </w:r>
    </w:p>
    <w:p>
      <w:pPr>
        <w:spacing w:line="400" w:lineRule="exact"/>
        <w:ind w:firstLine="600"/>
        <w:rPr>
          <w:rFonts w:hint="eastAsia" w:ascii="宋体" w:hAnsi="宋体" w:cs="宋体"/>
          <w:szCs w:val="21"/>
        </w:rPr>
      </w:pPr>
      <w:r>
        <w:rPr>
          <w:rFonts w:hint="eastAsia" w:ascii="宋体" w:hAnsi="宋体" w:cs="宋体"/>
          <w:szCs w:val="21"/>
        </w:rPr>
        <w:t>（1） 承包人应按合同约定进行材料和工程设备的试验和检验，并为工程师对上述材料、工程设备和工程的质量检查提供必要的试验资料和原始记录。按合同约定应由工程师与承包人共同进行试验和检验的，由承包人负责提供必要的试验资料和原始记录。</w:t>
      </w:r>
    </w:p>
    <w:p>
      <w:pPr>
        <w:spacing w:line="400" w:lineRule="exact"/>
        <w:ind w:firstLine="600"/>
        <w:rPr>
          <w:rFonts w:hint="eastAsia" w:ascii="宋体" w:hAnsi="宋体" w:cs="宋体"/>
          <w:szCs w:val="21"/>
        </w:rPr>
      </w:pPr>
      <w:r>
        <w:rPr>
          <w:rFonts w:hint="eastAsia" w:ascii="宋体" w:hAnsi="宋体" w:cs="宋体"/>
          <w:szCs w:val="21"/>
        </w:rPr>
        <w:t>（2） 试验属于自检性质的，承包人可以单独进行试验。试验属于工程师抽检性质的，工程师可以单独进行试验，也可由承包人与工程师共同进行。承包人对由工程师单独进行的试验结果有异议的，可以申请重新共同进行试验。约定共同进行试验的，工程师未按照约定参加试验的，承包人可自行试验，并将试验结果报送工程师，工程师应承认该试验结果。</w:t>
      </w:r>
    </w:p>
    <w:p>
      <w:pPr>
        <w:spacing w:line="400" w:lineRule="exact"/>
        <w:ind w:firstLine="600"/>
        <w:rPr>
          <w:rFonts w:hint="eastAsia" w:ascii="宋体" w:hAnsi="宋体" w:cs="宋体"/>
          <w:szCs w:val="21"/>
        </w:rPr>
      </w:pPr>
      <w:r>
        <w:rPr>
          <w:rFonts w:hint="eastAsia" w:ascii="宋体" w:hAnsi="宋体" w:cs="宋体"/>
          <w:szCs w:val="21"/>
        </w:rPr>
        <w:t>（3） 工程师对承包人的试验和检验结果有异议的，或为查清承包人试验和检验成果的可靠性要求承包人重新试验和检验的，可由工程师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pStyle w:val="686"/>
        <w:numPr>
          <w:ilvl w:val="0"/>
          <w:numId w:val="0"/>
        </w:numPr>
        <w:spacing w:line="400" w:lineRule="exact"/>
        <w:rPr>
          <w:rFonts w:hint="eastAsia" w:cs="宋体"/>
          <w:sz w:val="21"/>
        </w:rPr>
      </w:pPr>
      <w:bookmarkStart w:id="1130" w:name="_Toc351203566"/>
      <w:bookmarkStart w:id="1131" w:name="_Toc337558786"/>
      <w:r>
        <w:rPr>
          <w:rFonts w:hint="eastAsia" w:cs="宋体"/>
          <w:sz w:val="21"/>
        </w:rPr>
        <w:t>6.5.4 现场工艺试验</w:t>
      </w:r>
      <w:bookmarkEnd w:id="1130"/>
    </w:p>
    <w:bookmarkEnd w:id="1131"/>
    <w:p>
      <w:pPr>
        <w:spacing w:line="400" w:lineRule="exact"/>
        <w:ind w:firstLine="600"/>
        <w:rPr>
          <w:rFonts w:hint="eastAsia" w:ascii="宋体" w:hAnsi="宋体" w:cs="宋体"/>
          <w:szCs w:val="21"/>
        </w:rPr>
      </w:pPr>
      <w:r>
        <w:rPr>
          <w:rFonts w:hint="eastAsia" w:ascii="宋体" w:hAnsi="宋体" w:cs="宋体"/>
          <w:szCs w:val="21"/>
        </w:rPr>
        <w:t>承包人应按合同约定进行现场工艺试验。对大型的现场工艺试验，发包人认为必要时，承包人应根据发包人提出的工艺试验要求，编制工艺试验措施计划，报送发包人审查。</w:t>
      </w:r>
    </w:p>
    <w:p>
      <w:pPr>
        <w:pStyle w:val="685"/>
        <w:widowControl/>
        <w:numPr>
          <w:ilvl w:val="0"/>
          <w:numId w:val="0"/>
        </w:numPr>
        <w:spacing w:line="400" w:lineRule="exact"/>
        <w:rPr>
          <w:rFonts w:hint="eastAsia" w:ascii="宋体" w:hAnsi="宋体" w:eastAsia="宋体" w:cs="宋体"/>
          <w:b w:val="0"/>
          <w:bCs/>
          <w:sz w:val="21"/>
          <w:szCs w:val="21"/>
        </w:rPr>
      </w:pPr>
      <w:bookmarkStart w:id="1132" w:name="_Toc59203133"/>
      <w:bookmarkStart w:id="1133" w:name="_Toc54862234"/>
      <w:bookmarkStart w:id="1134" w:name="_Ref532592784"/>
      <w:bookmarkStart w:id="1135" w:name="_Ref532592787"/>
      <w:r>
        <w:rPr>
          <w:rFonts w:hint="eastAsia" w:ascii="宋体" w:hAnsi="宋体" w:eastAsia="宋体" w:cs="宋体"/>
          <w:b w:val="0"/>
          <w:bCs/>
          <w:sz w:val="21"/>
          <w:szCs w:val="21"/>
        </w:rPr>
        <w:t>6.6 缺陷和修补</w:t>
      </w:r>
      <w:bookmarkEnd w:id="1132"/>
      <w:bookmarkEnd w:id="1133"/>
      <w:bookmarkEnd w:id="1134"/>
      <w:bookmarkEnd w:id="1135"/>
    </w:p>
    <w:p>
      <w:pPr>
        <w:pStyle w:val="686"/>
        <w:numPr>
          <w:ilvl w:val="0"/>
          <w:numId w:val="0"/>
        </w:numPr>
        <w:spacing w:line="400" w:lineRule="exact"/>
        <w:rPr>
          <w:rFonts w:hint="eastAsia" w:cs="宋体"/>
          <w:sz w:val="21"/>
        </w:rPr>
      </w:pPr>
      <w:bookmarkStart w:id="1136" w:name="_Ref16875551"/>
      <w:r>
        <w:rPr>
          <w:rFonts w:hint="eastAsia" w:cs="宋体"/>
          <w:sz w:val="21"/>
        </w:rPr>
        <w:t>6.6.1 发包人可在颁发接收证书前随时指示承包人：</w:t>
      </w:r>
      <w:bookmarkEnd w:id="1136"/>
    </w:p>
    <w:p>
      <w:pPr>
        <w:spacing w:line="400" w:lineRule="exact"/>
        <w:ind w:firstLine="600"/>
        <w:rPr>
          <w:rFonts w:hint="eastAsia" w:ascii="宋体" w:hAnsi="宋体" w:cs="宋体"/>
          <w:szCs w:val="21"/>
        </w:rPr>
      </w:pPr>
      <w:r>
        <w:rPr>
          <w:rFonts w:hint="eastAsia" w:ascii="宋体" w:hAnsi="宋体" w:cs="宋体"/>
          <w:szCs w:val="21"/>
        </w:rPr>
        <w:t>（1） 对不符合合同要求的任何工程设备或材料进行修补，或者将其移出现场并进行更换；</w:t>
      </w:r>
    </w:p>
    <w:p>
      <w:pPr>
        <w:spacing w:line="400" w:lineRule="exact"/>
        <w:ind w:firstLine="600"/>
        <w:rPr>
          <w:rFonts w:hint="eastAsia" w:ascii="宋体" w:hAnsi="宋体" w:cs="宋体"/>
          <w:szCs w:val="21"/>
        </w:rPr>
      </w:pPr>
      <w:r>
        <w:rPr>
          <w:rFonts w:hint="eastAsia" w:ascii="宋体" w:hAnsi="宋体" w:cs="宋体"/>
          <w:szCs w:val="21"/>
        </w:rPr>
        <w:t xml:space="preserve">（2） 对不符合合同的其他工作进行修补，或者将其去除并重新实施； </w:t>
      </w:r>
    </w:p>
    <w:p>
      <w:pPr>
        <w:spacing w:line="400" w:lineRule="exact"/>
        <w:ind w:firstLine="600"/>
        <w:rPr>
          <w:rFonts w:hint="eastAsia" w:ascii="宋体" w:hAnsi="宋体" w:cs="宋体"/>
          <w:szCs w:val="21"/>
        </w:rPr>
      </w:pPr>
      <w:bookmarkStart w:id="1137" w:name="_Ref4708991"/>
      <w:r>
        <w:rPr>
          <w:rFonts w:hint="eastAsia" w:ascii="宋体" w:hAnsi="宋体" w:cs="宋体"/>
          <w:szCs w:val="21"/>
        </w:rPr>
        <w:t>（3） 实施因意外、不可预见的事件或其他原因引起的、为工程的安全迫切需要的任何修补工作。</w:t>
      </w:r>
      <w:bookmarkEnd w:id="1137"/>
    </w:p>
    <w:p>
      <w:pPr>
        <w:pStyle w:val="686"/>
        <w:numPr>
          <w:ilvl w:val="0"/>
          <w:numId w:val="0"/>
        </w:numPr>
        <w:spacing w:line="400" w:lineRule="exact"/>
        <w:rPr>
          <w:rFonts w:hint="eastAsia" w:cs="宋体"/>
          <w:sz w:val="21"/>
        </w:rPr>
      </w:pPr>
      <w:bookmarkStart w:id="1138" w:name="_Ref11956964"/>
      <w:r>
        <w:rPr>
          <w:rFonts w:hint="eastAsia" w:cs="宋体"/>
          <w:sz w:val="21"/>
        </w:rPr>
        <w:t>6.6.2 承包人应遵守第6.6.1项下指示，并在合理可行的情况下，根据上述指示中规定的时间完成修补工作。除因下列原因引起的第6.6.1项第（3）目下的情形外，承包人应承担所有修补工作的费用：</w:t>
      </w:r>
      <w:bookmarkEnd w:id="1138"/>
    </w:p>
    <w:p>
      <w:pPr>
        <w:spacing w:line="400" w:lineRule="exact"/>
        <w:ind w:firstLine="600"/>
        <w:rPr>
          <w:rFonts w:hint="eastAsia" w:ascii="宋体" w:hAnsi="宋体" w:cs="宋体"/>
          <w:szCs w:val="21"/>
        </w:rPr>
      </w:pPr>
      <w:r>
        <w:rPr>
          <w:rFonts w:hint="eastAsia" w:ascii="宋体" w:hAnsi="宋体" w:cs="宋体"/>
          <w:szCs w:val="21"/>
        </w:rPr>
        <w:t>（1） 因发包人或其人员的任何行为导致的情形，且在此情况下发包人应承担因此引起的工期延误和承包人费用损失，并向承包人支付合理的利润。</w:t>
      </w:r>
    </w:p>
    <w:p>
      <w:pPr>
        <w:spacing w:line="400" w:lineRule="exact"/>
        <w:ind w:firstLine="600"/>
        <w:rPr>
          <w:rFonts w:hint="eastAsia" w:ascii="宋体" w:hAnsi="宋体" w:cs="宋体"/>
          <w:szCs w:val="21"/>
        </w:rPr>
      </w:pPr>
      <w:r>
        <w:rPr>
          <w:rFonts w:hint="eastAsia" w:ascii="宋体" w:hAnsi="宋体" w:cs="宋体"/>
          <w:szCs w:val="21"/>
        </w:rPr>
        <w:t>（2） 第17.4款[不可抗力后果的承担]中适用的不可抗力事件的情形。</w:t>
      </w:r>
    </w:p>
    <w:p>
      <w:pPr>
        <w:pStyle w:val="686"/>
        <w:numPr>
          <w:ilvl w:val="0"/>
          <w:numId w:val="0"/>
        </w:numPr>
        <w:spacing w:line="400" w:lineRule="exact"/>
        <w:rPr>
          <w:rFonts w:hint="eastAsia" w:cs="宋体"/>
          <w:sz w:val="21"/>
        </w:rPr>
      </w:pPr>
      <w:r>
        <w:rPr>
          <w:rFonts w:hint="eastAsia" w:cs="宋体"/>
          <w:sz w:val="21"/>
        </w:rPr>
        <w:t>6.6.3 如果承包人未能遵守发包人的指示，发包人可以自行决定请第三方完成上述修补工作，并有权要求承包人支付因未履行指示而产生的所有费用，但承包人根据第6.6.2项有权就修补工作获得支付的情况除外。</w:t>
      </w:r>
    </w:p>
    <w:p>
      <w:pPr>
        <w:pStyle w:val="684"/>
        <w:numPr>
          <w:ilvl w:val="0"/>
          <w:numId w:val="0"/>
        </w:numPr>
        <w:spacing w:line="400" w:lineRule="exact"/>
        <w:rPr>
          <w:rFonts w:hint="eastAsia" w:ascii="宋体" w:hAnsi="宋体" w:eastAsia="宋体" w:cs="宋体"/>
          <w:b w:val="0"/>
          <w:szCs w:val="21"/>
        </w:rPr>
      </w:pPr>
      <w:bookmarkStart w:id="1139" w:name="_Toc59203134"/>
      <w:bookmarkStart w:id="1140" w:name="_Toc54862235"/>
      <w:bookmarkStart w:id="1141" w:name="_Ref531954214"/>
      <w:r>
        <w:rPr>
          <w:rFonts w:hint="eastAsia" w:ascii="宋体" w:hAnsi="宋体" w:eastAsia="宋体" w:cs="宋体"/>
          <w:b w:val="0"/>
          <w:szCs w:val="21"/>
        </w:rPr>
        <w:t>第7条 施工</w:t>
      </w:r>
      <w:bookmarkEnd w:id="1139"/>
      <w:bookmarkEnd w:id="1140"/>
      <w:bookmarkEnd w:id="1141"/>
    </w:p>
    <w:p>
      <w:pPr>
        <w:pStyle w:val="685"/>
        <w:widowControl/>
        <w:numPr>
          <w:ilvl w:val="0"/>
          <w:numId w:val="0"/>
        </w:numPr>
        <w:spacing w:line="400" w:lineRule="exact"/>
        <w:rPr>
          <w:rFonts w:hint="eastAsia" w:ascii="宋体" w:hAnsi="宋体" w:eastAsia="宋体" w:cs="宋体"/>
          <w:b w:val="0"/>
          <w:bCs/>
          <w:sz w:val="21"/>
          <w:szCs w:val="21"/>
        </w:rPr>
      </w:pPr>
      <w:bookmarkStart w:id="1142" w:name="_Toc59203135"/>
      <w:bookmarkStart w:id="1143" w:name="_Toc54862236"/>
      <w:bookmarkStart w:id="1144" w:name="_Ref531954276"/>
      <w:bookmarkStart w:id="1145" w:name="_Ref531954272"/>
      <w:bookmarkStart w:id="1146" w:name="_Ref531954246"/>
      <w:bookmarkStart w:id="1147" w:name="_Ref531954260"/>
      <w:r>
        <w:rPr>
          <w:rFonts w:hint="eastAsia" w:ascii="宋体" w:hAnsi="宋体" w:eastAsia="宋体" w:cs="宋体"/>
          <w:b w:val="0"/>
          <w:bCs/>
          <w:sz w:val="21"/>
          <w:szCs w:val="21"/>
        </w:rPr>
        <w:t>7.1 交通运输</w:t>
      </w:r>
      <w:bookmarkEnd w:id="1142"/>
      <w:bookmarkEnd w:id="1143"/>
      <w:bookmarkEnd w:id="1144"/>
      <w:bookmarkEnd w:id="1145"/>
      <w:r>
        <w:rPr>
          <w:rFonts w:hint="eastAsia" w:ascii="宋体" w:hAnsi="宋体" w:eastAsia="宋体" w:cs="宋体"/>
          <w:b w:val="0"/>
          <w:bCs/>
          <w:sz w:val="21"/>
          <w:szCs w:val="21"/>
        </w:rPr>
        <w:t xml:space="preserve"> </w:t>
      </w:r>
    </w:p>
    <w:p>
      <w:pPr>
        <w:pStyle w:val="686"/>
        <w:numPr>
          <w:ilvl w:val="0"/>
          <w:numId w:val="0"/>
        </w:numPr>
        <w:spacing w:line="400" w:lineRule="exact"/>
        <w:rPr>
          <w:rFonts w:hint="eastAsia" w:cs="宋体"/>
          <w:sz w:val="21"/>
        </w:rPr>
      </w:pPr>
      <w:bookmarkStart w:id="1148" w:name="_Ref4422645"/>
      <w:r>
        <w:rPr>
          <w:rFonts w:hint="eastAsia" w:cs="宋体"/>
          <w:sz w:val="21"/>
        </w:rPr>
        <w:t>7.1.1 出入现场的权利</w:t>
      </w:r>
      <w:bookmarkEnd w:id="1148"/>
    </w:p>
    <w:p>
      <w:pPr>
        <w:spacing w:line="400" w:lineRule="exact"/>
        <w:ind w:firstLine="600"/>
        <w:rPr>
          <w:rFonts w:hint="eastAsia" w:ascii="宋体" w:hAnsi="宋体" w:cs="宋体"/>
          <w:szCs w:val="21"/>
        </w:rPr>
      </w:pPr>
      <w:r>
        <w:rPr>
          <w:rFonts w:hint="eastAsia" w:ascii="宋体" w:hAnsi="宋体" w:cs="宋体"/>
          <w:szCs w:val="21"/>
        </w:rPr>
        <w:t>除专用合同条件另有约定外，发包人应根据工程实施需要，负责取得出入施工现场所需的批准手续和全部权利，以及取得因工程实施所需修建道路、桥梁以及其他基础设施的权利，并承担相关手续费用和建设费用。承包人应协助发包人办理修建场内外道路、桥梁以及其他基础设施的手续。</w:t>
      </w:r>
    </w:p>
    <w:p>
      <w:pPr>
        <w:pStyle w:val="686"/>
        <w:numPr>
          <w:ilvl w:val="0"/>
          <w:numId w:val="0"/>
        </w:numPr>
        <w:spacing w:line="400" w:lineRule="exact"/>
        <w:rPr>
          <w:rFonts w:hint="eastAsia" w:cs="宋体"/>
          <w:sz w:val="21"/>
        </w:rPr>
      </w:pPr>
      <w:bookmarkStart w:id="1149" w:name="_Ref18957045"/>
      <w:r>
        <w:rPr>
          <w:rFonts w:hint="eastAsia" w:cs="宋体"/>
          <w:sz w:val="21"/>
        </w:rPr>
        <w:t>7.1.2 场外交通</w:t>
      </w:r>
      <w:bookmarkEnd w:id="1149"/>
    </w:p>
    <w:p>
      <w:pPr>
        <w:spacing w:line="400" w:lineRule="exact"/>
        <w:ind w:firstLine="600"/>
        <w:rPr>
          <w:rFonts w:hint="eastAsia" w:ascii="宋体" w:hAnsi="宋体" w:cs="宋体"/>
          <w:szCs w:val="21"/>
        </w:rPr>
      </w:pPr>
      <w:r>
        <w:rPr>
          <w:rFonts w:hint="eastAsia" w:ascii="宋体" w:hAnsi="宋体" w:cs="宋体"/>
          <w:szCs w:val="21"/>
        </w:rPr>
        <w:t>除专用合同条件另有约定外，发包人应提供场外交通设施的技术参数和具体条件，场外交通设施无法满足工程施工需要的，由发包人负责承担由此产生的相关费用。承包人应遵守有关交通法规，严格按照道路和桥梁的限制荷载行驶，执行有关道路限速、限行、禁止超载的规定，并配合交通管理部门的监督和检查。承包人车辆外出行驶所需的场外公共道路的通行费、养路费和税款等由承包人承担。</w:t>
      </w:r>
    </w:p>
    <w:p>
      <w:pPr>
        <w:pStyle w:val="686"/>
        <w:numPr>
          <w:ilvl w:val="0"/>
          <w:numId w:val="0"/>
        </w:numPr>
        <w:spacing w:line="400" w:lineRule="exact"/>
        <w:rPr>
          <w:rFonts w:hint="eastAsia" w:cs="宋体"/>
          <w:sz w:val="21"/>
        </w:rPr>
      </w:pPr>
      <w:bookmarkStart w:id="1150" w:name="_Ref4622358"/>
      <w:r>
        <w:rPr>
          <w:rFonts w:hint="eastAsia" w:cs="宋体"/>
          <w:sz w:val="21"/>
        </w:rPr>
        <w:t>7.1.3 场内交通</w:t>
      </w:r>
      <w:bookmarkEnd w:id="1150"/>
    </w:p>
    <w:p>
      <w:pPr>
        <w:spacing w:line="400" w:lineRule="exact"/>
        <w:ind w:firstLine="600"/>
        <w:rPr>
          <w:rFonts w:hint="eastAsia" w:ascii="宋体" w:hAnsi="宋体" w:cs="宋体"/>
          <w:szCs w:val="21"/>
        </w:rPr>
      </w:pPr>
      <w:r>
        <w:rPr>
          <w:rFonts w:hint="eastAsia" w:ascii="宋体" w:hAnsi="宋体" w:cs="宋体"/>
          <w:szCs w:val="21"/>
        </w:rPr>
        <w:t>除专用合同条件另有约定外，承包人应负责修建、维修、养护和管理施工所需的临时道路和交通设施，包括维修、养护和管理发包人提供的道路和交通设施，并承担相应费用。承包人修建的临时道路和交通设施应免费提供发包人和工程师为实现合同目的使用。场内交通与场外交通的边界由合同当事人在专用合同条件中约定。</w:t>
      </w:r>
    </w:p>
    <w:p>
      <w:pPr>
        <w:pStyle w:val="686"/>
        <w:numPr>
          <w:ilvl w:val="0"/>
          <w:numId w:val="0"/>
        </w:numPr>
        <w:spacing w:line="400" w:lineRule="exact"/>
        <w:rPr>
          <w:rFonts w:hint="eastAsia" w:cs="宋体"/>
          <w:sz w:val="21"/>
        </w:rPr>
      </w:pPr>
      <w:bookmarkStart w:id="1151" w:name="_Ref4622376"/>
      <w:r>
        <w:rPr>
          <w:rFonts w:hint="eastAsia" w:cs="宋体"/>
          <w:sz w:val="21"/>
        </w:rPr>
        <w:t>7.1.4 超大件和超重件的运输</w:t>
      </w:r>
      <w:bookmarkEnd w:id="1151"/>
    </w:p>
    <w:p>
      <w:pPr>
        <w:spacing w:line="400" w:lineRule="exact"/>
        <w:ind w:firstLine="600"/>
        <w:rPr>
          <w:rFonts w:hint="eastAsia" w:ascii="宋体" w:hAnsi="宋体" w:cs="宋体"/>
          <w:szCs w:val="21"/>
        </w:rPr>
      </w:pPr>
      <w:r>
        <w:rPr>
          <w:rFonts w:hint="eastAsia" w:ascii="宋体" w:hAnsi="宋体" w:cs="宋体"/>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件另有约定的除外。</w:t>
      </w:r>
    </w:p>
    <w:p>
      <w:pPr>
        <w:pStyle w:val="686"/>
        <w:numPr>
          <w:ilvl w:val="0"/>
          <w:numId w:val="0"/>
        </w:numPr>
        <w:spacing w:line="400" w:lineRule="exact"/>
        <w:rPr>
          <w:rFonts w:hint="eastAsia" w:cs="宋体"/>
          <w:sz w:val="21"/>
        </w:rPr>
      </w:pPr>
      <w:r>
        <w:rPr>
          <w:rFonts w:hint="eastAsia" w:cs="宋体"/>
          <w:sz w:val="21"/>
        </w:rPr>
        <w:t>7.1.5 道路和桥梁的损坏责任</w:t>
      </w:r>
    </w:p>
    <w:p>
      <w:pPr>
        <w:spacing w:line="400" w:lineRule="exact"/>
        <w:ind w:firstLine="600"/>
        <w:rPr>
          <w:rFonts w:hint="eastAsia" w:ascii="宋体" w:hAnsi="宋体" w:cs="宋体"/>
          <w:szCs w:val="21"/>
        </w:rPr>
      </w:pPr>
      <w:r>
        <w:rPr>
          <w:rFonts w:hint="eastAsia" w:ascii="宋体" w:hAnsi="宋体" w:cs="宋体"/>
          <w:szCs w:val="21"/>
        </w:rPr>
        <w:t>因承包人运输造成施工现场内外公共道路和桥梁损坏的，由承包人承担修复损坏的全部费用和可能引起的赔偿。</w:t>
      </w:r>
    </w:p>
    <w:p>
      <w:pPr>
        <w:pStyle w:val="686"/>
        <w:numPr>
          <w:ilvl w:val="0"/>
          <w:numId w:val="0"/>
        </w:numPr>
        <w:spacing w:line="400" w:lineRule="exact"/>
        <w:rPr>
          <w:rFonts w:hint="eastAsia" w:cs="宋体"/>
          <w:sz w:val="21"/>
        </w:rPr>
      </w:pPr>
      <w:r>
        <w:rPr>
          <w:rFonts w:hint="eastAsia" w:cs="宋体"/>
          <w:sz w:val="21"/>
        </w:rPr>
        <w:t>7.1.6 水路和航空运输</w:t>
      </w:r>
    </w:p>
    <w:p>
      <w:pPr>
        <w:spacing w:line="400" w:lineRule="exact"/>
        <w:ind w:firstLine="600"/>
        <w:rPr>
          <w:rFonts w:hint="eastAsia" w:ascii="宋体" w:hAnsi="宋体" w:cs="宋体"/>
          <w:szCs w:val="21"/>
        </w:rPr>
      </w:pPr>
      <w:r>
        <w:rPr>
          <w:rFonts w:hint="eastAsia" w:ascii="宋体" w:hAnsi="宋体" w:cs="宋体"/>
          <w:szCs w:val="21"/>
        </w:rPr>
        <w:t>本条上述各款的内容适用于水路运输和航空运输，其中“道路”一词的涵义包括河道、航线、船闸、机场、码头、堤防以及水路或航空运输中其他相似结构物；“车辆”一词的涵义包括船舶和飞机等。</w:t>
      </w:r>
    </w:p>
    <w:p>
      <w:pPr>
        <w:pStyle w:val="685"/>
        <w:widowControl/>
        <w:numPr>
          <w:ilvl w:val="0"/>
          <w:numId w:val="0"/>
        </w:numPr>
        <w:spacing w:line="400" w:lineRule="exact"/>
        <w:rPr>
          <w:rFonts w:hint="eastAsia" w:ascii="宋体" w:hAnsi="宋体" w:eastAsia="宋体" w:cs="宋体"/>
          <w:b w:val="0"/>
          <w:bCs/>
          <w:sz w:val="21"/>
          <w:szCs w:val="21"/>
        </w:rPr>
      </w:pPr>
      <w:bookmarkStart w:id="1152" w:name="_Toc54862237"/>
      <w:bookmarkStart w:id="1153" w:name="_Ref11919294"/>
      <w:bookmarkStart w:id="1154" w:name="_Toc59203136"/>
      <w:bookmarkStart w:id="1155" w:name="_Ref11919459"/>
      <w:r>
        <w:rPr>
          <w:rFonts w:hint="eastAsia" w:ascii="宋体" w:hAnsi="宋体" w:eastAsia="宋体" w:cs="宋体"/>
          <w:b w:val="0"/>
          <w:bCs/>
          <w:sz w:val="21"/>
          <w:szCs w:val="21"/>
        </w:rPr>
        <w:t>7.2 施工设备和临时设施</w:t>
      </w:r>
      <w:bookmarkEnd w:id="1146"/>
      <w:bookmarkEnd w:id="1147"/>
      <w:bookmarkEnd w:id="1152"/>
      <w:bookmarkEnd w:id="1153"/>
      <w:bookmarkEnd w:id="1154"/>
      <w:bookmarkEnd w:id="1155"/>
      <w:r>
        <w:rPr>
          <w:rFonts w:hint="eastAsia" w:ascii="宋体" w:hAnsi="宋体" w:eastAsia="宋体" w:cs="宋体"/>
          <w:b w:val="0"/>
          <w:bCs/>
          <w:sz w:val="21"/>
          <w:szCs w:val="21"/>
        </w:rPr>
        <w:t xml:space="preserve"> </w:t>
      </w:r>
    </w:p>
    <w:p>
      <w:pPr>
        <w:pStyle w:val="686"/>
        <w:numPr>
          <w:ilvl w:val="0"/>
          <w:numId w:val="0"/>
        </w:numPr>
        <w:spacing w:line="400" w:lineRule="exact"/>
        <w:rPr>
          <w:rFonts w:hint="eastAsia" w:cs="宋体"/>
          <w:sz w:val="21"/>
        </w:rPr>
      </w:pPr>
      <w:bookmarkStart w:id="1156" w:name="_Ref18990767"/>
      <w:bookmarkStart w:id="1157" w:name="_Ref509043186"/>
      <w:r>
        <w:rPr>
          <w:rFonts w:hint="eastAsia" w:cs="宋体"/>
          <w:sz w:val="21"/>
        </w:rPr>
        <w:t>7.2.1 承包人提供的施工设备和临时设施</w:t>
      </w:r>
      <w:bookmarkEnd w:id="1156"/>
    </w:p>
    <w:p>
      <w:pPr>
        <w:spacing w:line="400" w:lineRule="exact"/>
        <w:ind w:firstLine="600"/>
        <w:rPr>
          <w:rFonts w:hint="eastAsia" w:ascii="宋体" w:hAnsi="宋体" w:cs="宋体"/>
          <w:szCs w:val="21"/>
        </w:rPr>
      </w:pPr>
      <w:r>
        <w:rPr>
          <w:rFonts w:hint="eastAsia" w:ascii="宋体" w:hAnsi="宋体" w:cs="宋体"/>
          <w:szCs w:val="21"/>
        </w:rPr>
        <w:t>承包人应按项目进度计划的要求，及时配置施工设备和修建临时设施。进入施工现场的承包人提供的施工设备需经工程师核查后才能投入使用。承包人更换合同约定由承包人提供的施工设备的，应报工程师批准。</w:t>
      </w:r>
    </w:p>
    <w:p>
      <w:pPr>
        <w:spacing w:line="400" w:lineRule="exact"/>
        <w:ind w:firstLine="600"/>
        <w:rPr>
          <w:rFonts w:hint="eastAsia" w:ascii="宋体" w:hAnsi="宋体" w:cs="宋体"/>
          <w:szCs w:val="21"/>
        </w:rPr>
      </w:pPr>
      <w:r>
        <w:rPr>
          <w:rFonts w:hint="eastAsia" w:ascii="宋体" w:hAnsi="宋体" w:cs="宋体"/>
          <w:szCs w:val="21"/>
        </w:rPr>
        <w:t>除专用合同条件另有约定外，承包人应自行承担修建临时设施的费用，需要临时占地的，应由发包人办理申请手续并承担相应费用。承包人应在专用合同条件7.2款约定的时间内向发包人提交临时占地资料，因承包人未能按时提交资料，导致工期延误的，由此增加的费用和（或）竣工日期延误，由承包人负责。</w:t>
      </w:r>
    </w:p>
    <w:bookmarkEnd w:id="1157"/>
    <w:p>
      <w:pPr>
        <w:pStyle w:val="686"/>
        <w:numPr>
          <w:ilvl w:val="0"/>
          <w:numId w:val="0"/>
        </w:numPr>
        <w:spacing w:line="400" w:lineRule="exact"/>
        <w:rPr>
          <w:rFonts w:hint="eastAsia" w:cs="宋体"/>
          <w:sz w:val="21"/>
        </w:rPr>
      </w:pPr>
      <w:bookmarkStart w:id="1158" w:name="_Ref18990784"/>
      <w:r>
        <w:rPr>
          <w:rFonts w:hint="eastAsia" w:cs="宋体"/>
          <w:sz w:val="21"/>
        </w:rPr>
        <w:t>7.2.2 发包人提供的施工设备和临时设施</w:t>
      </w:r>
      <w:bookmarkEnd w:id="1158"/>
    </w:p>
    <w:p>
      <w:pPr>
        <w:spacing w:line="400" w:lineRule="exact"/>
        <w:ind w:firstLine="600"/>
        <w:rPr>
          <w:rFonts w:hint="eastAsia" w:ascii="宋体" w:hAnsi="宋体" w:cs="宋体"/>
          <w:szCs w:val="21"/>
        </w:rPr>
      </w:pPr>
      <w:r>
        <w:rPr>
          <w:rFonts w:hint="eastAsia" w:ascii="宋体" w:hAnsi="宋体" w:cs="宋体"/>
          <w:szCs w:val="21"/>
        </w:rPr>
        <w:t>发包人提供的施工设备或临时设施在专用合同条件中约定。</w:t>
      </w:r>
    </w:p>
    <w:p>
      <w:pPr>
        <w:pStyle w:val="686"/>
        <w:numPr>
          <w:ilvl w:val="0"/>
          <w:numId w:val="0"/>
        </w:numPr>
        <w:spacing w:line="400" w:lineRule="exact"/>
        <w:rPr>
          <w:rFonts w:hint="eastAsia" w:cs="宋体"/>
          <w:sz w:val="21"/>
        </w:rPr>
      </w:pPr>
      <w:r>
        <w:rPr>
          <w:rFonts w:hint="eastAsia" w:cs="宋体"/>
          <w:sz w:val="21"/>
        </w:rPr>
        <w:t>7.2.3 要求承包人增加或更换施工设备</w:t>
      </w:r>
    </w:p>
    <w:p>
      <w:pPr>
        <w:spacing w:line="400" w:lineRule="exact"/>
        <w:ind w:firstLine="600"/>
        <w:rPr>
          <w:rFonts w:hint="eastAsia" w:ascii="宋体" w:hAnsi="宋体" w:cs="宋体"/>
          <w:szCs w:val="21"/>
        </w:rPr>
      </w:pPr>
      <w:r>
        <w:rPr>
          <w:rFonts w:hint="eastAsia" w:ascii="宋体" w:hAnsi="宋体" w:cs="宋体"/>
          <w:szCs w:val="21"/>
        </w:rPr>
        <w:t>承包人使用的施工设备不能满足项目进度计划和（或）质量要求时，工程师有权要求承包人增加或更换施工设备，承包人应及时增加或更换，由此增加的费用和（或）延误的工期由承包人承担。</w:t>
      </w:r>
    </w:p>
    <w:p>
      <w:pPr>
        <w:pStyle w:val="686"/>
        <w:numPr>
          <w:ilvl w:val="0"/>
          <w:numId w:val="0"/>
        </w:numPr>
        <w:spacing w:line="400" w:lineRule="exact"/>
        <w:rPr>
          <w:rFonts w:hint="eastAsia" w:cs="宋体"/>
          <w:sz w:val="21"/>
        </w:rPr>
      </w:pPr>
      <w:r>
        <w:rPr>
          <w:rFonts w:hint="eastAsia" w:cs="宋体"/>
          <w:sz w:val="21"/>
        </w:rPr>
        <w:t>7.2.4 施工设备和临时设施专用于合同工程</w:t>
      </w:r>
    </w:p>
    <w:p>
      <w:pPr>
        <w:spacing w:line="400" w:lineRule="exact"/>
        <w:ind w:firstLine="600"/>
        <w:rPr>
          <w:rFonts w:hint="eastAsia" w:ascii="宋体" w:hAnsi="宋体" w:cs="宋体"/>
          <w:szCs w:val="21"/>
        </w:rPr>
      </w:pPr>
      <w:r>
        <w:rPr>
          <w:rFonts w:hint="eastAsia" w:ascii="宋体" w:hAnsi="宋体" w:cs="宋体"/>
          <w:szCs w:val="21"/>
        </w:rPr>
        <w:t>承包人运入施工现场的施工设备以及在施工现场建设的临时设施必须专用于工程。未经发包人批准，承包人不得运出施工现场或挪作他用；经发包人批准，承包人可以根据施工进度计划撤走闲置的施工设备和其他物品。</w:t>
      </w:r>
    </w:p>
    <w:p>
      <w:pPr>
        <w:pStyle w:val="685"/>
        <w:widowControl/>
        <w:numPr>
          <w:ilvl w:val="0"/>
          <w:numId w:val="0"/>
        </w:numPr>
        <w:spacing w:line="400" w:lineRule="exact"/>
        <w:rPr>
          <w:rFonts w:hint="eastAsia" w:ascii="宋体" w:hAnsi="宋体" w:eastAsia="宋体" w:cs="宋体"/>
          <w:b w:val="0"/>
          <w:bCs/>
          <w:sz w:val="21"/>
          <w:szCs w:val="21"/>
        </w:rPr>
      </w:pPr>
      <w:bookmarkStart w:id="1159" w:name="_Toc54862238"/>
      <w:bookmarkStart w:id="1160" w:name="_Ref11874352"/>
      <w:bookmarkStart w:id="1161" w:name="_Toc59203137"/>
      <w:r>
        <w:rPr>
          <w:rFonts w:hint="eastAsia" w:ascii="宋体" w:hAnsi="宋体" w:eastAsia="宋体" w:cs="宋体"/>
          <w:b w:val="0"/>
          <w:bCs/>
          <w:sz w:val="21"/>
          <w:szCs w:val="21"/>
        </w:rPr>
        <w:t>7.3 现场合作</w:t>
      </w:r>
      <w:bookmarkEnd w:id="1159"/>
      <w:bookmarkEnd w:id="1160"/>
      <w:bookmarkEnd w:id="1161"/>
    </w:p>
    <w:p>
      <w:pPr>
        <w:spacing w:line="400" w:lineRule="exact"/>
        <w:ind w:firstLine="600"/>
        <w:rPr>
          <w:rFonts w:hint="eastAsia" w:ascii="宋体" w:hAnsi="宋体" w:cs="宋体"/>
          <w:szCs w:val="21"/>
        </w:rPr>
      </w:pPr>
      <w:r>
        <w:rPr>
          <w:rFonts w:hint="eastAsia" w:ascii="宋体" w:hAnsi="宋体" w:cs="宋体"/>
          <w:szCs w:val="21"/>
        </w:rPr>
        <w:t>承包人应按合同约定或发包人的指示，与发包人人员、发包人的其他承包人等人员就在现场或附近实施与工程有关的各项工作进行合作并提供适当条件，包括使用承包人设备、临时工程或进入现场等。</w:t>
      </w:r>
    </w:p>
    <w:p>
      <w:pPr>
        <w:spacing w:line="400" w:lineRule="exact"/>
        <w:ind w:firstLine="600"/>
        <w:rPr>
          <w:rFonts w:hint="eastAsia" w:ascii="宋体" w:hAnsi="宋体" w:cs="宋体"/>
          <w:szCs w:val="21"/>
        </w:rPr>
      </w:pPr>
      <w:r>
        <w:rPr>
          <w:rFonts w:hint="eastAsia" w:ascii="宋体" w:hAnsi="宋体" w:cs="宋体"/>
          <w:szCs w:val="21"/>
        </w:rPr>
        <w:t>承包人应对其在现场的施工活动负责，并应尽合理努力按合同约定或发包人的指示，协调自身与发包人人员、发包人的其他承包人等人员的活动。</w:t>
      </w:r>
    </w:p>
    <w:p>
      <w:pPr>
        <w:spacing w:line="400" w:lineRule="exact"/>
        <w:ind w:firstLine="600"/>
        <w:rPr>
          <w:rFonts w:hint="eastAsia" w:ascii="宋体" w:hAnsi="宋体" w:cs="宋体"/>
          <w:szCs w:val="21"/>
        </w:rPr>
      </w:pPr>
      <w:r>
        <w:rPr>
          <w:rFonts w:hint="eastAsia" w:ascii="宋体" w:hAnsi="宋体" w:cs="宋体"/>
          <w:szCs w:val="21"/>
        </w:rPr>
        <w:t>除专用合同条件另有约定外，如果承包人提供上述合作、条件或协调在考虑到《发包人要求》所列内容的情况下是不可预见的，则承包人有权就额外费用和合理利润从发包人处获得支付，且因此延误的工期应相应顺延。</w:t>
      </w:r>
    </w:p>
    <w:p>
      <w:pPr>
        <w:pStyle w:val="685"/>
        <w:widowControl/>
        <w:numPr>
          <w:ilvl w:val="0"/>
          <w:numId w:val="0"/>
        </w:numPr>
        <w:spacing w:line="400" w:lineRule="exact"/>
        <w:rPr>
          <w:rFonts w:hint="eastAsia" w:ascii="宋体" w:hAnsi="宋体" w:eastAsia="宋体" w:cs="宋体"/>
          <w:b w:val="0"/>
          <w:bCs/>
          <w:sz w:val="21"/>
          <w:szCs w:val="21"/>
        </w:rPr>
      </w:pPr>
      <w:bookmarkStart w:id="1162" w:name="_Ref531954285"/>
      <w:bookmarkStart w:id="1163" w:name="_Ref531954287"/>
      <w:bookmarkStart w:id="1164" w:name="_Toc54862239"/>
      <w:bookmarkStart w:id="1165" w:name="_Toc59203138"/>
      <w:r>
        <w:rPr>
          <w:rFonts w:hint="eastAsia" w:ascii="宋体" w:hAnsi="宋体" w:eastAsia="宋体" w:cs="宋体"/>
          <w:b w:val="0"/>
          <w:bCs/>
          <w:sz w:val="21"/>
          <w:szCs w:val="21"/>
        </w:rPr>
        <w:t>7.4 测量放线</w:t>
      </w:r>
      <w:bookmarkEnd w:id="1162"/>
      <w:bookmarkEnd w:id="1163"/>
      <w:bookmarkEnd w:id="1164"/>
      <w:bookmarkEnd w:id="1165"/>
    </w:p>
    <w:p>
      <w:pPr>
        <w:pStyle w:val="686"/>
        <w:numPr>
          <w:ilvl w:val="0"/>
          <w:numId w:val="0"/>
        </w:numPr>
        <w:spacing w:line="400" w:lineRule="exact"/>
        <w:rPr>
          <w:rFonts w:hint="eastAsia" w:cs="宋体"/>
          <w:sz w:val="21"/>
        </w:rPr>
      </w:pPr>
      <w:r>
        <w:rPr>
          <w:rFonts w:hint="eastAsia" w:cs="宋体"/>
          <w:sz w:val="21"/>
        </w:rPr>
        <w:t>7.4.1 除专用合同条件另有约定外，承包人应根据国家测绘基准、测绘系统和工程测量技术规范，按基准点（线）以及合同工程精度要求，测设施工控制网，并在专用合同条件约定的期限内，将施工控制网资料报送工程师。</w:t>
      </w:r>
    </w:p>
    <w:p>
      <w:pPr>
        <w:pStyle w:val="686"/>
        <w:numPr>
          <w:ilvl w:val="0"/>
          <w:numId w:val="0"/>
        </w:numPr>
        <w:spacing w:line="400" w:lineRule="exact"/>
        <w:rPr>
          <w:rFonts w:hint="eastAsia" w:cs="宋体"/>
          <w:sz w:val="21"/>
        </w:rPr>
      </w:pPr>
      <w:r>
        <w:rPr>
          <w:rFonts w:hint="eastAsia" w:cs="宋体"/>
          <w:sz w:val="21"/>
        </w:rPr>
        <w:t>7.4.2 承包人应负责管理施工控制网点。施工控制网点丢失或损坏的，承包人应及时修复。承包人应承担施工控制网点的管理与修复费用，并在工程竣工后将施工控制网点移交发包人。承包人负责对工程、单位/区段工程、施工部位放线，并对放线的准确性负责。</w:t>
      </w:r>
    </w:p>
    <w:p>
      <w:pPr>
        <w:pStyle w:val="686"/>
        <w:numPr>
          <w:ilvl w:val="0"/>
          <w:numId w:val="0"/>
        </w:numPr>
        <w:spacing w:line="400" w:lineRule="exact"/>
        <w:rPr>
          <w:rFonts w:hint="eastAsia" w:cs="宋体"/>
          <w:sz w:val="21"/>
        </w:rPr>
      </w:pPr>
      <w:r>
        <w:rPr>
          <w:rFonts w:hint="eastAsia" w:cs="宋体"/>
          <w:sz w:val="21"/>
        </w:rPr>
        <w:t>7.4.3 承包人负责施工过程中的全部施工测量放线工作，并配置具有相应资质的人员、合格的仪器、设备和其他物品。承包人应矫正工程的位置、标高、尺寸或基准线中出现的任何差错，并对工程各部分的定位负责。施工过程中对施工现场内水准点等测量标志物的保护工作由承包人负责。</w:t>
      </w:r>
    </w:p>
    <w:p>
      <w:pPr>
        <w:pStyle w:val="685"/>
        <w:widowControl/>
        <w:numPr>
          <w:ilvl w:val="0"/>
          <w:numId w:val="0"/>
        </w:numPr>
        <w:spacing w:line="400" w:lineRule="exact"/>
        <w:rPr>
          <w:rFonts w:hint="eastAsia" w:ascii="宋体" w:hAnsi="宋体" w:eastAsia="宋体" w:cs="宋体"/>
          <w:b w:val="0"/>
          <w:bCs/>
          <w:sz w:val="21"/>
          <w:szCs w:val="21"/>
        </w:rPr>
      </w:pPr>
      <w:bookmarkStart w:id="1166" w:name="_Toc54862240"/>
      <w:bookmarkStart w:id="1167" w:name="_Toc59203139"/>
      <w:bookmarkStart w:id="1168" w:name="_Ref531954323"/>
      <w:bookmarkStart w:id="1169" w:name="_Ref531954329"/>
      <w:bookmarkStart w:id="1170" w:name="_Ref4770992"/>
      <w:r>
        <w:rPr>
          <w:rFonts w:hint="eastAsia" w:ascii="宋体" w:hAnsi="宋体" w:eastAsia="宋体" w:cs="宋体"/>
          <w:b w:val="0"/>
          <w:bCs/>
          <w:sz w:val="21"/>
          <w:szCs w:val="21"/>
        </w:rPr>
        <w:t>7.5 现场劳动用工</w:t>
      </w:r>
      <w:bookmarkEnd w:id="1166"/>
      <w:bookmarkEnd w:id="1167"/>
    </w:p>
    <w:p>
      <w:pPr>
        <w:pStyle w:val="686"/>
        <w:numPr>
          <w:ilvl w:val="0"/>
          <w:numId w:val="0"/>
        </w:numPr>
        <w:spacing w:line="400" w:lineRule="exact"/>
        <w:rPr>
          <w:rFonts w:hint="eastAsia" w:cs="宋体"/>
          <w:sz w:val="21"/>
        </w:rPr>
      </w:pPr>
      <w:r>
        <w:rPr>
          <w:rFonts w:hint="eastAsia" w:cs="宋体"/>
          <w:sz w:val="21"/>
        </w:rPr>
        <w:t>7.5.1 承包人及其分包人招用建筑工人的，应当依法与所招用的建筑工人订立劳动合同，实行建筑工人劳动用工实名制管理，承包人应当按照有关规定开设建筑工人工资专用账户、存储工资保证金，专项用于支付和保障该工程建设项目建筑工人工资。</w:t>
      </w:r>
    </w:p>
    <w:p>
      <w:pPr>
        <w:pStyle w:val="686"/>
        <w:numPr>
          <w:ilvl w:val="0"/>
          <w:numId w:val="0"/>
        </w:numPr>
        <w:spacing w:line="400" w:lineRule="exact"/>
        <w:rPr>
          <w:rFonts w:hint="eastAsia" w:cs="宋体"/>
          <w:sz w:val="21"/>
        </w:rPr>
      </w:pPr>
      <w:r>
        <w:rPr>
          <w:rFonts w:hint="eastAsia" w:cs="宋体"/>
          <w:sz w:val="21"/>
        </w:rPr>
        <w:t>7.5.2 承包人应当在工程项目部配备劳资专管员，对分包单位劳动用工及工资发放实施监督管理。承包人拖欠建筑工人工资的,应当依法予以清偿。分包人拖欠建筑工人工资的,由承包人先行清偿,再依法进行追偿。因发包人未按照合同约定及时拨付工程款导致建筑工人工资拖欠的，发包人应当以未结清的工程款为限先行垫付被拖欠的建筑工人工资。合同当事人可在专用合同条件中约定具体的清偿事宜和违约责任。</w:t>
      </w:r>
    </w:p>
    <w:p>
      <w:pPr>
        <w:pStyle w:val="686"/>
        <w:numPr>
          <w:ilvl w:val="0"/>
          <w:numId w:val="0"/>
        </w:numPr>
        <w:spacing w:line="400" w:lineRule="exact"/>
        <w:rPr>
          <w:rFonts w:hint="eastAsia" w:cs="宋体"/>
          <w:sz w:val="21"/>
        </w:rPr>
      </w:pPr>
      <w:r>
        <w:rPr>
          <w:rFonts w:hint="eastAsia" w:cs="宋体"/>
          <w:sz w:val="21"/>
        </w:rPr>
        <w:t>7.5.3 承包人应当按照相关法律法规的要求，进行劳动用工管理和建筑工人工资支付。</w:t>
      </w:r>
    </w:p>
    <w:p>
      <w:pPr>
        <w:pStyle w:val="685"/>
        <w:widowControl/>
        <w:numPr>
          <w:ilvl w:val="0"/>
          <w:numId w:val="0"/>
        </w:numPr>
        <w:spacing w:line="400" w:lineRule="exact"/>
        <w:rPr>
          <w:rFonts w:hint="eastAsia" w:ascii="宋体" w:hAnsi="宋体" w:eastAsia="宋体" w:cs="宋体"/>
          <w:b w:val="0"/>
          <w:bCs/>
          <w:sz w:val="21"/>
          <w:szCs w:val="21"/>
        </w:rPr>
      </w:pPr>
      <w:bookmarkStart w:id="1171" w:name="_Toc54862241"/>
      <w:bookmarkStart w:id="1172" w:name="_Toc59203140"/>
      <w:bookmarkStart w:id="1173" w:name="_Ref41554059"/>
      <w:r>
        <w:rPr>
          <w:rFonts w:hint="eastAsia" w:ascii="宋体" w:hAnsi="宋体" w:eastAsia="宋体" w:cs="宋体"/>
          <w:b w:val="0"/>
          <w:bCs/>
          <w:sz w:val="21"/>
          <w:szCs w:val="21"/>
        </w:rPr>
        <w:t>7.6 安全文明施工</w:t>
      </w:r>
      <w:bookmarkEnd w:id="1168"/>
      <w:bookmarkEnd w:id="1169"/>
      <w:bookmarkEnd w:id="1170"/>
      <w:bookmarkEnd w:id="1171"/>
      <w:bookmarkEnd w:id="1172"/>
      <w:bookmarkEnd w:id="1173"/>
    </w:p>
    <w:p>
      <w:pPr>
        <w:pStyle w:val="686"/>
        <w:numPr>
          <w:ilvl w:val="0"/>
          <w:numId w:val="0"/>
        </w:numPr>
        <w:spacing w:line="400" w:lineRule="exact"/>
        <w:rPr>
          <w:rFonts w:hint="eastAsia" w:cs="宋体"/>
          <w:sz w:val="21"/>
        </w:rPr>
      </w:pPr>
      <w:bookmarkStart w:id="1174" w:name="_Ref18990822"/>
      <w:r>
        <w:rPr>
          <w:rFonts w:hint="eastAsia" w:cs="宋体"/>
          <w:sz w:val="21"/>
        </w:rPr>
        <w:t>7.6.1 安全生产要求</w:t>
      </w:r>
      <w:bookmarkEnd w:id="1174"/>
    </w:p>
    <w:p>
      <w:pPr>
        <w:spacing w:line="400" w:lineRule="exact"/>
        <w:ind w:firstLine="600"/>
        <w:rPr>
          <w:rFonts w:hint="eastAsia" w:ascii="宋体" w:hAnsi="宋体" w:cs="宋体"/>
          <w:szCs w:val="21"/>
        </w:rPr>
      </w:pPr>
      <w:r>
        <w:rPr>
          <w:rFonts w:hint="eastAsia" w:ascii="宋体" w:hAnsi="宋体" w:cs="宋体"/>
          <w:szCs w:val="21"/>
        </w:rPr>
        <w:t>合同履行期间，合同当事人均应当遵守国家和工程所在地有关安全生产的要求，合同当事人有特别要求的，应在专用合同条件中明确安全生产标准化目标及相应事项。承包人有权拒绝发包人及工程师强令承包人违章作业、冒险施工的任何指示。</w:t>
      </w:r>
    </w:p>
    <w:p>
      <w:pPr>
        <w:spacing w:line="400" w:lineRule="exact"/>
        <w:ind w:firstLine="600"/>
        <w:rPr>
          <w:rFonts w:hint="eastAsia" w:ascii="宋体" w:hAnsi="宋体" w:cs="宋体"/>
          <w:szCs w:val="21"/>
        </w:rPr>
      </w:pPr>
      <w:r>
        <w:rPr>
          <w:rFonts w:hint="eastAsia" w:ascii="宋体" w:hAnsi="宋体" w:cs="宋体"/>
          <w:szCs w:val="21"/>
        </w:rPr>
        <w:t>在工程实施过程中，如遇到突发的地质变动、事先未知的地下施工障碍等影响施工安全的紧急情况，承包人应及时报告工程师和发包人，发包人应当及时下令停工并采取应急措施，按照相关法律法规的要求需上报政府有关行政管理部门的，应依法上报。</w:t>
      </w:r>
    </w:p>
    <w:p>
      <w:pPr>
        <w:spacing w:line="400" w:lineRule="exact"/>
        <w:ind w:firstLine="600"/>
        <w:rPr>
          <w:rFonts w:hint="eastAsia" w:ascii="宋体" w:hAnsi="宋体" w:cs="宋体"/>
          <w:szCs w:val="21"/>
        </w:rPr>
      </w:pPr>
      <w:r>
        <w:rPr>
          <w:rFonts w:hint="eastAsia" w:ascii="宋体" w:hAnsi="宋体" w:cs="宋体"/>
          <w:szCs w:val="21"/>
        </w:rPr>
        <w:t>因安全生产需要暂停施工的，按照第8.9款[暂停工作]的约定执行。</w:t>
      </w:r>
    </w:p>
    <w:p>
      <w:pPr>
        <w:pStyle w:val="686"/>
        <w:numPr>
          <w:ilvl w:val="0"/>
          <w:numId w:val="0"/>
        </w:numPr>
        <w:spacing w:line="400" w:lineRule="exact"/>
        <w:rPr>
          <w:rFonts w:hint="eastAsia" w:cs="宋体"/>
          <w:sz w:val="21"/>
        </w:rPr>
      </w:pPr>
      <w:r>
        <w:rPr>
          <w:rFonts w:hint="eastAsia" w:cs="宋体"/>
          <w:sz w:val="21"/>
        </w:rPr>
        <w:t>7.6.2 安全生产保证措施</w:t>
      </w:r>
    </w:p>
    <w:p>
      <w:pPr>
        <w:spacing w:line="400" w:lineRule="exact"/>
        <w:ind w:firstLine="600"/>
        <w:rPr>
          <w:rFonts w:hint="eastAsia" w:ascii="宋体" w:hAnsi="宋体" w:cs="宋体"/>
          <w:szCs w:val="21"/>
        </w:rPr>
      </w:pPr>
      <w:r>
        <w:rPr>
          <w:rFonts w:hint="eastAsia" w:ascii="宋体" w:hAnsi="宋体" w:cs="宋体"/>
          <w:szCs w:val="21"/>
        </w:rPr>
        <w:t>承包人应当按照法律、法规和工程建设强制性标准进行设计、在设计文件中注明涉及施工安全的重点部位和环节，提出保障施工作业人员和预防安全事故的措施建议，防止因设计不合理导致生产安全事故的发生。</w:t>
      </w:r>
    </w:p>
    <w:p>
      <w:pPr>
        <w:spacing w:line="400" w:lineRule="exact"/>
        <w:ind w:firstLine="600"/>
        <w:rPr>
          <w:rFonts w:hint="eastAsia" w:ascii="宋体" w:hAnsi="宋体" w:cs="宋体"/>
          <w:szCs w:val="21"/>
        </w:rPr>
      </w:pPr>
      <w:r>
        <w:rPr>
          <w:rFonts w:hint="eastAsia" w:ascii="宋体" w:hAnsi="宋体" w:cs="宋体"/>
          <w:szCs w:val="21"/>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工程师及政府安全监督部门的检查与监督。</w:t>
      </w:r>
    </w:p>
    <w:p>
      <w:pPr>
        <w:spacing w:line="400" w:lineRule="exact"/>
        <w:ind w:firstLine="600"/>
        <w:rPr>
          <w:rFonts w:hint="eastAsia" w:ascii="宋体" w:hAnsi="宋体" w:cs="宋体"/>
          <w:szCs w:val="21"/>
        </w:rPr>
      </w:pPr>
      <w:r>
        <w:rPr>
          <w:rFonts w:hint="eastAsia" w:ascii="宋体" w:hAnsi="宋体" w:cs="宋体"/>
          <w:szCs w:val="21"/>
        </w:rPr>
        <w:t>承包人应按照法律规定进行施工，开工前做好安全技术交底工作，施工过程中做好各项安全防护措施。承包人为实施合同而雇用的特殊工种的人员应受过专门的培训并已取得政府有关管理机构颁发的上岗证书。承包人应加强施工作业安全管理，特别应加强对于易燃、易爆材料、火工器材、有毒与腐蚀性材料和其他危险品的管理，以及对爆破作业和地下工程施工等危险作业的管理。</w:t>
      </w:r>
    </w:p>
    <w:p>
      <w:pPr>
        <w:pStyle w:val="686"/>
        <w:numPr>
          <w:ilvl w:val="0"/>
          <w:numId w:val="0"/>
        </w:numPr>
        <w:spacing w:line="400" w:lineRule="exact"/>
        <w:rPr>
          <w:rFonts w:hint="eastAsia" w:cs="宋体"/>
          <w:sz w:val="21"/>
        </w:rPr>
      </w:pPr>
      <w:bookmarkStart w:id="1175" w:name="_Ref18990840"/>
      <w:r>
        <w:rPr>
          <w:rFonts w:hint="eastAsia" w:cs="宋体"/>
          <w:sz w:val="21"/>
        </w:rPr>
        <w:t>7.6.3 文明施工</w:t>
      </w:r>
      <w:bookmarkEnd w:id="1175"/>
    </w:p>
    <w:p>
      <w:pPr>
        <w:spacing w:line="400" w:lineRule="exact"/>
        <w:ind w:firstLine="600"/>
        <w:rPr>
          <w:rFonts w:hint="eastAsia" w:ascii="宋体" w:hAnsi="宋体" w:cs="宋体"/>
          <w:szCs w:val="21"/>
        </w:rPr>
      </w:pPr>
      <w:r>
        <w:rPr>
          <w:rFonts w:hint="eastAsia" w:ascii="宋体" w:hAnsi="宋体" w:cs="宋体"/>
          <w:szCs w:val="21"/>
        </w:rPr>
        <w:t>承包人在工程施工期间，应当采取措施保持施工现场平整，物料堆放整齐。工程所在地有关政府行政管理部门有特殊要求的，按照其要求执行。合同当事人对文明施工有其他要求的，可以在专用合同条件中明确。</w:t>
      </w:r>
    </w:p>
    <w:p>
      <w:pPr>
        <w:spacing w:line="400" w:lineRule="exact"/>
        <w:ind w:firstLine="600"/>
        <w:rPr>
          <w:rFonts w:hint="eastAsia" w:ascii="宋体" w:hAnsi="宋体" w:cs="宋体"/>
          <w:szCs w:val="21"/>
        </w:rPr>
      </w:pPr>
      <w:r>
        <w:rPr>
          <w:rFonts w:hint="eastAsia" w:ascii="宋体" w:hAnsi="宋体" w:cs="宋体"/>
          <w:szCs w:val="21"/>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pStyle w:val="686"/>
        <w:numPr>
          <w:ilvl w:val="0"/>
          <w:numId w:val="0"/>
        </w:numPr>
        <w:spacing w:line="400" w:lineRule="exact"/>
        <w:rPr>
          <w:rFonts w:hint="eastAsia" w:cs="宋体"/>
          <w:sz w:val="21"/>
        </w:rPr>
      </w:pPr>
      <w:r>
        <w:rPr>
          <w:rFonts w:hint="eastAsia" w:cs="宋体"/>
          <w:sz w:val="21"/>
        </w:rPr>
        <w:t>7.6.4 事故处理</w:t>
      </w:r>
    </w:p>
    <w:p>
      <w:pPr>
        <w:spacing w:line="400" w:lineRule="exact"/>
        <w:ind w:firstLine="600"/>
        <w:rPr>
          <w:rFonts w:hint="eastAsia" w:ascii="宋体" w:hAnsi="宋体" w:cs="宋体"/>
          <w:szCs w:val="21"/>
        </w:rPr>
      </w:pPr>
      <w:r>
        <w:rPr>
          <w:rFonts w:hint="eastAsia" w:ascii="宋体" w:hAnsi="宋体" w:cs="宋体"/>
          <w:szCs w:val="21"/>
        </w:rPr>
        <w:t>工程实施过程中发生事故的，承包人应立即通知工程师。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spacing w:line="400" w:lineRule="exact"/>
        <w:ind w:firstLine="600"/>
        <w:rPr>
          <w:rFonts w:hint="eastAsia" w:ascii="宋体" w:hAnsi="宋体" w:cs="宋体"/>
          <w:szCs w:val="21"/>
        </w:rPr>
      </w:pPr>
      <w:r>
        <w:rPr>
          <w:rFonts w:hint="eastAsia" w:ascii="宋体" w:hAnsi="宋体" w:cs="宋体"/>
          <w:szCs w:val="21"/>
        </w:rPr>
        <w:t>在工程实施期间或缺陷责任期内发生危及工程安全的事件，工程师通知承包人进行抢救和抢修，承包人声明无能力或不愿立即执行的，发包人有权雇佣其他人员进行抢救和抢修。此类抢救和抢修按合同约定属于承包人义务的，由此增加的费用和（或）延误的工期由承包人承担。</w:t>
      </w:r>
    </w:p>
    <w:p>
      <w:pPr>
        <w:pStyle w:val="686"/>
        <w:numPr>
          <w:ilvl w:val="0"/>
          <w:numId w:val="0"/>
        </w:numPr>
        <w:spacing w:line="400" w:lineRule="exact"/>
        <w:rPr>
          <w:rFonts w:hint="eastAsia" w:cs="宋体"/>
          <w:sz w:val="21"/>
        </w:rPr>
      </w:pPr>
      <w:r>
        <w:rPr>
          <w:rFonts w:hint="eastAsia" w:cs="宋体"/>
          <w:sz w:val="21"/>
        </w:rPr>
        <w:t>7.6.5 安全生产责任</w:t>
      </w:r>
    </w:p>
    <w:p>
      <w:pPr>
        <w:spacing w:line="400" w:lineRule="exact"/>
        <w:ind w:firstLine="600"/>
        <w:rPr>
          <w:rFonts w:hint="eastAsia" w:ascii="宋体" w:hAnsi="宋体" w:cs="宋体"/>
          <w:szCs w:val="21"/>
        </w:rPr>
      </w:pPr>
      <w:r>
        <w:rPr>
          <w:rFonts w:hint="eastAsia" w:ascii="宋体" w:hAnsi="宋体" w:cs="宋体"/>
          <w:szCs w:val="21"/>
        </w:rPr>
        <w:t>发包人应负责赔偿以下各种情况造成的损失：</w:t>
      </w:r>
    </w:p>
    <w:p>
      <w:pPr>
        <w:spacing w:line="400" w:lineRule="exact"/>
        <w:ind w:firstLine="600"/>
        <w:rPr>
          <w:rFonts w:hint="eastAsia" w:ascii="宋体" w:hAnsi="宋体" w:cs="宋体"/>
          <w:szCs w:val="21"/>
        </w:rPr>
      </w:pPr>
      <w:r>
        <w:rPr>
          <w:rFonts w:hint="eastAsia" w:ascii="宋体" w:hAnsi="宋体" w:cs="宋体"/>
          <w:szCs w:val="21"/>
        </w:rPr>
        <w:t>（1） 工程或工程的任何部分对土地的占用所造成的第三者财产损失；</w:t>
      </w:r>
    </w:p>
    <w:p>
      <w:pPr>
        <w:spacing w:line="400" w:lineRule="exact"/>
        <w:ind w:firstLine="600"/>
        <w:rPr>
          <w:rFonts w:hint="eastAsia" w:ascii="宋体" w:hAnsi="宋体" w:cs="宋体"/>
          <w:szCs w:val="21"/>
        </w:rPr>
      </w:pPr>
      <w:r>
        <w:rPr>
          <w:rFonts w:hint="eastAsia" w:ascii="宋体" w:hAnsi="宋体" w:cs="宋体"/>
          <w:szCs w:val="21"/>
        </w:rPr>
        <w:t>（2） 由于发包人原因在施工现场及其毗邻地带、履行合同工作中造成的第三者人身伤亡和财产损失；</w:t>
      </w:r>
    </w:p>
    <w:p>
      <w:pPr>
        <w:spacing w:line="400" w:lineRule="exact"/>
        <w:ind w:firstLine="600"/>
        <w:rPr>
          <w:rFonts w:hint="eastAsia" w:ascii="宋体" w:hAnsi="宋体" w:cs="宋体"/>
          <w:szCs w:val="21"/>
        </w:rPr>
      </w:pPr>
      <w:r>
        <w:rPr>
          <w:rFonts w:hint="eastAsia" w:ascii="宋体" w:hAnsi="宋体" w:cs="宋体"/>
          <w:szCs w:val="21"/>
        </w:rPr>
        <w:t>（3） 由于发包人原因对发包人自身、承包人、工程师造成的人身伤害和财产损失。</w:t>
      </w:r>
    </w:p>
    <w:p>
      <w:pPr>
        <w:spacing w:line="400" w:lineRule="exact"/>
        <w:ind w:firstLine="600"/>
        <w:rPr>
          <w:rFonts w:hint="eastAsia" w:ascii="宋体" w:hAnsi="宋体" w:cs="宋体"/>
          <w:szCs w:val="21"/>
        </w:rPr>
      </w:pPr>
      <w:r>
        <w:rPr>
          <w:rFonts w:hint="eastAsia" w:ascii="宋体" w:hAnsi="宋体" w:cs="宋体"/>
          <w:szCs w:val="21"/>
        </w:rPr>
        <w:t>承包人应负责赔偿由于承包人原因在施工现场及其毗邻地带、履行合同工作中造成的第三者人身伤亡和财产损失。</w:t>
      </w:r>
    </w:p>
    <w:p>
      <w:pPr>
        <w:spacing w:line="400" w:lineRule="exact"/>
        <w:ind w:firstLine="600"/>
        <w:rPr>
          <w:rFonts w:hint="eastAsia" w:ascii="宋体" w:hAnsi="宋体" w:cs="宋体"/>
          <w:szCs w:val="21"/>
        </w:rPr>
      </w:pPr>
      <w:r>
        <w:rPr>
          <w:rFonts w:hint="eastAsia" w:ascii="宋体" w:hAnsi="宋体" w:cs="宋体"/>
          <w:szCs w:val="21"/>
        </w:rPr>
        <w:t>如果上述损失是由于发包人和承包人共同原因导致的，则双方应根据过错情况按比例承担。</w:t>
      </w:r>
    </w:p>
    <w:p>
      <w:pPr>
        <w:pStyle w:val="685"/>
        <w:widowControl/>
        <w:numPr>
          <w:ilvl w:val="0"/>
          <w:numId w:val="0"/>
        </w:numPr>
        <w:spacing w:line="400" w:lineRule="exact"/>
        <w:rPr>
          <w:rFonts w:hint="eastAsia" w:ascii="宋体" w:hAnsi="宋体" w:eastAsia="宋体" w:cs="宋体"/>
          <w:b w:val="0"/>
          <w:bCs/>
          <w:sz w:val="21"/>
          <w:szCs w:val="21"/>
        </w:rPr>
      </w:pPr>
      <w:bookmarkStart w:id="1176" w:name="_Ref11874562"/>
      <w:bookmarkStart w:id="1177" w:name="_Toc59203141"/>
      <w:bookmarkStart w:id="1178" w:name="_Ref41554069"/>
      <w:bookmarkStart w:id="1179" w:name="_Toc54862242"/>
      <w:r>
        <w:rPr>
          <w:rFonts w:hint="eastAsia" w:ascii="宋体" w:hAnsi="宋体" w:eastAsia="宋体" w:cs="宋体"/>
          <w:b w:val="0"/>
          <w:bCs/>
          <w:sz w:val="21"/>
          <w:szCs w:val="21"/>
        </w:rPr>
        <w:t>7.7 职业健康</w:t>
      </w:r>
      <w:bookmarkEnd w:id="1176"/>
      <w:bookmarkEnd w:id="1177"/>
      <w:bookmarkEnd w:id="1178"/>
      <w:bookmarkEnd w:id="1179"/>
    </w:p>
    <w:p>
      <w:pPr>
        <w:spacing w:line="400" w:lineRule="exact"/>
        <w:ind w:firstLine="600"/>
        <w:rPr>
          <w:rFonts w:hint="eastAsia" w:ascii="宋体" w:hAnsi="宋体" w:cs="宋体"/>
          <w:szCs w:val="21"/>
        </w:rPr>
      </w:pPr>
      <w:r>
        <w:rPr>
          <w:rFonts w:hint="eastAsia" w:ascii="宋体" w:hAnsi="宋体" w:cs="宋体"/>
          <w:szCs w:val="21"/>
        </w:rPr>
        <w:t>承包人应遵守适用的职业健康的法律和合同约定（包括对雇用、职业健康、安全、福利等方面的规定），负责现场实施过程中其人员的职业健康和保护，包括：</w:t>
      </w:r>
    </w:p>
    <w:p>
      <w:pPr>
        <w:spacing w:line="400" w:lineRule="exact"/>
        <w:ind w:firstLine="600"/>
        <w:rPr>
          <w:rFonts w:hint="eastAsia" w:ascii="宋体" w:hAnsi="宋体" w:cs="宋体"/>
          <w:szCs w:val="21"/>
        </w:rPr>
      </w:pPr>
      <w:r>
        <w:rPr>
          <w:rFonts w:hint="eastAsia" w:ascii="宋体" w:hAnsi="宋体" w:cs="宋体"/>
          <w:szCs w:val="21"/>
        </w:rPr>
        <w:t>（1） 承包人应遵守适用的劳动法规，保护承包人员工及承包人聘用的第三方人员的合法休假权等合法权益，按照法律规定安排现场施工人员的劳动和休息时间，保障劳动者的休息时间，并支付合理的报酬和费用。因工程施工的特殊需要占用休假日或延长工作时间的，应不超过法律规定的限度，并按法律规定给予补休或酬劳。</w:t>
      </w:r>
    </w:p>
    <w:p>
      <w:pPr>
        <w:spacing w:line="400" w:lineRule="exact"/>
        <w:ind w:firstLine="600"/>
        <w:rPr>
          <w:rFonts w:hint="eastAsia" w:ascii="宋体" w:hAnsi="宋体" w:cs="宋体"/>
          <w:szCs w:val="21"/>
        </w:rPr>
      </w:pPr>
      <w:r>
        <w:rPr>
          <w:rFonts w:hint="eastAsia" w:ascii="宋体" w:hAnsi="宋体" w:cs="宋体"/>
          <w:szCs w:val="21"/>
        </w:rPr>
        <w:t>（2） 承包人应依法为承包人</w:t>
      </w:r>
      <w:bookmarkStart w:id="1180" w:name="_Hlk46339538"/>
      <w:r>
        <w:rPr>
          <w:rFonts w:hint="eastAsia" w:ascii="宋体" w:hAnsi="宋体" w:cs="宋体"/>
          <w:szCs w:val="21"/>
        </w:rPr>
        <w:t>员工及承包人聘用的第三方人员</w:t>
      </w:r>
      <w:bookmarkEnd w:id="1180"/>
      <w:r>
        <w:rPr>
          <w:rFonts w:hint="eastAsia" w:ascii="宋体" w:hAnsi="宋体" w:cs="宋体"/>
          <w:szCs w:val="21"/>
        </w:rPr>
        <w:t>办理必要的证件、许可、保险和注册等，承包人应督促其分包人为分包人员工及分包人聘用的第三方人员办理必要的证件、许可、保险和注册等。承包人应为其履行合同所雇用的人员提供必要的膳宿条件和生活环境，必要的现场食宿条件。</w:t>
      </w:r>
    </w:p>
    <w:p>
      <w:pPr>
        <w:spacing w:line="400" w:lineRule="exact"/>
        <w:ind w:firstLine="600"/>
        <w:rPr>
          <w:rFonts w:hint="eastAsia" w:ascii="宋体" w:hAnsi="宋体" w:cs="宋体"/>
          <w:szCs w:val="21"/>
        </w:rPr>
      </w:pPr>
      <w:r>
        <w:rPr>
          <w:rFonts w:hint="eastAsia" w:ascii="宋体" w:hAnsi="宋体" w:cs="宋体"/>
          <w:szCs w:val="21"/>
        </w:rPr>
        <w:t>（3） 承包人应对其施工人员进行相关作业的职业健康知识培训、危险及危害因素交底、安全操作规程交底、采取有效措施，按有关规定为其现场人员提供劳动保护用品、防护器具、防暑降温用品和安全生产设施。采取有效的防止粉尘、降低噪声、控制有害气体和保障高温、高寒、高空作业安全等劳动保护措施。</w:t>
      </w:r>
    </w:p>
    <w:p>
      <w:pPr>
        <w:spacing w:line="400" w:lineRule="exact"/>
        <w:ind w:firstLine="600"/>
        <w:rPr>
          <w:rFonts w:hint="eastAsia" w:ascii="宋体" w:hAnsi="宋体" w:cs="宋体"/>
          <w:szCs w:val="21"/>
        </w:rPr>
      </w:pPr>
      <w:r>
        <w:rPr>
          <w:rFonts w:hint="eastAsia" w:ascii="宋体" w:hAnsi="宋体" w:cs="宋体"/>
          <w:szCs w:val="21"/>
        </w:rPr>
        <w:t>（4） 承包人应在有毒有害作业区域设置警示标志和说明，对有毒有害岗位进行防治检查，对不合格的防护设施、器具、搭设等及时整改，消除危害职业健康的隐患。发包人人员和工程师人员未经承包人允许、未配备相关保护器具，进入该作业区域所造成的伤害，由发包人承担责任和费用。</w:t>
      </w:r>
    </w:p>
    <w:p>
      <w:pPr>
        <w:spacing w:line="400" w:lineRule="exact"/>
        <w:ind w:firstLine="600"/>
        <w:rPr>
          <w:rFonts w:hint="eastAsia" w:ascii="宋体" w:hAnsi="宋体" w:cs="宋体"/>
          <w:szCs w:val="21"/>
        </w:rPr>
      </w:pPr>
      <w:r>
        <w:rPr>
          <w:rFonts w:hint="eastAsia" w:ascii="宋体" w:hAnsi="宋体" w:cs="宋体"/>
          <w:szCs w:val="21"/>
        </w:rPr>
        <w:t>（5） 承包人应采取有效措施预防传染病，保持食堂的饮食卫生，保证施工人员的健康，并定期对施工现场、施工人员生活基地和工程进行防疫和卫生的专业检查和处理, 在远离城镇的施工现场，还应配备必要的伤病防治和急救的医务人员与医疗设施。承包人雇佣人员在施工中受到伤害的，承包人应立即采取有效措施进行抢救和治疗。</w:t>
      </w:r>
    </w:p>
    <w:p>
      <w:pPr>
        <w:pStyle w:val="685"/>
        <w:widowControl/>
        <w:numPr>
          <w:ilvl w:val="0"/>
          <w:numId w:val="0"/>
        </w:numPr>
        <w:spacing w:line="400" w:lineRule="exact"/>
        <w:rPr>
          <w:rFonts w:hint="eastAsia" w:ascii="宋体" w:hAnsi="宋体" w:eastAsia="宋体" w:cs="宋体"/>
          <w:b w:val="0"/>
          <w:bCs/>
          <w:sz w:val="21"/>
          <w:szCs w:val="21"/>
        </w:rPr>
      </w:pPr>
      <w:bookmarkStart w:id="1181" w:name="_Toc59203142"/>
      <w:bookmarkStart w:id="1182" w:name="_Ref11874570"/>
      <w:bookmarkStart w:id="1183" w:name="_Toc54862243"/>
      <w:r>
        <w:rPr>
          <w:rFonts w:hint="eastAsia" w:ascii="宋体" w:hAnsi="宋体" w:eastAsia="宋体" w:cs="宋体"/>
          <w:b w:val="0"/>
          <w:bCs/>
          <w:sz w:val="21"/>
          <w:szCs w:val="21"/>
        </w:rPr>
        <w:t>7.8 环境保护</w:t>
      </w:r>
      <w:bookmarkEnd w:id="1181"/>
      <w:bookmarkEnd w:id="1182"/>
      <w:bookmarkEnd w:id="1183"/>
    </w:p>
    <w:p>
      <w:pPr>
        <w:pStyle w:val="686"/>
        <w:numPr>
          <w:ilvl w:val="0"/>
          <w:numId w:val="0"/>
        </w:numPr>
        <w:spacing w:line="400" w:lineRule="exact"/>
        <w:rPr>
          <w:rFonts w:hint="eastAsia" w:cs="宋体"/>
          <w:sz w:val="21"/>
        </w:rPr>
      </w:pPr>
      <w:r>
        <w:rPr>
          <w:rFonts w:hint="eastAsia" w:cs="宋体"/>
          <w:sz w:val="21"/>
        </w:rPr>
        <w:t>7.8.1 承包人负责在现场施工过程中对现场周围的建筑物、构筑物、文物建筑、古树、名木，及地下管线、线缆、构筑物、文物、化石和坟墓等进行保护。因承包人未能通知发包人，并在未能得到发包人进一步指示的情况下，所造成的损害、损失、赔偿等费用增加，和（或）竣工日期延误，由承包人负责。如承包人已及时通知发包人，发包人未能及时作出指示的，所造成的损害、损失、赔偿等费用增加，和（或）竣工日期延误，由发包人负责。</w:t>
      </w:r>
    </w:p>
    <w:p>
      <w:pPr>
        <w:pStyle w:val="686"/>
        <w:numPr>
          <w:ilvl w:val="0"/>
          <w:numId w:val="0"/>
        </w:numPr>
        <w:spacing w:line="400" w:lineRule="exact"/>
        <w:rPr>
          <w:rFonts w:hint="eastAsia" w:cs="宋体"/>
          <w:sz w:val="21"/>
        </w:rPr>
      </w:pPr>
      <w:r>
        <w:rPr>
          <w:rFonts w:hint="eastAsia" w:cs="宋体"/>
          <w:sz w:val="21"/>
        </w:rPr>
        <w:t>7.8.2 承包人应采取措施，并负责控制和（或）处理现场的粉尘、废气、废水、固体废物和噪声对环境的污染和危害。因此发生的伤害、赔偿、罚款等费用增加，和（或）竣工日期延误，由承包人负责。</w:t>
      </w:r>
    </w:p>
    <w:p>
      <w:pPr>
        <w:pStyle w:val="686"/>
        <w:numPr>
          <w:ilvl w:val="0"/>
          <w:numId w:val="0"/>
        </w:numPr>
        <w:spacing w:line="400" w:lineRule="exact"/>
        <w:rPr>
          <w:rFonts w:hint="eastAsia" w:cs="宋体"/>
          <w:sz w:val="21"/>
        </w:rPr>
      </w:pPr>
      <w:r>
        <w:rPr>
          <w:rFonts w:hint="eastAsia" w:cs="宋体"/>
          <w:sz w:val="21"/>
        </w:rPr>
        <w:t>7.8.3 承包人及时或定期将施工现场残留、废弃的垃圾分类后运到发包人或当地有关行政部门指定的地点，防止对周围环境的污染及对作业的影响。承包人应当承担因其原因引起的环境污染侵权损害赔偿责任，因违反上述约定导致当地行政部门的罚款、赔偿等增加的费用，由承包人承担；因上述环境污染引起纠纷而导致暂停施工的，由此增加的费用和（或）延误的工期由承包人承担。</w:t>
      </w:r>
    </w:p>
    <w:p>
      <w:pPr>
        <w:pStyle w:val="685"/>
        <w:widowControl/>
        <w:numPr>
          <w:ilvl w:val="0"/>
          <w:numId w:val="0"/>
        </w:numPr>
        <w:spacing w:line="400" w:lineRule="exact"/>
        <w:rPr>
          <w:rFonts w:hint="eastAsia" w:ascii="宋体" w:hAnsi="宋体" w:eastAsia="宋体" w:cs="宋体"/>
          <w:b w:val="0"/>
          <w:bCs/>
          <w:sz w:val="21"/>
          <w:szCs w:val="21"/>
        </w:rPr>
      </w:pPr>
      <w:bookmarkStart w:id="1184" w:name="_Ref531954340"/>
      <w:bookmarkStart w:id="1185" w:name="_Toc54862244"/>
      <w:bookmarkStart w:id="1186" w:name="_Toc59203143"/>
      <w:bookmarkStart w:id="1187" w:name="_Ref531954344"/>
      <w:bookmarkStart w:id="1188" w:name="_Ref4771116"/>
      <w:r>
        <w:rPr>
          <w:rFonts w:hint="eastAsia" w:ascii="宋体" w:hAnsi="宋体" w:eastAsia="宋体" w:cs="宋体"/>
          <w:b w:val="0"/>
          <w:bCs/>
          <w:sz w:val="21"/>
          <w:szCs w:val="21"/>
        </w:rPr>
        <w:t>7.9 临时性公用设施</w:t>
      </w:r>
      <w:bookmarkEnd w:id="1184"/>
      <w:bookmarkEnd w:id="1185"/>
      <w:bookmarkEnd w:id="1186"/>
      <w:bookmarkEnd w:id="1187"/>
      <w:r>
        <w:rPr>
          <w:rFonts w:hint="eastAsia" w:ascii="宋体" w:hAnsi="宋体" w:eastAsia="宋体" w:cs="宋体"/>
          <w:b w:val="0"/>
          <w:bCs/>
          <w:sz w:val="21"/>
          <w:szCs w:val="21"/>
        </w:rPr>
        <w:t xml:space="preserve"> </w:t>
      </w:r>
      <w:bookmarkEnd w:id="1188"/>
    </w:p>
    <w:p>
      <w:pPr>
        <w:pStyle w:val="686"/>
        <w:numPr>
          <w:ilvl w:val="0"/>
          <w:numId w:val="0"/>
        </w:numPr>
        <w:spacing w:line="400" w:lineRule="exact"/>
        <w:rPr>
          <w:rFonts w:hint="eastAsia" w:cs="宋体"/>
          <w:sz w:val="21"/>
        </w:rPr>
      </w:pPr>
      <w:r>
        <w:rPr>
          <w:rFonts w:hint="eastAsia" w:cs="宋体"/>
          <w:sz w:val="21"/>
        </w:rPr>
        <w:t>7.9.1 提供临时用水、用电等和节点铺设</w:t>
      </w:r>
    </w:p>
    <w:p>
      <w:pPr>
        <w:spacing w:line="400" w:lineRule="exact"/>
        <w:ind w:firstLine="600"/>
        <w:rPr>
          <w:rFonts w:hint="eastAsia" w:ascii="宋体" w:hAnsi="宋体" w:cs="宋体"/>
          <w:szCs w:val="21"/>
        </w:rPr>
      </w:pPr>
      <w:r>
        <w:rPr>
          <w:rFonts w:hint="eastAsia" w:ascii="宋体" w:hAnsi="宋体" w:cs="宋体"/>
          <w:szCs w:val="21"/>
        </w:rPr>
        <w:t>除专用合同条件另有约定外，发包人应在承包人进场前将施工临时用水、用电等接至约定的节点位置，并保证其需要。上述临时使用的水、电等的类别、取费单价在专用合同条件中约定，发包人按实际计量结果收费。发包人无法提供的水、电等在专用合同条件中约定，相关费用由承包人纳入报价并承担相关责任。</w:t>
      </w:r>
    </w:p>
    <w:p>
      <w:pPr>
        <w:spacing w:line="400" w:lineRule="exact"/>
        <w:ind w:firstLine="600"/>
        <w:rPr>
          <w:rFonts w:hint="eastAsia" w:ascii="宋体" w:hAnsi="宋体" w:cs="宋体"/>
          <w:szCs w:val="21"/>
        </w:rPr>
      </w:pPr>
      <w:r>
        <w:rPr>
          <w:rFonts w:hint="eastAsia" w:ascii="宋体" w:hAnsi="宋体" w:cs="宋体"/>
          <w:szCs w:val="21"/>
        </w:rPr>
        <w:t>发包人未能按约定的类别和时间完成节点铺设，使开工时间延误，竣工日期相应顺延。未能按约定的品质、数量和时间提供水、电等，给承包人造成的损失由发包人承担，导致工程关键路径延误的，竣工日期相应顺延。</w:t>
      </w:r>
    </w:p>
    <w:p>
      <w:pPr>
        <w:pStyle w:val="686"/>
        <w:numPr>
          <w:ilvl w:val="0"/>
          <w:numId w:val="0"/>
        </w:numPr>
        <w:spacing w:line="400" w:lineRule="exact"/>
        <w:rPr>
          <w:rFonts w:hint="eastAsia" w:cs="宋体"/>
          <w:sz w:val="21"/>
        </w:rPr>
      </w:pPr>
      <w:r>
        <w:rPr>
          <w:rFonts w:hint="eastAsia" w:cs="宋体"/>
          <w:sz w:val="21"/>
        </w:rPr>
        <w:t>7.9.2 临时用水、用电等</w:t>
      </w:r>
    </w:p>
    <w:p>
      <w:pPr>
        <w:spacing w:line="400" w:lineRule="exact"/>
        <w:ind w:firstLine="600"/>
        <w:rPr>
          <w:rFonts w:hint="eastAsia" w:ascii="宋体" w:hAnsi="宋体" w:cs="宋体"/>
          <w:szCs w:val="21"/>
        </w:rPr>
      </w:pPr>
      <w:r>
        <w:rPr>
          <w:rFonts w:hint="eastAsia" w:ascii="宋体" w:hAnsi="宋体" w:cs="宋体"/>
          <w:szCs w:val="21"/>
        </w:rPr>
        <w:t>承包人应在计划开始现场施工日期28天前或双方约定的其它时间，按专用合同条件中约定的发包人能够提供的临时用水、用电等类别，向发包人提交施工（含工程物资保管）所需的临时用水、用电等的品质、正常用量、高峰用量、使用时间和节点位置等资料。承包人自费负责计量仪器的购买、安装和维护，并依据专用合同条件中约定的单价向发包人交费，合同当事人另有约定时除外。</w:t>
      </w:r>
    </w:p>
    <w:p>
      <w:pPr>
        <w:spacing w:line="400" w:lineRule="exact"/>
        <w:ind w:firstLine="600"/>
        <w:rPr>
          <w:rFonts w:hint="eastAsia" w:ascii="宋体" w:hAnsi="宋体" w:cs="宋体"/>
          <w:szCs w:val="21"/>
        </w:rPr>
      </w:pPr>
      <w:r>
        <w:rPr>
          <w:rFonts w:hint="eastAsia" w:ascii="宋体" w:hAnsi="宋体" w:cs="宋体"/>
          <w:szCs w:val="21"/>
        </w:rPr>
        <w:t>因承包人未能按合同约定提交上述资料，造成发包人费用增加和竣工日期延误时，由承包人负责。</w:t>
      </w:r>
      <w:bookmarkStart w:id="1189" w:name="_Ref508893743"/>
    </w:p>
    <w:p>
      <w:pPr>
        <w:pStyle w:val="685"/>
        <w:widowControl/>
        <w:numPr>
          <w:ilvl w:val="0"/>
          <w:numId w:val="0"/>
        </w:numPr>
        <w:spacing w:line="400" w:lineRule="exact"/>
        <w:rPr>
          <w:rFonts w:hint="eastAsia" w:ascii="宋体" w:hAnsi="宋体" w:eastAsia="宋体" w:cs="宋体"/>
          <w:b w:val="0"/>
          <w:bCs/>
          <w:sz w:val="21"/>
          <w:szCs w:val="21"/>
        </w:rPr>
      </w:pPr>
      <w:bookmarkStart w:id="1190" w:name="_Ref531952248"/>
      <w:bookmarkStart w:id="1191" w:name="_Toc54862245"/>
      <w:bookmarkStart w:id="1192" w:name="_Ref531952239"/>
      <w:bookmarkStart w:id="1193" w:name="_Toc59203144"/>
      <w:r>
        <w:rPr>
          <w:rFonts w:hint="eastAsia" w:ascii="宋体" w:hAnsi="宋体" w:eastAsia="宋体" w:cs="宋体"/>
          <w:b w:val="0"/>
          <w:bCs/>
          <w:sz w:val="21"/>
          <w:szCs w:val="21"/>
        </w:rPr>
        <w:t>7.10 现场安保</w:t>
      </w:r>
      <w:bookmarkEnd w:id="1190"/>
      <w:bookmarkEnd w:id="1191"/>
      <w:bookmarkEnd w:id="1192"/>
      <w:bookmarkEnd w:id="1193"/>
    </w:p>
    <w:p>
      <w:pPr>
        <w:spacing w:line="400" w:lineRule="exact"/>
        <w:ind w:firstLine="600"/>
        <w:rPr>
          <w:rFonts w:hint="eastAsia" w:ascii="宋体" w:hAnsi="宋体" w:cs="宋体"/>
          <w:szCs w:val="21"/>
        </w:rPr>
      </w:pPr>
      <w:r>
        <w:rPr>
          <w:rFonts w:hint="eastAsia" w:ascii="宋体" w:hAnsi="宋体" w:cs="宋体"/>
          <w:szCs w:val="21"/>
        </w:rPr>
        <w:t>承包人承担自发包人向其移交施工现场、进入占有施工现场至发包人接收单位/区段工程或（和）工程之前的现场安保责任，并负责编制相关的安保制度、责任制度和报告制度，提交给发包人。除专用合同条件另有约定外，承包人的该等义务不因其与他人共同合法占有施工现场而减免。承包人有权要求发包人负责协调他人就共同合法占有现场的安保事宜接受承包人的管理。</w:t>
      </w:r>
    </w:p>
    <w:p>
      <w:pPr>
        <w:spacing w:line="400" w:lineRule="exact"/>
        <w:ind w:firstLine="600"/>
        <w:rPr>
          <w:rFonts w:hint="eastAsia" w:ascii="宋体" w:hAnsi="宋体" w:cs="宋体"/>
          <w:szCs w:val="21"/>
        </w:rPr>
      </w:pPr>
      <w:r>
        <w:rPr>
          <w:rFonts w:hint="eastAsia" w:ascii="宋体" w:hAnsi="宋体" w:cs="宋体"/>
          <w:szCs w:val="21"/>
        </w:rPr>
        <w:t>承包人应将其作业限制在现场区域、合同约定的区域或为履行合同所需的区域内。承包人应采取一切必要的预防措施，以保持承包人的设备和人员处于现场区域内，避免其进入邻近地区。</w:t>
      </w:r>
    </w:p>
    <w:p>
      <w:pPr>
        <w:spacing w:line="400" w:lineRule="exact"/>
        <w:ind w:firstLine="600"/>
        <w:rPr>
          <w:rFonts w:hint="eastAsia" w:ascii="宋体" w:hAnsi="宋体" w:cs="宋体"/>
          <w:szCs w:val="21"/>
        </w:rPr>
      </w:pPr>
      <w:r>
        <w:rPr>
          <w:rFonts w:hint="eastAsia" w:ascii="宋体" w:hAnsi="宋体" w:cs="宋体"/>
          <w:szCs w:val="21"/>
        </w:rPr>
        <w:t>承包人为履行合同义务而占用的其他场所（如预制加工场所、办公及生活营区） 的安保适用本款前述关于现场安保的规定。</w:t>
      </w:r>
    </w:p>
    <w:p>
      <w:pPr>
        <w:pStyle w:val="685"/>
        <w:widowControl/>
        <w:numPr>
          <w:ilvl w:val="0"/>
          <w:numId w:val="0"/>
        </w:numPr>
        <w:spacing w:line="400" w:lineRule="exact"/>
        <w:rPr>
          <w:rFonts w:hint="eastAsia" w:ascii="宋体" w:hAnsi="宋体" w:eastAsia="宋体" w:cs="宋体"/>
          <w:b w:val="0"/>
          <w:bCs/>
          <w:sz w:val="21"/>
          <w:szCs w:val="21"/>
        </w:rPr>
      </w:pPr>
      <w:bookmarkStart w:id="1194" w:name="_Toc54862246"/>
      <w:bookmarkStart w:id="1195" w:name="_Toc59203145"/>
      <w:r>
        <w:rPr>
          <w:rFonts w:hint="eastAsia" w:ascii="宋体" w:hAnsi="宋体" w:eastAsia="宋体" w:cs="宋体"/>
          <w:b w:val="0"/>
          <w:bCs/>
          <w:sz w:val="21"/>
          <w:szCs w:val="21"/>
        </w:rPr>
        <w:t>7.11 工程照管</w:t>
      </w:r>
      <w:bookmarkEnd w:id="1194"/>
      <w:bookmarkEnd w:id="1195"/>
    </w:p>
    <w:p>
      <w:pPr>
        <w:spacing w:line="400" w:lineRule="exact"/>
        <w:ind w:firstLine="600"/>
        <w:rPr>
          <w:rFonts w:hint="eastAsia" w:ascii="宋体" w:hAnsi="宋体" w:cs="宋体"/>
          <w:szCs w:val="21"/>
        </w:rPr>
      </w:pPr>
      <w:r>
        <w:rPr>
          <w:rFonts w:hint="eastAsia" w:ascii="宋体" w:hAnsi="宋体" w:cs="宋体"/>
          <w:szCs w:val="21"/>
        </w:rPr>
        <w:t>自开始现场施工日期起至发包人应当接收工程之日止，承包人应承担工程现场、材料、设备及承包人文件的照管和维护工作。</w:t>
      </w:r>
    </w:p>
    <w:p>
      <w:pPr>
        <w:spacing w:line="400" w:lineRule="exact"/>
        <w:ind w:firstLine="600"/>
        <w:rPr>
          <w:rFonts w:hint="eastAsia" w:ascii="宋体" w:hAnsi="宋体" w:cs="宋体"/>
          <w:szCs w:val="21"/>
        </w:rPr>
      </w:pPr>
      <w:r>
        <w:rPr>
          <w:rFonts w:hint="eastAsia" w:ascii="宋体" w:hAnsi="宋体" w:cs="宋体"/>
          <w:szCs w:val="21"/>
        </w:rPr>
        <w:t>如部分工程于竣工验收前提前交付发包人的，则自交付之日起，该部分工程照管及维护职责由发包人承担。</w:t>
      </w:r>
    </w:p>
    <w:p>
      <w:pPr>
        <w:spacing w:line="400" w:lineRule="exact"/>
        <w:ind w:firstLine="600"/>
        <w:rPr>
          <w:rFonts w:hint="eastAsia" w:ascii="宋体" w:hAnsi="宋体" w:cs="宋体"/>
          <w:szCs w:val="21"/>
        </w:rPr>
      </w:pPr>
      <w:r>
        <w:rPr>
          <w:rFonts w:hint="eastAsia" w:ascii="宋体" w:hAnsi="宋体" w:cs="宋体"/>
          <w:szCs w:val="21"/>
        </w:rPr>
        <w:t>如发包人及承包人进行竣工验收时尚有部分未竣工工程的，承包人应负责该未竣工工程的照管和维护工作，直至竣工后移交给发包人。</w:t>
      </w:r>
    </w:p>
    <w:p>
      <w:pPr>
        <w:spacing w:line="400" w:lineRule="exact"/>
        <w:ind w:firstLine="600"/>
        <w:rPr>
          <w:rFonts w:hint="eastAsia" w:ascii="宋体" w:hAnsi="宋体" w:cs="宋体"/>
          <w:szCs w:val="21"/>
        </w:rPr>
      </w:pPr>
      <w:r>
        <w:rPr>
          <w:rFonts w:hint="eastAsia" w:ascii="宋体" w:hAnsi="宋体" w:cs="宋体"/>
          <w:szCs w:val="21"/>
        </w:rPr>
        <w:t>如合同解除或终止的，承包人自合同解除或终止之日起不再对工程承担照管和维护义务。</w:t>
      </w:r>
    </w:p>
    <w:p>
      <w:pPr>
        <w:pStyle w:val="684"/>
        <w:numPr>
          <w:ilvl w:val="0"/>
          <w:numId w:val="0"/>
        </w:numPr>
        <w:spacing w:line="400" w:lineRule="exact"/>
        <w:rPr>
          <w:rFonts w:hint="eastAsia" w:ascii="宋体" w:hAnsi="宋体" w:eastAsia="宋体" w:cs="宋体"/>
          <w:b w:val="0"/>
          <w:szCs w:val="21"/>
        </w:rPr>
      </w:pPr>
      <w:bookmarkStart w:id="1196" w:name="_Ref508998009"/>
      <w:bookmarkStart w:id="1197" w:name="_Toc54862247"/>
      <w:bookmarkStart w:id="1198" w:name="_Toc59203146"/>
      <w:bookmarkStart w:id="1199" w:name="_Ref531954505"/>
      <w:bookmarkStart w:id="1200" w:name="_Ref531954518"/>
      <w:r>
        <w:rPr>
          <w:rFonts w:hint="eastAsia" w:ascii="宋体" w:hAnsi="宋体" w:eastAsia="宋体" w:cs="宋体"/>
          <w:b w:val="0"/>
          <w:szCs w:val="21"/>
        </w:rPr>
        <w:t>第8条 工期和进度</w:t>
      </w:r>
      <w:bookmarkEnd w:id="1196"/>
      <w:bookmarkEnd w:id="1197"/>
      <w:bookmarkEnd w:id="1198"/>
    </w:p>
    <w:p>
      <w:pPr>
        <w:pStyle w:val="685"/>
        <w:widowControl/>
        <w:numPr>
          <w:ilvl w:val="0"/>
          <w:numId w:val="0"/>
        </w:numPr>
        <w:spacing w:line="400" w:lineRule="exact"/>
        <w:rPr>
          <w:rFonts w:hint="eastAsia" w:ascii="宋体" w:hAnsi="宋体" w:eastAsia="宋体" w:cs="宋体"/>
          <w:b w:val="0"/>
          <w:bCs/>
          <w:sz w:val="21"/>
          <w:szCs w:val="21"/>
        </w:rPr>
      </w:pPr>
      <w:bookmarkStart w:id="1201" w:name="_Ref532362075"/>
      <w:bookmarkStart w:id="1202" w:name="_Ref532362774"/>
      <w:bookmarkStart w:id="1203" w:name="_Ref532362777"/>
      <w:bookmarkStart w:id="1204" w:name="_Ref532362072"/>
      <w:bookmarkStart w:id="1205" w:name="_Toc59203147"/>
      <w:bookmarkStart w:id="1206" w:name="_Toc54862248"/>
      <w:r>
        <w:rPr>
          <w:rFonts w:hint="eastAsia" w:ascii="宋体" w:hAnsi="宋体" w:eastAsia="宋体" w:cs="宋体"/>
          <w:b w:val="0"/>
          <w:bCs/>
          <w:sz w:val="21"/>
          <w:szCs w:val="21"/>
        </w:rPr>
        <w:t>8.1 开始工作</w:t>
      </w:r>
      <w:bookmarkEnd w:id="1201"/>
      <w:bookmarkEnd w:id="1202"/>
      <w:bookmarkEnd w:id="1203"/>
      <w:bookmarkEnd w:id="1204"/>
      <w:bookmarkEnd w:id="1205"/>
      <w:bookmarkEnd w:id="1206"/>
    </w:p>
    <w:p>
      <w:pPr>
        <w:pStyle w:val="686"/>
        <w:numPr>
          <w:ilvl w:val="0"/>
          <w:numId w:val="0"/>
        </w:numPr>
        <w:spacing w:line="400" w:lineRule="exact"/>
        <w:rPr>
          <w:rFonts w:hint="eastAsia" w:cs="宋体"/>
          <w:sz w:val="21"/>
        </w:rPr>
      </w:pPr>
      <w:bookmarkStart w:id="1207" w:name="_Ref4428890"/>
      <w:r>
        <w:rPr>
          <w:rFonts w:hint="eastAsia" w:cs="宋体"/>
          <w:sz w:val="21"/>
        </w:rPr>
        <w:t>8.1.1 开始工作准备</w:t>
      </w:r>
      <w:bookmarkEnd w:id="1207"/>
    </w:p>
    <w:p>
      <w:pPr>
        <w:spacing w:line="400" w:lineRule="exact"/>
        <w:ind w:firstLine="600"/>
        <w:rPr>
          <w:rFonts w:hint="eastAsia" w:ascii="宋体" w:hAnsi="宋体" w:cs="宋体"/>
          <w:szCs w:val="21"/>
        </w:rPr>
      </w:pPr>
      <w:r>
        <w:rPr>
          <w:rFonts w:hint="eastAsia" w:ascii="宋体" w:hAnsi="宋体" w:cs="宋体"/>
          <w:szCs w:val="21"/>
        </w:rPr>
        <w:t>合同当事人应按专用合同条件约定完成开始工作准备工作。</w:t>
      </w:r>
    </w:p>
    <w:p>
      <w:pPr>
        <w:pStyle w:val="686"/>
        <w:numPr>
          <w:ilvl w:val="0"/>
          <w:numId w:val="0"/>
        </w:numPr>
        <w:spacing w:line="400" w:lineRule="exact"/>
        <w:rPr>
          <w:rFonts w:hint="eastAsia" w:cs="宋体"/>
          <w:sz w:val="21"/>
        </w:rPr>
      </w:pPr>
      <w:bookmarkStart w:id="1208" w:name="_Ref536790534"/>
      <w:bookmarkStart w:id="1209" w:name="_Hlk51506490"/>
      <w:r>
        <w:rPr>
          <w:rFonts w:hint="eastAsia" w:cs="宋体"/>
          <w:sz w:val="21"/>
        </w:rPr>
        <w:t>8.1.2 开始工作通知</w:t>
      </w:r>
      <w:bookmarkEnd w:id="1208"/>
    </w:p>
    <w:bookmarkEnd w:id="1209"/>
    <w:p>
      <w:pPr>
        <w:spacing w:line="400" w:lineRule="exact"/>
        <w:ind w:firstLine="600"/>
        <w:rPr>
          <w:rFonts w:hint="eastAsia" w:ascii="宋体" w:hAnsi="宋体" w:cs="宋体"/>
          <w:szCs w:val="21"/>
        </w:rPr>
      </w:pPr>
      <w:r>
        <w:rPr>
          <w:rFonts w:hint="eastAsia" w:ascii="宋体" w:hAnsi="宋体" w:cs="宋体"/>
          <w:szCs w:val="21"/>
        </w:rPr>
        <w:t>经发包人同意后，工程师应提前7天向承包人发出经发包人签认的开始工作通知，工期自开始工作通知中载明的开始工作日期起算。</w:t>
      </w:r>
    </w:p>
    <w:p>
      <w:pPr>
        <w:spacing w:line="400" w:lineRule="exact"/>
        <w:ind w:firstLine="600"/>
        <w:rPr>
          <w:rFonts w:hint="eastAsia" w:ascii="宋体" w:hAnsi="宋体" w:cs="宋体"/>
          <w:szCs w:val="21"/>
        </w:rPr>
      </w:pPr>
      <w:r>
        <w:rPr>
          <w:rFonts w:hint="eastAsia" w:ascii="宋体" w:hAnsi="宋体" w:cs="宋体"/>
          <w:szCs w:val="21"/>
        </w:rPr>
        <w:t>除专用合同条件另有约定外，因发包人原因造成实际开始现场施工日期迟于</w:t>
      </w:r>
      <w:bookmarkStart w:id="1210" w:name="_Hlk51506566"/>
      <w:r>
        <w:rPr>
          <w:rFonts w:hint="eastAsia" w:ascii="宋体" w:hAnsi="宋体" w:cs="宋体"/>
          <w:szCs w:val="21"/>
        </w:rPr>
        <w:t>计划开始现场施工日期</w:t>
      </w:r>
      <w:bookmarkEnd w:id="1210"/>
      <w:r>
        <w:rPr>
          <w:rFonts w:hint="eastAsia" w:ascii="宋体" w:hAnsi="宋体" w:cs="宋体"/>
          <w:szCs w:val="21"/>
        </w:rPr>
        <w:t>后第84天的，承包人有权提出价格调整要求，或者解除合同。发包人应当承担由此增加的费用和（或）延误的工期，并向承包人支付合理利润。</w:t>
      </w:r>
    </w:p>
    <w:p>
      <w:pPr>
        <w:pStyle w:val="685"/>
        <w:widowControl/>
        <w:numPr>
          <w:ilvl w:val="0"/>
          <w:numId w:val="0"/>
        </w:numPr>
        <w:spacing w:line="400" w:lineRule="exact"/>
        <w:rPr>
          <w:rFonts w:hint="eastAsia" w:ascii="宋体" w:hAnsi="宋体" w:eastAsia="宋体" w:cs="宋体"/>
          <w:b w:val="0"/>
          <w:bCs/>
          <w:sz w:val="21"/>
          <w:szCs w:val="21"/>
        </w:rPr>
      </w:pPr>
      <w:bookmarkStart w:id="1211" w:name="_Ref532362124"/>
      <w:bookmarkStart w:id="1212" w:name="_Toc54862249"/>
      <w:bookmarkStart w:id="1213" w:name="_Toc59203148"/>
      <w:r>
        <w:rPr>
          <w:rFonts w:hint="eastAsia" w:ascii="宋体" w:hAnsi="宋体" w:eastAsia="宋体" w:cs="宋体"/>
          <w:b w:val="0"/>
          <w:bCs/>
          <w:sz w:val="21"/>
          <w:szCs w:val="21"/>
        </w:rPr>
        <w:t>8.2 竣工日期</w:t>
      </w:r>
      <w:bookmarkEnd w:id="1211"/>
      <w:bookmarkEnd w:id="1212"/>
      <w:bookmarkEnd w:id="1213"/>
      <w:r>
        <w:rPr>
          <w:rFonts w:hint="eastAsia" w:ascii="宋体" w:hAnsi="宋体" w:eastAsia="宋体" w:cs="宋体"/>
          <w:b w:val="0"/>
          <w:bCs/>
          <w:sz w:val="21"/>
          <w:szCs w:val="21"/>
        </w:rPr>
        <w:t xml:space="preserve"> </w:t>
      </w:r>
    </w:p>
    <w:p>
      <w:pPr>
        <w:spacing w:line="400" w:lineRule="exact"/>
        <w:ind w:firstLine="600"/>
        <w:rPr>
          <w:rFonts w:hint="eastAsia" w:ascii="宋体" w:hAnsi="宋体" w:cs="宋体"/>
          <w:szCs w:val="21"/>
        </w:rPr>
      </w:pPr>
      <w:r>
        <w:rPr>
          <w:rFonts w:hint="eastAsia" w:ascii="宋体" w:hAnsi="宋体" w:cs="宋体"/>
          <w:szCs w:val="21"/>
        </w:rPr>
        <w:t>承包人应在合同协议书约定的工期内完成合同工作。除专用合同条件另有约定外，工程的竣工日期以第10.1条[竣工验收]的约定为准，并在工程接收证书中写明。</w:t>
      </w:r>
    </w:p>
    <w:p>
      <w:pPr>
        <w:spacing w:line="400" w:lineRule="exact"/>
        <w:ind w:firstLine="600"/>
        <w:rPr>
          <w:rFonts w:hint="eastAsia" w:ascii="宋体" w:hAnsi="宋体" w:cs="宋体"/>
          <w:szCs w:val="21"/>
        </w:rPr>
      </w:pPr>
      <w:r>
        <w:rPr>
          <w:rFonts w:hint="eastAsia" w:ascii="宋体" w:hAnsi="宋体" w:cs="宋体"/>
          <w:szCs w:val="21"/>
        </w:rPr>
        <w:t>因发包人原因，在工程师收到承包人竣工验收申请报告42天后未进行验收的，视为验收合格，实际竣工日期以提交竣工验收申请报告的日期为准，但发包人由于不可抗力不能进行验收的除外。</w:t>
      </w:r>
    </w:p>
    <w:p>
      <w:pPr>
        <w:pStyle w:val="685"/>
        <w:widowControl/>
        <w:numPr>
          <w:ilvl w:val="0"/>
          <w:numId w:val="0"/>
        </w:numPr>
        <w:spacing w:line="400" w:lineRule="exact"/>
        <w:rPr>
          <w:rFonts w:hint="eastAsia" w:ascii="宋体" w:hAnsi="宋体" w:eastAsia="宋体" w:cs="宋体"/>
          <w:b w:val="0"/>
          <w:bCs/>
          <w:sz w:val="21"/>
          <w:szCs w:val="21"/>
        </w:rPr>
      </w:pPr>
      <w:bookmarkStart w:id="1214" w:name="_Toc54862250"/>
      <w:bookmarkStart w:id="1215" w:name="_Toc59203149"/>
      <w:bookmarkStart w:id="1216" w:name="_Ref11863334"/>
      <w:bookmarkStart w:id="1217" w:name="_Ref532352856"/>
      <w:bookmarkStart w:id="1218" w:name="_Ref532352853"/>
      <w:bookmarkStart w:id="1219" w:name="_Ref532362207"/>
      <w:bookmarkStart w:id="1220" w:name="_Ref532362204"/>
      <w:r>
        <w:rPr>
          <w:rFonts w:hint="eastAsia" w:ascii="宋体" w:hAnsi="宋体" w:eastAsia="宋体" w:cs="宋体"/>
          <w:b w:val="0"/>
          <w:bCs/>
          <w:sz w:val="21"/>
          <w:szCs w:val="21"/>
        </w:rPr>
        <w:t>8.3 项目实施计划</w:t>
      </w:r>
      <w:bookmarkEnd w:id="1214"/>
      <w:bookmarkEnd w:id="1215"/>
      <w:bookmarkEnd w:id="1216"/>
    </w:p>
    <w:p>
      <w:pPr>
        <w:pStyle w:val="686"/>
        <w:numPr>
          <w:ilvl w:val="0"/>
          <w:numId w:val="0"/>
        </w:numPr>
        <w:spacing w:line="400" w:lineRule="exact"/>
        <w:rPr>
          <w:rFonts w:hint="eastAsia" w:cs="宋体"/>
          <w:sz w:val="21"/>
        </w:rPr>
      </w:pPr>
      <w:bookmarkStart w:id="1221" w:name="_Ref18990904"/>
      <w:r>
        <w:rPr>
          <w:rFonts w:hint="eastAsia" w:cs="宋体"/>
          <w:sz w:val="21"/>
        </w:rPr>
        <w:t>8.3.1 项目实施计划的内容</w:t>
      </w:r>
      <w:bookmarkEnd w:id="1221"/>
    </w:p>
    <w:p>
      <w:pPr>
        <w:spacing w:line="400" w:lineRule="exact"/>
        <w:ind w:firstLine="600"/>
        <w:rPr>
          <w:rFonts w:hint="eastAsia" w:ascii="宋体" w:hAnsi="宋体" w:cs="宋体"/>
          <w:szCs w:val="21"/>
        </w:rPr>
      </w:pPr>
      <w:r>
        <w:rPr>
          <w:rFonts w:hint="eastAsia" w:ascii="宋体" w:hAnsi="宋体" w:cs="宋体"/>
          <w:szCs w:val="21"/>
        </w:rPr>
        <w:t>项目实施计划是依据合同和经批准的项目管理计划进行编制并用于对项目实施进行管理和控制的文件，应包含概述、总体实施方案、项目实施要点、项目初步进度计划以及合同当事人在专用合同条件中约定的其他内容。</w:t>
      </w:r>
    </w:p>
    <w:p>
      <w:pPr>
        <w:pStyle w:val="686"/>
        <w:numPr>
          <w:ilvl w:val="0"/>
          <w:numId w:val="0"/>
        </w:numPr>
        <w:spacing w:line="400" w:lineRule="exact"/>
        <w:rPr>
          <w:rFonts w:hint="eastAsia" w:cs="宋体"/>
          <w:sz w:val="21"/>
        </w:rPr>
      </w:pPr>
      <w:bookmarkStart w:id="1222" w:name="_Ref18990921"/>
      <w:r>
        <w:rPr>
          <w:rFonts w:hint="eastAsia" w:cs="宋体"/>
          <w:sz w:val="21"/>
        </w:rPr>
        <w:t>8.3.2 项目实施计划的提交和修改</w:t>
      </w:r>
      <w:bookmarkEnd w:id="1222"/>
    </w:p>
    <w:p>
      <w:pPr>
        <w:spacing w:line="400" w:lineRule="exact"/>
        <w:ind w:firstLine="600"/>
        <w:rPr>
          <w:rFonts w:hint="eastAsia" w:ascii="宋体" w:hAnsi="宋体" w:cs="宋体"/>
          <w:szCs w:val="21"/>
        </w:rPr>
      </w:pPr>
      <w:r>
        <w:rPr>
          <w:rFonts w:hint="eastAsia" w:ascii="宋体" w:hAnsi="宋体" w:cs="宋体"/>
          <w:szCs w:val="21"/>
        </w:rPr>
        <w:t>除专用合同条件另有约定外，承包人应在合同订立后14天内，向工程师提交项目实施计划，工程师应在收到项目实施计划后21天内确认或提出修改意见。对工程师提出的合理意见和要求，承包人应自费修改完善。根据工程实施的实际情况需要修改项目实施计划的，承包人应向工程师提交修改后的项目实施计划。</w:t>
      </w:r>
    </w:p>
    <w:p>
      <w:pPr>
        <w:spacing w:line="400" w:lineRule="exact"/>
        <w:ind w:firstLine="600"/>
        <w:rPr>
          <w:rFonts w:hint="eastAsia" w:ascii="宋体" w:hAnsi="宋体" w:cs="宋体"/>
          <w:szCs w:val="21"/>
        </w:rPr>
      </w:pPr>
      <w:r>
        <w:rPr>
          <w:rFonts w:hint="eastAsia" w:ascii="宋体" w:hAnsi="宋体" w:cs="宋体"/>
          <w:szCs w:val="21"/>
        </w:rPr>
        <w:t>项目进度计划的编制和修改按照第8.4款[项目进度计划]执行。</w:t>
      </w:r>
    </w:p>
    <w:p>
      <w:pPr>
        <w:pStyle w:val="685"/>
        <w:widowControl/>
        <w:numPr>
          <w:ilvl w:val="0"/>
          <w:numId w:val="0"/>
        </w:numPr>
        <w:spacing w:line="400" w:lineRule="exact"/>
        <w:rPr>
          <w:rFonts w:hint="eastAsia" w:ascii="宋体" w:hAnsi="宋体" w:eastAsia="宋体" w:cs="宋体"/>
          <w:b w:val="0"/>
          <w:bCs/>
          <w:sz w:val="21"/>
          <w:szCs w:val="21"/>
        </w:rPr>
      </w:pPr>
      <w:bookmarkStart w:id="1223" w:name="_Toc54862251"/>
      <w:bookmarkStart w:id="1224" w:name="_Toc59203150"/>
      <w:bookmarkStart w:id="1225" w:name="_Ref11865507"/>
      <w:r>
        <w:rPr>
          <w:rFonts w:hint="eastAsia" w:ascii="宋体" w:hAnsi="宋体" w:eastAsia="宋体" w:cs="宋体"/>
          <w:b w:val="0"/>
          <w:bCs/>
          <w:sz w:val="21"/>
          <w:szCs w:val="21"/>
        </w:rPr>
        <w:t>8.4 项目进度计划</w:t>
      </w:r>
      <w:bookmarkEnd w:id="1217"/>
      <w:bookmarkEnd w:id="1218"/>
      <w:bookmarkEnd w:id="1219"/>
      <w:bookmarkEnd w:id="1220"/>
      <w:bookmarkEnd w:id="1223"/>
      <w:bookmarkEnd w:id="1224"/>
      <w:bookmarkEnd w:id="1225"/>
    </w:p>
    <w:p>
      <w:pPr>
        <w:pStyle w:val="686"/>
        <w:numPr>
          <w:ilvl w:val="0"/>
          <w:numId w:val="0"/>
        </w:numPr>
        <w:spacing w:line="400" w:lineRule="exact"/>
        <w:rPr>
          <w:rFonts w:hint="eastAsia" w:cs="宋体"/>
          <w:sz w:val="21"/>
        </w:rPr>
      </w:pPr>
      <w:bookmarkStart w:id="1226" w:name="_Ref4681217"/>
      <w:r>
        <w:rPr>
          <w:rFonts w:hint="eastAsia" w:cs="宋体"/>
          <w:sz w:val="21"/>
        </w:rPr>
        <w:t>8.4.1 项目进度计划的提交和修改</w:t>
      </w:r>
      <w:bookmarkEnd w:id="1226"/>
    </w:p>
    <w:p>
      <w:pPr>
        <w:spacing w:line="400" w:lineRule="exact"/>
        <w:ind w:firstLine="600"/>
        <w:rPr>
          <w:rFonts w:hint="eastAsia" w:ascii="宋体" w:hAnsi="宋体" w:cs="宋体"/>
          <w:szCs w:val="21"/>
        </w:rPr>
      </w:pPr>
      <w:r>
        <w:rPr>
          <w:rFonts w:hint="eastAsia" w:ascii="宋体" w:hAnsi="宋体" w:cs="宋体"/>
          <w:szCs w:val="21"/>
        </w:rPr>
        <w:t>承包人应按照第8.3款[项目实施计划]约定编制并向工程师提交项目初步进度计划，经工程师批准后实施。除专用合同条件另有约定外，工程师应在21天内批复或提出修改意见，否则该项目初步进度计划视为已得到批准。对工程师提出的合理意见和要求，承包人应自费修改完善。</w:t>
      </w:r>
    </w:p>
    <w:p>
      <w:pPr>
        <w:spacing w:line="400" w:lineRule="exact"/>
        <w:ind w:firstLine="600"/>
        <w:rPr>
          <w:rFonts w:hint="eastAsia" w:ascii="宋体" w:hAnsi="宋体" w:cs="宋体"/>
          <w:szCs w:val="21"/>
        </w:rPr>
      </w:pPr>
      <w:r>
        <w:rPr>
          <w:rFonts w:hint="eastAsia" w:ascii="宋体" w:hAnsi="宋体" w:cs="宋体"/>
          <w:szCs w:val="21"/>
        </w:rPr>
        <w:t>经工程师批准的项目初步进度计划称为项目进度计划，是控制合同工程进度的依据，工程师有权按照进度计划检查工程进度情况。承包人还应根据项目进度计划，编制更为详细的分阶段或分项的进度计划，由工程师批准。</w:t>
      </w:r>
    </w:p>
    <w:p>
      <w:pPr>
        <w:pStyle w:val="686"/>
        <w:numPr>
          <w:ilvl w:val="0"/>
          <w:numId w:val="0"/>
        </w:numPr>
        <w:spacing w:line="400" w:lineRule="exact"/>
        <w:rPr>
          <w:rFonts w:hint="eastAsia" w:cs="宋体"/>
          <w:sz w:val="21"/>
        </w:rPr>
      </w:pPr>
      <w:bookmarkStart w:id="1227" w:name="_Ref4429079"/>
      <w:r>
        <w:rPr>
          <w:rFonts w:hint="eastAsia" w:cs="宋体"/>
          <w:sz w:val="21"/>
        </w:rPr>
        <w:t>8.4.2 项目进度计划的内容</w:t>
      </w:r>
      <w:bookmarkEnd w:id="1227"/>
    </w:p>
    <w:p>
      <w:pPr>
        <w:spacing w:line="400" w:lineRule="exact"/>
        <w:ind w:firstLine="600"/>
        <w:rPr>
          <w:rFonts w:hint="eastAsia" w:ascii="宋体" w:hAnsi="宋体" w:cs="宋体"/>
          <w:szCs w:val="21"/>
        </w:rPr>
      </w:pPr>
      <w:r>
        <w:rPr>
          <w:rFonts w:hint="eastAsia" w:ascii="宋体" w:hAnsi="宋体" w:cs="宋体"/>
          <w:szCs w:val="21"/>
        </w:rPr>
        <w:t>项目进度计划应当包括设计、承包人文件提交、采购、制造、检验、运达现场、施工、安装、试验的各个阶段的预期时间以及设计和施工组织方案说明等，其编制应当符合国家法律规定和一般工程实践惯例。项目进度计划的具体要求、关键路径及关键路径变化的确定原则、承包人提交的份数和时间等，在专用合同条件约定。</w:t>
      </w:r>
    </w:p>
    <w:p>
      <w:pPr>
        <w:pStyle w:val="686"/>
        <w:numPr>
          <w:ilvl w:val="0"/>
          <w:numId w:val="0"/>
        </w:numPr>
        <w:spacing w:line="400" w:lineRule="exact"/>
        <w:rPr>
          <w:rFonts w:hint="eastAsia" w:cs="宋体"/>
          <w:sz w:val="21"/>
        </w:rPr>
      </w:pPr>
      <w:bookmarkStart w:id="1228" w:name="_Ref3848203"/>
      <w:r>
        <w:rPr>
          <w:rFonts w:hint="eastAsia" w:cs="宋体"/>
          <w:sz w:val="21"/>
        </w:rPr>
        <w:t>8.4.3 项目进度计划的修订</w:t>
      </w:r>
      <w:bookmarkEnd w:id="1228"/>
    </w:p>
    <w:p>
      <w:pPr>
        <w:spacing w:line="400" w:lineRule="exact"/>
        <w:ind w:firstLine="600"/>
        <w:rPr>
          <w:rFonts w:hint="eastAsia" w:ascii="宋体" w:hAnsi="宋体" w:cs="宋体"/>
          <w:szCs w:val="21"/>
        </w:rPr>
      </w:pPr>
      <w:r>
        <w:rPr>
          <w:rFonts w:hint="eastAsia" w:ascii="宋体" w:hAnsi="宋体" w:cs="宋体"/>
          <w:szCs w:val="21"/>
        </w:rPr>
        <w:t>项目进度计划不符合合同要求或与工程的实际进度不一致的，承包人应向工程师提交修订的项目进度计划，并附具有关措施和相关资料。工程师也可以直接向承包人发出修订项目进度计划的通知，承包人如接受，应按该通知修订项目进度计划，报工程师批准。承包人如不接受，应当在14天内答复，如未按时答复视作已接受修订项目进度计划通知中的内容。</w:t>
      </w:r>
    </w:p>
    <w:p>
      <w:pPr>
        <w:spacing w:line="400" w:lineRule="exact"/>
        <w:ind w:firstLine="600"/>
        <w:rPr>
          <w:rFonts w:hint="eastAsia" w:ascii="宋体" w:hAnsi="宋体" w:cs="宋体"/>
          <w:szCs w:val="21"/>
        </w:rPr>
      </w:pPr>
      <w:r>
        <w:rPr>
          <w:rFonts w:hint="eastAsia" w:ascii="宋体" w:hAnsi="宋体" w:cs="宋体"/>
          <w:szCs w:val="21"/>
        </w:rPr>
        <w:t>除专用合同条件另有约定外，工程师应在收到修订的项目进度计划后14天内完成审批或提出修改意见，如未按时答复视作已批准承包人修订后的项目进度计划。工程师对承包人提交的项目进度计划的确认，不能减轻或免除承包人根据法律规定和合同约定应承担的任何责任或义务。</w:t>
      </w:r>
    </w:p>
    <w:p>
      <w:pPr>
        <w:spacing w:line="400" w:lineRule="exact"/>
        <w:ind w:firstLine="600"/>
        <w:rPr>
          <w:rFonts w:hint="eastAsia" w:ascii="宋体" w:hAnsi="宋体" w:cs="宋体"/>
          <w:szCs w:val="21"/>
        </w:rPr>
      </w:pPr>
      <w:r>
        <w:rPr>
          <w:rFonts w:hint="eastAsia" w:ascii="宋体" w:hAnsi="宋体" w:cs="宋体"/>
          <w:szCs w:val="21"/>
        </w:rPr>
        <w:t>除合同当事人另有约定外，项目进度计划的修订并不能减轻或者免除双方按第8.7款[工期延误]、第8.8款[工期提前]、第8.9款[暂停工作]应承担的合同责任。</w:t>
      </w:r>
    </w:p>
    <w:p>
      <w:pPr>
        <w:pStyle w:val="685"/>
        <w:widowControl/>
        <w:numPr>
          <w:ilvl w:val="0"/>
          <w:numId w:val="0"/>
        </w:numPr>
        <w:spacing w:line="400" w:lineRule="exact"/>
        <w:rPr>
          <w:rFonts w:hint="eastAsia" w:ascii="宋体" w:hAnsi="宋体" w:eastAsia="宋体" w:cs="宋体"/>
          <w:b w:val="0"/>
          <w:bCs/>
          <w:sz w:val="21"/>
          <w:szCs w:val="21"/>
        </w:rPr>
      </w:pPr>
      <w:bookmarkStart w:id="1229" w:name="_Ref532362276"/>
      <w:bookmarkStart w:id="1230" w:name="_Toc54862252"/>
      <w:bookmarkStart w:id="1231" w:name="_Toc59203151"/>
      <w:bookmarkStart w:id="1232" w:name="_Ref532362278"/>
      <w:r>
        <w:rPr>
          <w:rFonts w:hint="eastAsia" w:ascii="宋体" w:hAnsi="宋体" w:eastAsia="宋体" w:cs="宋体"/>
          <w:b w:val="0"/>
          <w:bCs/>
          <w:sz w:val="21"/>
          <w:szCs w:val="21"/>
        </w:rPr>
        <w:t>8.5 进度报告</w:t>
      </w:r>
      <w:bookmarkEnd w:id="1229"/>
      <w:bookmarkEnd w:id="1230"/>
      <w:bookmarkEnd w:id="1231"/>
      <w:bookmarkEnd w:id="1232"/>
    </w:p>
    <w:p>
      <w:pPr>
        <w:spacing w:line="400" w:lineRule="exact"/>
        <w:ind w:firstLine="600"/>
        <w:rPr>
          <w:rFonts w:hint="eastAsia" w:ascii="宋体" w:hAnsi="宋体" w:cs="宋体"/>
          <w:szCs w:val="21"/>
        </w:rPr>
      </w:pPr>
      <w:r>
        <w:rPr>
          <w:rFonts w:hint="eastAsia" w:ascii="宋体" w:hAnsi="宋体" w:cs="宋体"/>
          <w:szCs w:val="21"/>
        </w:rPr>
        <w:t>项目实施过程中，承包人应进行实际进度记录，并根据工程师的要求编制月进度报告，并提交给工程师。进度报告应包含以下主要内容：</w:t>
      </w:r>
    </w:p>
    <w:p>
      <w:pPr>
        <w:spacing w:line="400" w:lineRule="exact"/>
        <w:ind w:firstLine="600"/>
        <w:rPr>
          <w:rFonts w:hint="eastAsia" w:ascii="宋体" w:hAnsi="宋体" w:cs="宋体"/>
          <w:szCs w:val="21"/>
        </w:rPr>
      </w:pPr>
      <w:r>
        <w:rPr>
          <w:rFonts w:hint="eastAsia" w:ascii="宋体" w:hAnsi="宋体" w:cs="宋体"/>
          <w:szCs w:val="21"/>
        </w:rPr>
        <w:t>（1） 工程设计、采购、施工等各个工作内容的进展报告；</w:t>
      </w:r>
    </w:p>
    <w:p>
      <w:pPr>
        <w:spacing w:line="400" w:lineRule="exact"/>
        <w:ind w:firstLine="600"/>
        <w:rPr>
          <w:rFonts w:hint="eastAsia" w:ascii="宋体" w:hAnsi="宋体" w:cs="宋体"/>
          <w:szCs w:val="21"/>
        </w:rPr>
      </w:pPr>
      <w:r>
        <w:rPr>
          <w:rFonts w:hint="eastAsia" w:ascii="宋体" w:hAnsi="宋体" w:cs="宋体"/>
          <w:szCs w:val="21"/>
        </w:rPr>
        <w:t>（2） 工程施工方法的一般说明；</w:t>
      </w:r>
    </w:p>
    <w:p>
      <w:pPr>
        <w:spacing w:line="400" w:lineRule="exact"/>
        <w:ind w:firstLine="600"/>
        <w:rPr>
          <w:rFonts w:hint="eastAsia" w:ascii="宋体" w:hAnsi="宋体" w:cs="宋体"/>
          <w:szCs w:val="21"/>
        </w:rPr>
      </w:pPr>
      <w:r>
        <w:rPr>
          <w:rFonts w:hint="eastAsia" w:ascii="宋体" w:hAnsi="宋体" w:cs="宋体"/>
          <w:szCs w:val="21"/>
        </w:rPr>
        <w:t>（3） 当月工程实施介入的项目人员、设备和材料的预估明细报告；</w:t>
      </w:r>
    </w:p>
    <w:p>
      <w:pPr>
        <w:spacing w:line="400" w:lineRule="exact"/>
        <w:ind w:firstLine="600"/>
        <w:rPr>
          <w:rFonts w:hint="eastAsia" w:ascii="宋体" w:hAnsi="宋体" w:cs="宋体"/>
          <w:szCs w:val="21"/>
        </w:rPr>
      </w:pPr>
      <w:r>
        <w:rPr>
          <w:rFonts w:hint="eastAsia" w:ascii="宋体" w:hAnsi="宋体" w:cs="宋体"/>
          <w:szCs w:val="21"/>
        </w:rPr>
        <w:t xml:space="preserve">（4） 当月实际进度与进度计划对比分析，以及提出未来可能引起工期延误的情形，同时提出应对措施；需要修订项目进度计划的，应对项目进度计划的修订部分进行说明； </w:t>
      </w:r>
    </w:p>
    <w:p>
      <w:pPr>
        <w:spacing w:line="400" w:lineRule="exact"/>
        <w:ind w:firstLine="600"/>
        <w:rPr>
          <w:rFonts w:hint="eastAsia" w:ascii="宋体" w:hAnsi="宋体" w:cs="宋体"/>
          <w:szCs w:val="21"/>
        </w:rPr>
      </w:pPr>
      <w:r>
        <w:rPr>
          <w:rFonts w:hint="eastAsia" w:ascii="宋体" w:hAnsi="宋体" w:cs="宋体"/>
          <w:szCs w:val="21"/>
        </w:rPr>
        <w:t>（5） 承包人对于解决工期延误所提出的建议；</w:t>
      </w:r>
    </w:p>
    <w:p>
      <w:pPr>
        <w:spacing w:line="400" w:lineRule="exact"/>
        <w:ind w:firstLine="600"/>
        <w:rPr>
          <w:rFonts w:hint="eastAsia" w:ascii="宋体" w:hAnsi="宋体" w:cs="宋体"/>
          <w:szCs w:val="21"/>
        </w:rPr>
      </w:pPr>
      <w:r>
        <w:rPr>
          <w:rFonts w:hint="eastAsia" w:ascii="宋体" w:hAnsi="宋体" w:cs="宋体"/>
          <w:szCs w:val="21"/>
        </w:rPr>
        <w:t>（6） 其他与工程有关的重大事项。</w:t>
      </w:r>
    </w:p>
    <w:p>
      <w:pPr>
        <w:spacing w:line="400" w:lineRule="exact"/>
        <w:ind w:firstLine="600"/>
        <w:rPr>
          <w:rFonts w:hint="eastAsia" w:ascii="宋体" w:hAnsi="宋体" w:cs="宋体"/>
          <w:szCs w:val="21"/>
        </w:rPr>
      </w:pPr>
      <w:r>
        <w:rPr>
          <w:rFonts w:hint="eastAsia" w:ascii="宋体" w:hAnsi="宋体" w:cs="宋体"/>
          <w:szCs w:val="21"/>
        </w:rPr>
        <w:t>进度报告的具体要求等，在专用合同条件约定。</w:t>
      </w:r>
    </w:p>
    <w:p>
      <w:pPr>
        <w:pStyle w:val="685"/>
        <w:widowControl/>
        <w:numPr>
          <w:ilvl w:val="0"/>
          <w:numId w:val="0"/>
        </w:numPr>
        <w:spacing w:line="400" w:lineRule="exact"/>
        <w:rPr>
          <w:rFonts w:hint="eastAsia" w:ascii="宋体" w:hAnsi="宋体" w:eastAsia="宋体" w:cs="宋体"/>
          <w:b w:val="0"/>
          <w:bCs/>
          <w:sz w:val="21"/>
          <w:szCs w:val="21"/>
        </w:rPr>
      </w:pPr>
      <w:bookmarkStart w:id="1233" w:name="_Toc59203152"/>
      <w:bookmarkStart w:id="1234" w:name="_Toc54862253"/>
      <w:r>
        <w:rPr>
          <w:rFonts w:hint="eastAsia" w:ascii="宋体" w:hAnsi="宋体" w:eastAsia="宋体" w:cs="宋体"/>
          <w:b w:val="0"/>
          <w:bCs/>
          <w:sz w:val="21"/>
          <w:szCs w:val="21"/>
        </w:rPr>
        <w:t>8.6 提前预警</w:t>
      </w:r>
      <w:bookmarkEnd w:id="1233"/>
      <w:bookmarkEnd w:id="1234"/>
    </w:p>
    <w:p>
      <w:pPr>
        <w:spacing w:line="400" w:lineRule="exact"/>
        <w:ind w:firstLine="600"/>
        <w:rPr>
          <w:rFonts w:hint="eastAsia" w:ascii="宋体" w:hAnsi="宋体" w:cs="宋体"/>
          <w:szCs w:val="21"/>
        </w:rPr>
      </w:pPr>
      <w:r>
        <w:rPr>
          <w:rFonts w:hint="eastAsia" w:ascii="宋体" w:hAnsi="宋体" w:cs="宋体"/>
          <w:szCs w:val="21"/>
        </w:rPr>
        <w:t>任何一方应当在下列情形发生时尽快书面通知另一方：</w:t>
      </w:r>
    </w:p>
    <w:p>
      <w:pPr>
        <w:spacing w:line="400" w:lineRule="exact"/>
        <w:ind w:firstLine="600"/>
        <w:rPr>
          <w:rFonts w:hint="eastAsia" w:ascii="宋体" w:hAnsi="宋体" w:cs="宋体"/>
          <w:szCs w:val="21"/>
        </w:rPr>
      </w:pPr>
      <w:r>
        <w:rPr>
          <w:rFonts w:hint="eastAsia" w:ascii="宋体" w:hAnsi="宋体" w:cs="宋体"/>
          <w:szCs w:val="21"/>
        </w:rPr>
        <w:t>（1） 该情形可能对合同的履行或实现合同目的产生不利影响；</w:t>
      </w:r>
    </w:p>
    <w:p>
      <w:pPr>
        <w:spacing w:line="400" w:lineRule="exact"/>
        <w:ind w:firstLine="600"/>
        <w:rPr>
          <w:rFonts w:hint="eastAsia" w:ascii="宋体" w:hAnsi="宋体" w:cs="宋体"/>
          <w:szCs w:val="21"/>
        </w:rPr>
      </w:pPr>
      <w:r>
        <w:rPr>
          <w:rFonts w:hint="eastAsia" w:ascii="宋体" w:hAnsi="宋体" w:cs="宋体"/>
          <w:szCs w:val="21"/>
        </w:rPr>
        <w:t>（2） 该情形可能对工程完成后的使用产生不利影响；</w:t>
      </w:r>
    </w:p>
    <w:p>
      <w:pPr>
        <w:spacing w:line="400" w:lineRule="exact"/>
        <w:ind w:firstLine="600"/>
        <w:rPr>
          <w:rFonts w:hint="eastAsia" w:ascii="宋体" w:hAnsi="宋体" w:cs="宋体"/>
          <w:szCs w:val="21"/>
        </w:rPr>
      </w:pPr>
      <w:r>
        <w:rPr>
          <w:rFonts w:hint="eastAsia" w:ascii="宋体" w:hAnsi="宋体" w:cs="宋体"/>
          <w:szCs w:val="21"/>
        </w:rPr>
        <w:t>（3） 该情形可能导致合同价款增加；</w:t>
      </w:r>
    </w:p>
    <w:p>
      <w:pPr>
        <w:spacing w:line="400" w:lineRule="exact"/>
        <w:ind w:firstLine="600"/>
        <w:rPr>
          <w:rFonts w:hint="eastAsia" w:ascii="宋体" w:hAnsi="宋体" w:cs="宋体"/>
          <w:szCs w:val="21"/>
        </w:rPr>
      </w:pPr>
      <w:r>
        <w:rPr>
          <w:rFonts w:hint="eastAsia" w:ascii="宋体" w:hAnsi="宋体" w:cs="宋体"/>
          <w:szCs w:val="21"/>
        </w:rPr>
        <w:t>（4） 该情形可能导致整个工程或单位/区段工程的工期延长。</w:t>
      </w:r>
    </w:p>
    <w:p>
      <w:pPr>
        <w:spacing w:line="400" w:lineRule="exact"/>
        <w:ind w:firstLine="600"/>
        <w:rPr>
          <w:rFonts w:hint="eastAsia" w:ascii="宋体" w:hAnsi="宋体" w:cs="宋体"/>
          <w:szCs w:val="21"/>
        </w:rPr>
      </w:pPr>
      <w:r>
        <w:rPr>
          <w:rFonts w:hint="eastAsia" w:ascii="宋体" w:hAnsi="宋体" w:cs="宋体"/>
          <w:szCs w:val="21"/>
        </w:rPr>
        <w:t>发包人有权要求承包人根据第13.2款[承包人的合理化建议]的约定提交变更建议，采取措施尽量避免或最小化上述情形的发生或影响。</w:t>
      </w:r>
    </w:p>
    <w:p>
      <w:pPr>
        <w:pStyle w:val="685"/>
        <w:widowControl/>
        <w:numPr>
          <w:ilvl w:val="0"/>
          <w:numId w:val="0"/>
        </w:numPr>
        <w:spacing w:line="400" w:lineRule="exact"/>
        <w:rPr>
          <w:rFonts w:hint="eastAsia" w:ascii="宋体" w:hAnsi="宋体" w:eastAsia="宋体" w:cs="宋体"/>
          <w:b w:val="0"/>
          <w:bCs/>
          <w:sz w:val="21"/>
          <w:szCs w:val="21"/>
        </w:rPr>
      </w:pPr>
      <w:bookmarkStart w:id="1235" w:name="_Toc59203153"/>
      <w:bookmarkStart w:id="1236" w:name="_Ref4770106"/>
      <w:bookmarkStart w:id="1237" w:name="_Toc54862254"/>
      <w:bookmarkStart w:id="1238" w:name="_Ref532362356"/>
      <w:bookmarkStart w:id="1239" w:name="_Ref532362359"/>
      <w:r>
        <w:rPr>
          <w:rFonts w:hint="eastAsia" w:ascii="宋体" w:hAnsi="宋体" w:eastAsia="宋体" w:cs="宋体"/>
          <w:b w:val="0"/>
          <w:bCs/>
          <w:sz w:val="21"/>
          <w:szCs w:val="21"/>
        </w:rPr>
        <w:t>8.7 工期延误</w:t>
      </w:r>
      <w:bookmarkEnd w:id="1235"/>
      <w:bookmarkEnd w:id="1236"/>
      <w:bookmarkEnd w:id="1237"/>
    </w:p>
    <w:p>
      <w:pPr>
        <w:pStyle w:val="686"/>
        <w:numPr>
          <w:ilvl w:val="0"/>
          <w:numId w:val="0"/>
        </w:numPr>
        <w:spacing w:line="400" w:lineRule="exact"/>
        <w:rPr>
          <w:rFonts w:hint="eastAsia" w:cs="宋体"/>
          <w:sz w:val="21"/>
        </w:rPr>
      </w:pPr>
      <w:bookmarkStart w:id="1240" w:name="_Ref4796050"/>
      <w:r>
        <w:rPr>
          <w:rFonts w:hint="eastAsia" w:cs="宋体"/>
          <w:sz w:val="21"/>
        </w:rPr>
        <w:t>8.7.1 因发包人原因导致工期延误</w:t>
      </w:r>
      <w:bookmarkEnd w:id="1240"/>
    </w:p>
    <w:p>
      <w:pPr>
        <w:spacing w:line="400" w:lineRule="exact"/>
        <w:ind w:firstLine="600"/>
        <w:rPr>
          <w:rFonts w:hint="eastAsia" w:ascii="宋体" w:hAnsi="宋体" w:cs="宋体"/>
          <w:szCs w:val="21"/>
        </w:rPr>
      </w:pPr>
      <w:r>
        <w:rPr>
          <w:rFonts w:hint="eastAsia" w:ascii="宋体" w:hAnsi="宋体" w:cs="宋体"/>
          <w:szCs w:val="21"/>
        </w:rPr>
        <w:t>在合同履行过程中，因下列情况导致工期延误和（或）费用增加的，由发包人承担由此延误的工期和（或）增加的费用，且发包人应支付承包人合理的利润：</w:t>
      </w:r>
    </w:p>
    <w:p>
      <w:pPr>
        <w:spacing w:line="400" w:lineRule="exact"/>
        <w:ind w:firstLine="600"/>
        <w:rPr>
          <w:rFonts w:hint="eastAsia" w:ascii="宋体" w:hAnsi="宋体" w:cs="宋体"/>
          <w:szCs w:val="21"/>
        </w:rPr>
      </w:pPr>
      <w:r>
        <w:rPr>
          <w:rFonts w:hint="eastAsia" w:ascii="宋体" w:hAnsi="宋体" w:cs="宋体"/>
          <w:szCs w:val="21"/>
        </w:rPr>
        <w:t>（1） 根据第13条[变更与调整]的约定构成一项变更的；</w:t>
      </w:r>
    </w:p>
    <w:p>
      <w:pPr>
        <w:spacing w:line="400" w:lineRule="exact"/>
        <w:ind w:firstLine="600"/>
        <w:rPr>
          <w:rFonts w:hint="eastAsia" w:ascii="宋体" w:hAnsi="宋体" w:cs="宋体"/>
          <w:szCs w:val="21"/>
        </w:rPr>
      </w:pPr>
      <w:r>
        <w:rPr>
          <w:rFonts w:hint="eastAsia" w:ascii="宋体" w:hAnsi="宋体" w:cs="宋体"/>
          <w:szCs w:val="21"/>
        </w:rPr>
        <w:t>（2） 发包人违反本合同约定，导致工期延误和（或）费用增加的；</w:t>
      </w:r>
    </w:p>
    <w:p>
      <w:pPr>
        <w:spacing w:line="400" w:lineRule="exact"/>
        <w:ind w:firstLine="600"/>
        <w:rPr>
          <w:rFonts w:hint="eastAsia" w:ascii="宋体" w:hAnsi="宋体" w:cs="宋体"/>
          <w:szCs w:val="21"/>
        </w:rPr>
      </w:pPr>
      <w:r>
        <w:rPr>
          <w:rFonts w:hint="eastAsia" w:ascii="宋体" w:hAnsi="宋体" w:cs="宋体"/>
          <w:szCs w:val="21"/>
        </w:rPr>
        <w:t>（3） 发包人、发包人代表、工程师或发包人聘请的任意第三方造成或引起的任何延误、妨碍和阻碍；</w:t>
      </w:r>
    </w:p>
    <w:p>
      <w:pPr>
        <w:spacing w:line="400" w:lineRule="exact"/>
        <w:ind w:firstLine="600"/>
        <w:rPr>
          <w:rFonts w:hint="eastAsia" w:ascii="宋体" w:hAnsi="宋体" w:cs="宋体"/>
          <w:szCs w:val="21"/>
        </w:rPr>
      </w:pPr>
      <w:r>
        <w:rPr>
          <w:rFonts w:hint="eastAsia" w:ascii="宋体" w:hAnsi="宋体" w:cs="宋体"/>
          <w:szCs w:val="21"/>
        </w:rPr>
        <w:t>（4） 发包人未能依据第6.2.1项[发包人提供的材料和工程设备]的约定提供材料和工程设备导致工期延误和（或）费用增加的；</w:t>
      </w:r>
    </w:p>
    <w:p>
      <w:pPr>
        <w:spacing w:line="400" w:lineRule="exact"/>
        <w:ind w:firstLine="600"/>
        <w:rPr>
          <w:rFonts w:hint="eastAsia" w:ascii="宋体" w:hAnsi="宋体" w:cs="宋体"/>
          <w:szCs w:val="21"/>
        </w:rPr>
      </w:pPr>
      <w:r>
        <w:rPr>
          <w:rFonts w:hint="eastAsia" w:ascii="宋体" w:hAnsi="宋体" w:cs="宋体"/>
          <w:szCs w:val="21"/>
        </w:rPr>
        <w:t>（5） 因发包人原因导致的暂停施工；</w:t>
      </w:r>
    </w:p>
    <w:p>
      <w:pPr>
        <w:spacing w:line="400" w:lineRule="exact"/>
        <w:ind w:firstLine="600"/>
        <w:rPr>
          <w:rFonts w:hint="eastAsia" w:ascii="宋体" w:hAnsi="宋体" w:cs="宋体"/>
          <w:szCs w:val="21"/>
        </w:rPr>
      </w:pPr>
      <w:r>
        <w:rPr>
          <w:rFonts w:hint="eastAsia" w:ascii="宋体" w:hAnsi="宋体" w:cs="宋体"/>
          <w:szCs w:val="21"/>
        </w:rPr>
        <w:t>（6） 发包人未及时履行相关合同义务，造成工期延误的其他原因。</w:t>
      </w:r>
    </w:p>
    <w:p>
      <w:pPr>
        <w:pStyle w:val="686"/>
        <w:numPr>
          <w:ilvl w:val="0"/>
          <w:numId w:val="0"/>
        </w:numPr>
        <w:spacing w:line="400" w:lineRule="exact"/>
        <w:rPr>
          <w:rFonts w:hint="eastAsia" w:cs="宋体"/>
          <w:sz w:val="21"/>
        </w:rPr>
      </w:pPr>
      <w:bookmarkStart w:id="1241" w:name="_Ref4770209"/>
      <w:r>
        <w:rPr>
          <w:rFonts w:hint="eastAsia" w:cs="宋体"/>
          <w:sz w:val="21"/>
        </w:rPr>
        <w:t>8.7.2 因承包人原因导致工期延误</w:t>
      </w:r>
      <w:bookmarkEnd w:id="1241"/>
    </w:p>
    <w:p>
      <w:pPr>
        <w:spacing w:line="400" w:lineRule="exact"/>
        <w:ind w:firstLine="600"/>
        <w:rPr>
          <w:rFonts w:hint="eastAsia" w:ascii="宋体" w:hAnsi="宋体" w:cs="宋体"/>
          <w:szCs w:val="21"/>
        </w:rPr>
      </w:pPr>
      <w:r>
        <w:rPr>
          <w:rFonts w:hint="eastAsia" w:ascii="宋体" w:hAnsi="宋体" w:cs="宋体"/>
          <w:szCs w:val="21"/>
        </w:rPr>
        <w:t>由于承包人的原因，未能按项目进度计划完成工作，承包人应采取措施加快进度，并承担加快进度所增加的费用。</w:t>
      </w:r>
    </w:p>
    <w:p>
      <w:pPr>
        <w:spacing w:line="400" w:lineRule="exact"/>
        <w:ind w:firstLine="600"/>
        <w:rPr>
          <w:rFonts w:hint="eastAsia" w:ascii="宋体" w:hAnsi="宋体" w:cs="宋体"/>
          <w:szCs w:val="21"/>
        </w:rPr>
      </w:pPr>
      <w:r>
        <w:rPr>
          <w:rFonts w:hint="eastAsia" w:ascii="宋体" w:hAnsi="宋体" w:cs="宋体"/>
          <w:szCs w:val="21"/>
        </w:rPr>
        <w:t>由于承包人原因造成工期延误并导致逾期竣工的，承包人应支付逾期竣工违约金。逾期竣工违约金的计算方法和最高限额在专用合同条件中约定。承包人支付逾期竣工违约金，不免除承包人完成工作及修补缺陷的义务，且发包人有权从工程进度款、竣工结算款或约定提交的履约担保中扣除相当于逾期竣工违约金的金额。</w:t>
      </w:r>
    </w:p>
    <w:p>
      <w:pPr>
        <w:pStyle w:val="686"/>
        <w:numPr>
          <w:ilvl w:val="0"/>
          <w:numId w:val="0"/>
        </w:numPr>
        <w:spacing w:line="400" w:lineRule="exact"/>
        <w:rPr>
          <w:rFonts w:hint="eastAsia" w:cs="宋体"/>
          <w:sz w:val="21"/>
        </w:rPr>
      </w:pPr>
      <w:bookmarkStart w:id="1242" w:name="_Ref4770872"/>
      <w:r>
        <w:rPr>
          <w:rFonts w:hint="eastAsia" w:cs="宋体"/>
          <w:sz w:val="21"/>
        </w:rPr>
        <w:t>8.7.3 行政审批迟延</w:t>
      </w:r>
      <w:bookmarkEnd w:id="1242"/>
      <w:r>
        <w:rPr>
          <w:rFonts w:hint="eastAsia" w:cs="宋体"/>
          <w:sz w:val="21"/>
        </w:rPr>
        <w:t xml:space="preserve"> </w:t>
      </w:r>
    </w:p>
    <w:p>
      <w:pPr>
        <w:spacing w:line="400" w:lineRule="exact"/>
        <w:ind w:firstLine="600"/>
        <w:rPr>
          <w:rFonts w:hint="eastAsia" w:ascii="宋体" w:hAnsi="宋体" w:cs="宋体"/>
          <w:szCs w:val="21"/>
        </w:rPr>
      </w:pPr>
      <w:r>
        <w:rPr>
          <w:rFonts w:hint="eastAsia" w:ascii="宋体" w:hAnsi="宋体" w:cs="宋体"/>
          <w:szCs w:val="21"/>
        </w:rPr>
        <w:t>合同约定范围内的工作需国家有关部门审批的，发包人和（或）承包人应按照专用合同条件约定的职责分工完成行政审批报送。因国家有关部门审批迟延造成工期延误的，竣工日期相应顺延。造成费用增加的，由双方在负责的范围内各自承担。</w:t>
      </w:r>
    </w:p>
    <w:p>
      <w:pPr>
        <w:pStyle w:val="686"/>
        <w:numPr>
          <w:ilvl w:val="0"/>
          <w:numId w:val="0"/>
        </w:numPr>
        <w:spacing w:line="400" w:lineRule="exact"/>
        <w:rPr>
          <w:rFonts w:hint="eastAsia" w:cs="宋体"/>
          <w:sz w:val="21"/>
        </w:rPr>
      </w:pPr>
      <w:bookmarkStart w:id="1243" w:name="_Ref4770933"/>
      <w:r>
        <w:rPr>
          <w:rFonts w:hint="eastAsia" w:cs="宋体"/>
          <w:sz w:val="21"/>
        </w:rPr>
        <w:t>8.7.4 异常恶劣的气候条件</w:t>
      </w:r>
      <w:bookmarkEnd w:id="1243"/>
    </w:p>
    <w:p>
      <w:pPr>
        <w:spacing w:line="400" w:lineRule="exact"/>
        <w:ind w:firstLine="600"/>
        <w:rPr>
          <w:rFonts w:hint="eastAsia" w:ascii="宋体" w:hAnsi="宋体" w:cs="宋体"/>
          <w:szCs w:val="21"/>
        </w:rPr>
      </w:pPr>
      <w:r>
        <w:rPr>
          <w:rFonts w:hint="eastAsia" w:ascii="宋体" w:hAnsi="宋体" w:cs="宋体"/>
          <w:szCs w:val="21"/>
        </w:rPr>
        <w:t>异常恶劣的气候条件是指在施工过程中遇到的，有经验的承包人在订立合同时不可预见的，对合同履行造成实质性影响的，但尚未构成不可抗力事件的恶劣气候条件。合同当事人可以在专用合同条件中约定异常恶劣的气候条件的具体情形。</w:t>
      </w:r>
    </w:p>
    <w:p>
      <w:pPr>
        <w:spacing w:line="400" w:lineRule="exact"/>
        <w:ind w:firstLine="600"/>
        <w:rPr>
          <w:rFonts w:hint="eastAsia" w:ascii="宋体" w:hAnsi="宋体" w:cs="宋体"/>
          <w:szCs w:val="21"/>
        </w:rPr>
      </w:pPr>
      <w:r>
        <w:rPr>
          <w:rFonts w:hint="eastAsia" w:ascii="宋体" w:hAnsi="宋体" w:cs="宋体"/>
          <w:szCs w:val="21"/>
        </w:rPr>
        <w:t>承包人应采取克服异常恶劣的气候条件的合理措施继续施工，并及时通知工程师。工程师应当及时发出指示，指示构成变更的，按第13条[变更与调整]约定办理。承包人因采取合理措施而延误的工期由发包人承担。</w:t>
      </w:r>
    </w:p>
    <w:p>
      <w:pPr>
        <w:pStyle w:val="685"/>
        <w:widowControl/>
        <w:numPr>
          <w:ilvl w:val="0"/>
          <w:numId w:val="0"/>
        </w:numPr>
        <w:spacing w:line="400" w:lineRule="exact"/>
        <w:rPr>
          <w:rFonts w:hint="eastAsia" w:ascii="宋体" w:hAnsi="宋体" w:eastAsia="宋体" w:cs="宋体"/>
          <w:b w:val="0"/>
          <w:bCs/>
          <w:sz w:val="21"/>
          <w:szCs w:val="21"/>
        </w:rPr>
      </w:pPr>
      <w:bookmarkStart w:id="1244" w:name="_Ref4781828"/>
      <w:bookmarkStart w:id="1245" w:name="_Toc59203154"/>
      <w:bookmarkStart w:id="1246" w:name="_Toc54862255"/>
      <w:r>
        <w:rPr>
          <w:rFonts w:hint="eastAsia" w:ascii="宋体" w:hAnsi="宋体" w:eastAsia="宋体" w:cs="宋体"/>
          <w:b w:val="0"/>
          <w:bCs/>
          <w:sz w:val="21"/>
          <w:szCs w:val="21"/>
        </w:rPr>
        <w:t>8.8 工期提前</w:t>
      </w:r>
      <w:bookmarkEnd w:id="1238"/>
      <w:bookmarkEnd w:id="1239"/>
      <w:bookmarkEnd w:id="1244"/>
      <w:bookmarkEnd w:id="1245"/>
      <w:bookmarkEnd w:id="1246"/>
    </w:p>
    <w:p>
      <w:pPr>
        <w:pStyle w:val="686"/>
        <w:numPr>
          <w:ilvl w:val="0"/>
          <w:numId w:val="0"/>
        </w:numPr>
        <w:spacing w:line="400" w:lineRule="exact"/>
        <w:rPr>
          <w:rFonts w:hint="eastAsia" w:cs="宋体"/>
          <w:sz w:val="21"/>
        </w:rPr>
      </w:pPr>
      <w:r>
        <w:rPr>
          <w:rFonts w:hint="eastAsia" w:cs="宋体"/>
          <w:sz w:val="21"/>
        </w:rPr>
        <w:t>8.8.1 发包人指示承包人提前竣工且被承包人接受的，应与承包人共同协商采取加快工程进度的措施和修订项目进度计划。发包人应承担承包人由此增加的费用，增加的费用按第13条[变更与调整]的约定执行；发包人不得以任何理由要求承包人超过合理限度压缩工期。承包人有权不接受提前竣工的指示，工期按照合同约定执行。</w:t>
      </w:r>
    </w:p>
    <w:p>
      <w:pPr>
        <w:pStyle w:val="686"/>
        <w:numPr>
          <w:ilvl w:val="0"/>
          <w:numId w:val="0"/>
        </w:numPr>
        <w:spacing w:line="400" w:lineRule="exact"/>
        <w:rPr>
          <w:rFonts w:hint="eastAsia" w:cs="宋体"/>
          <w:sz w:val="21"/>
        </w:rPr>
      </w:pPr>
      <w:bookmarkStart w:id="1247" w:name="_Ref4429347"/>
      <w:r>
        <w:rPr>
          <w:rFonts w:hint="eastAsia" w:cs="宋体"/>
          <w:sz w:val="21"/>
        </w:rPr>
        <w:t>8.8.2 承包人提出提前竣工的建议且发包人接受的，应与发包人共同协商采取加快工程进度的措施和修订项目进度计划。发包人应承担承包人由此增加的费用，增加的费用按第13条[变更与调整]的约定执行，并向承包人支付专用合同条件约定的相应奖励金。</w:t>
      </w:r>
      <w:bookmarkEnd w:id="1247"/>
    </w:p>
    <w:p>
      <w:pPr>
        <w:pStyle w:val="685"/>
        <w:widowControl/>
        <w:numPr>
          <w:ilvl w:val="0"/>
          <w:numId w:val="0"/>
        </w:numPr>
        <w:spacing w:line="400" w:lineRule="exact"/>
        <w:rPr>
          <w:rFonts w:hint="eastAsia" w:ascii="宋体" w:hAnsi="宋体" w:eastAsia="宋体" w:cs="宋体"/>
          <w:b w:val="0"/>
          <w:bCs/>
          <w:sz w:val="21"/>
          <w:szCs w:val="21"/>
        </w:rPr>
      </w:pPr>
      <w:bookmarkStart w:id="1248" w:name="_Ref4615040"/>
      <w:bookmarkStart w:id="1249" w:name="_Ref4615031"/>
      <w:bookmarkStart w:id="1250" w:name="_Toc54862256"/>
      <w:bookmarkStart w:id="1251" w:name="_Toc59203155"/>
      <w:r>
        <w:rPr>
          <w:rFonts w:hint="eastAsia" w:ascii="宋体" w:hAnsi="宋体" w:eastAsia="宋体" w:cs="宋体"/>
          <w:b w:val="0"/>
          <w:bCs/>
          <w:sz w:val="21"/>
          <w:szCs w:val="21"/>
        </w:rPr>
        <w:t>8.9 暂停工作</w:t>
      </w:r>
      <w:bookmarkEnd w:id="1248"/>
      <w:bookmarkEnd w:id="1249"/>
      <w:bookmarkEnd w:id="1250"/>
      <w:bookmarkEnd w:id="1251"/>
      <w:r>
        <w:rPr>
          <w:rFonts w:hint="eastAsia" w:ascii="宋体" w:hAnsi="宋体" w:eastAsia="宋体" w:cs="宋体"/>
          <w:b w:val="0"/>
          <w:bCs/>
          <w:sz w:val="21"/>
          <w:szCs w:val="21"/>
        </w:rPr>
        <w:t xml:space="preserve"> </w:t>
      </w:r>
    </w:p>
    <w:p>
      <w:pPr>
        <w:pStyle w:val="686"/>
        <w:numPr>
          <w:ilvl w:val="0"/>
          <w:numId w:val="0"/>
        </w:numPr>
        <w:spacing w:line="400" w:lineRule="exact"/>
        <w:rPr>
          <w:rFonts w:hint="eastAsia" w:cs="宋体"/>
          <w:sz w:val="21"/>
        </w:rPr>
      </w:pPr>
      <w:bookmarkStart w:id="1252" w:name="_Ref4709151"/>
      <w:r>
        <w:rPr>
          <w:rFonts w:hint="eastAsia" w:cs="宋体"/>
          <w:sz w:val="21"/>
        </w:rPr>
        <w:t>8.9.1 由发包人暂停工作</w:t>
      </w:r>
      <w:bookmarkEnd w:id="1252"/>
    </w:p>
    <w:p>
      <w:pPr>
        <w:spacing w:line="400" w:lineRule="exact"/>
        <w:ind w:firstLine="600"/>
        <w:rPr>
          <w:rFonts w:hint="eastAsia" w:ascii="宋体" w:hAnsi="宋体" w:cs="宋体"/>
          <w:szCs w:val="21"/>
        </w:rPr>
      </w:pPr>
      <w:r>
        <w:rPr>
          <w:rFonts w:hint="eastAsia" w:ascii="宋体" w:hAnsi="宋体" w:cs="宋体"/>
          <w:szCs w:val="21"/>
        </w:rPr>
        <w:t>发包人认为必要时，可通过工程师向承包人发出经发包人签认的暂停工作通知，应列明暂停原因、暂停的日期及预计暂停的期限。承包人应按该通知暂停工作。</w:t>
      </w:r>
      <w:bookmarkStart w:id="1253" w:name="_Ref4709233"/>
    </w:p>
    <w:p>
      <w:pPr>
        <w:spacing w:line="400" w:lineRule="exact"/>
        <w:ind w:firstLine="600"/>
        <w:rPr>
          <w:rFonts w:hint="eastAsia" w:ascii="宋体" w:hAnsi="宋体" w:cs="宋体"/>
          <w:szCs w:val="21"/>
        </w:rPr>
      </w:pPr>
      <w:r>
        <w:rPr>
          <w:rFonts w:hint="eastAsia" w:ascii="宋体" w:hAnsi="宋体" w:cs="宋体"/>
          <w:szCs w:val="21"/>
        </w:rPr>
        <w:t>承包人因执行暂停工作通知而造成费用的增加和（或）工期延误由发包人承担，并有权要求发包人支付合理利润，但</w:t>
      </w:r>
      <w:bookmarkEnd w:id="1253"/>
      <w:r>
        <w:rPr>
          <w:rFonts w:hint="eastAsia" w:ascii="宋体" w:hAnsi="宋体" w:cs="宋体"/>
          <w:szCs w:val="21"/>
        </w:rPr>
        <w:t>由于承包人原因造成发包人暂停工作的除外。</w:t>
      </w:r>
    </w:p>
    <w:p>
      <w:pPr>
        <w:pStyle w:val="686"/>
        <w:numPr>
          <w:ilvl w:val="0"/>
          <w:numId w:val="0"/>
        </w:numPr>
        <w:spacing w:line="400" w:lineRule="exact"/>
        <w:rPr>
          <w:rFonts w:hint="eastAsia" w:cs="宋体"/>
          <w:sz w:val="21"/>
        </w:rPr>
      </w:pPr>
      <w:bookmarkStart w:id="1254" w:name="_Ref18972173"/>
      <w:r>
        <w:rPr>
          <w:rFonts w:hint="eastAsia" w:cs="宋体"/>
          <w:sz w:val="21"/>
        </w:rPr>
        <w:t>8.9.2 由承包人暂停工作</w:t>
      </w:r>
      <w:bookmarkEnd w:id="1254"/>
      <w:r>
        <w:rPr>
          <w:rFonts w:hint="eastAsia" w:cs="宋体"/>
          <w:sz w:val="21"/>
        </w:rPr>
        <w:t xml:space="preserve"> </w:t>
      </w:r>
    </w:p>
    <w:p>
      <w:pPr>
        <w:spacing w:line="400" w:lineRule="exact"/>
        <w:ind w:firstLine="600"/>
        <w:rPr>
          <w:rFonts w:hint="eastAsia" w:ascii="宋体" w:hAnsi="宋体" w:cs="宋体"/>
          <w:szCs w:val="21"/>
        </w:rPr>
      </w:pPr>
      <w:r>
        <w:rPr>
          <w:rFonts w:hint="eastAsia" w:ascii="宋体" w:hAnsi="宋体" w:cs="宋体"/>
          <w:szCs w:val="21"/>
        </w:rPr>
        <w:t>因承包人原因所造成部分或全部工程的暂停，承包人应采取措施尽快复工并赶上进度，由此造成费用的增加或工期延误由承包人承担。因此造成逾期竣工的，承包人应按第8.7.2项[因承包人原因导致工期延误]承担逾期竣工违约责任。</w:t>
      </w:r>
    </w:p>
    <w:p>
      <w:pPr>
        <w:spacing w:line="400" w:lineRule="exact"/>
        <w:ind w:firstLine="600"/>
        <w:rPr>
          <w:rFonts w:hint="eastAsia" w:ascii="宋体" w:hAnsi="宋体" w:cs="宋体"/>
          <w:szCs w:val="21"/>
        </w:rPr>
      </w:pPr>
      <w:r>
        <w:rPr>
          <w:rFonts w:hint="eastAsia" w:ascii="宋体" w:hAnsi="宋体" w:cs="宋体"/>
          <w:szCs w:val="21"/>
        </w:rPr>
        <w:t>合同履行过程中发生下列情形之一的，承包人可向发包人发出通知，要求发包人采取有效措施予以纠正。发包人收到承包人通知后的28天内仍不予以纠正，承包人有权暂停施工，并通知工程师。承包人有权要求发包人延长工期和（或）增加费用，并支付合理利润：</w:t>
      </w:r>
    </w:p>
    <w:p>
      <w:pPr>
        <w:spacing w:line="400" w:lineRule="exact"/>
        <w:ind w:firstLine="600"/>
        <w:rPr>
          <w:rFonts w:hint="eastAsia" w:ascii="宋体" w:hAnsi="宋体" w:cs="宋体"/>
          <w:szCs w:val="21"/>
        </w:rPr>
      </w:pPr>
      <w:bookmarkStart w:id="1255" w:name="_Ref4709224"/>
      <w:r>
        <w:rPr>
          <w:rFonts w:hint="eastAsia" w:ascii="宋体" w:hAnsi="宋体" w:cs="宋体"/>
          <w:szCs w:val="21"/>
        </w:rPr>
        <w:t>（1） 发包人拖延、拒绝批准付款申请和支付证书，或未能按合同约定支付价款，导致付款延误的；</w:t>
      </w:r>
      <w:bookmarkEnd w:id="1255"/>
    </w:p>
    <w:p>
      <w:pPr>
        <w:spacing w:line="400" w:lineRule="exact"/>
        <w:ind w:firstLine="600"/>
        <w:rPr>
          <w:rFonts w:hint="eastAsia" w:ascii="宋体" w:hAnsi="宋体" w:cs="宋体"/>
          <w:szCs w:val="21"/>
        </w:rPr>
      </w:pPr>
      <w:r>
        <w:rPr>
          <w:rFonts w:hint="eastAsia" w:ascii="宋体" w:hAnsi="宋体" w:cs="宋体"/>
          <w:szCs w:val="21"/>
        </w:rPr>
        <w:t>（2） 发包人未按约定履行合同其他义务导致承包人无法继续履行合同的，或者发包人明确表示暂停或实质上已暂停履行合同的。</w:t>
      </w:r>
    </w:p>
    <w:p>
      <w:pPr>
        <w:pStyle w:val="686"/>
        <w:numPr>
          <w:ilvl w:val="0"/>
          <w:numId w:val="0"/>
        </w:numPr>
        <w:spacing w:line="400" w:lineRule="exact"/>
        <w:rPr>
          <w:rFonts w:hint="eastAsia" w:cs="宋体"/>
          <w:sz w:val="21"/>
        </w:rPr>
      </w:pPr>
      <w:r>
        <w:rPr>
          <w:rFonts w:hint="eastAsia" w:cs="宋体"/>
          <w:sz w:val="21"/>
        </w:rPr>
        <w:t>8.9.3 除上述原因以外的暂停工作，双方应遵守第17条[不可抗力]的相关约定。</w:t>
      </w:r>
    </w:p>
    <w:p>
      <w:pPr>
        <w:pStyle w:val="686"/>
        <w:numPr>
          <w:ilvl w:val="0"/>
          <w:numId w:val="0"/>
        </w:numPr>
        <w:spacing w:line="400" w:lineRule="exact"/>
        <w:rPr>
          <w:rFonts w:hint="eastAsia" w:cs="宋体"/>
          <w:sz w:val="21"/>
        </w:rPr>
      </w:pPr>
      <w:bookmarkStart w:id="1256" w:name="_Ref4709158"/>
      <w:r>
        <w:rPr>
          <w:rFonts w:hint="eastAsia" w:cs="宋体"/>
          <w:sz w:val="21"/>
        </w:rPr>
        <w:t>8.9.4 暂停工作期间的工程照管</w:t>
      </w:r>
      <w:bookmarkEnd w:id="1256"/>
      <w:r>
        <w:rPr>
          <w:rFonts w:hint="eastAsia" w:cs="宋体"/>
          <w:sz w:val="21"/>
        </w:rPr>
        <w:t xml:space="preserve"> </w:t>
      </w:r>
    </w:p>
    <w:p>
      <w:pPr>
        <w:spacing w:line="400" w:lineRule="exact"/>
        <w:ind w:firstLine="600"/>
        <w:rPr>
          <w:rFonts w:hint="eastAsia" w:ascii="宋体" w:hAnsi="宋体" w:cs="宋体"/>
          <w:szCs w:val="21"/>
        </w:rPr>
      </w:pPr>
      <w:r>
        <w:rPr>
          <w:rFonts w:hint="eastAsia" w:ascii="宋体" w:hAnsi="宋体" w:cs="宋体"/>
          <w:szCs w:val="21"/>
        </w:rPr>
        <w:t>不论由于何种原因引起暂停工作的，暂停工作期间，承包人应负责对工程、工程物资及文件等进行照管和保护，并提供安全保障，由此增加的费用按第8.9.1项[由发包人暂停工作]和第8.9.2项[由承包人暂停工作]的约定承担。</w:t>
      </w:r>
    </w:p>
    <w:p>
      <w:pPr>
        <w:spacing w:line="400" w:lineRule="exact"/>
        <w:ind w:firstLine="600"/>
        <w:rPr>
          <w:rFonts w:hint="eastAsia" w:ascii="宋体" w:hAnsi="宋体" w:cs="宋体"/>
          <w:szCs w:val="21"/>
        </w:rPr>
      </w:pPr>
      <w:r>
        <w:rPr>
          <w:rFonts w:hint="eastAsia" w:ascii="宋体" w:hAnsi="宋体" w:cs="宋体"/>
          <w:szCs w:val="21"/>
        </w:rPr>
        <w:t>因承包人未能尽到照管、保护的责任造成损失的，使发包人的费用增加，（或）竣工日期延误的，由承包人按本合同约定承担责任。</w:t>
      </w:r>
    </w:p>
    <w:p>
      <w:pPr>
        <w:pStyle w:val="686"/>
        <w:numPr>
          <w:ilvl w:val="0"/>
          <w:numId w:val="0"/>
        </w:numPr>
        <w:spacing w:line="400" w:lineRule="exact"/>
        <w:rPr>
          <w:rFonts w:hint="eastAsia" w:cs="宋体"/>
          <w:sz w:val="21"/>
        </w:rPr>
      </w:pPr>
      <w:r>
        <w:rPr>
          <w:rFonts w:hint="eastAsia" w:cs="宋体"/>
          <w:sz w:val="21"/>
        </w:rPr>
        <w:t>8.9.5 拖长的暂停</w:t>
      </w:r>
    </w:p>
    <w:p>
      <w:pPr>
        <w:spacing w:line="400" w:lineRule="exact"/>
        <w:ind w:firstLine="600"/>
        <w:rPr>
          <w:rFonts w:hint="eastAsia" w:ascii="宋体" w:hAnsi="宋体" w:cs="宋体"/>
          <w:szCs w:val="21"/>
        </w:rPr>
      </w:pPr>
      <w:r>
        <w:rPr>
          <w:rFonts w:hint="eastAsia" w:ascii="宋体" w:hAnsi="宋体" w:cs="宋体"/>
          <w:szCs w:val="21"/>
        </w:rPr>
        <w:t>根据第8.9.1项[由发包人暂停工作]暂停工作持续超过56天的，承包人可向发包人发出要求复工的通知。如果发包人没有在收到书面通知后28天内准许已暂停工作的全部或部分继续工作，承包人有权根据第13条[变更与调整]的约定，要求以变更方式调减受暂停影响的部分工程。发包人的暂停超过56天且暂停影响到整个工程的，承包人有权根据第16.2款[由承包人解除合同]的约定，发出解除合同的通知。</w:t>
      </w:r>
    </w:p>
    <w:p>
      <w:pPr>
        <w:pStyle w:val="685"/>
        <w:widowControl/>
        <w:numPr>
          <w:ilvl w:val="0"/>
          <w:numId w:val="0"/>
        </w:numPr>
        <w:spacing w:line="400" w:lineRule="exact"/>
        <w:rPr>
          <w:rFonts w:hint="eastAsia" w:ascii="宋体" w:hAnsi="宋体" w:eastAsia="宋体" w:cs="宋体"/>
          <w:b w:val="0"/>
          <w:bCs/>
          <w:sz w:val="21"/>
          <w:szCs w:val="21"/>
        </w:rPr>
      </w:pPr>
      <w:bookmarkStart w:id="1257" w:name="_Toc59203156"/>
      <w:bookmarkStart w:id="1258" w:name="_Toc54862257"/>
      <w:r>
        <w:rPr>
          <w:rFonts w:hint="eastAsia" w:ascii="宋体" w:hAnsi="宋体" w:eastAsia="宋体" w:cs="宋体"/>
          <w:b w:val="0"/>
          <w:bCs/>
          <w:sz w:val="21"/>
          <w:szCs w:val="21"/>
        </w:rPr>
        <w:t>8.10 复工</w:t>
      </w:r>
      <w:bookmarkEnd w:id="1257"/>
      <w:bookmarkEnd w:id="1258"/>
      <w:r>
        <w:rPr>
          <w:rFonts w:hint="eastAsia" w:ascii="宋体" w:hAnsi="宋体" w:eastAsia="宋体" w:cs="宋体"/>
          <w:b w:val="0"/>
          <w:bCs/>
          <w:sz w:val="21"/>
          <w:szCs w:val="21"/>
        </w:rPr>
        <w:t xml:space="preserve"> </w:t>
      </w:r>
    </w:p>
    <w:p>
      <w:pPr>
        <w:pStyle w:val="686"/>
        <w:numPr>
          <w:ilvl w:val="0"/>
          <w:numId w:val="0"/>
        </w:numPr>
        <w:spacing w:line="400" w:lineRule="exact"/>
        <w:rPr>
          <w:rFonts w:hint="eastAsia" w:cs="宋体"/>
          <w:sz w:val="21"/>
        </w:rPr>
      </w:pPr>
      <w:r>
        <w:rPr>
          <w:rFonts w:hint="eastAsia" w:cs="宋体"/>
          <w:sz w:val="21"/>
        </w:rPr>
        <w:t>8.10.1 收到发包人的复工通知后，承包人应按通知时间复工；发包人通知的复工时间应当给予承包人必要的准备复工时间。</w:t>
      </w:r>
    </w:p>
    <w:p>
      <w:pPr>
        <w:pStyle w:val="686"/>
        <w:numPr>
          <w:ilvl w:val="0"/>
          <w:numId w:val="0"/>
        </w:numPr>
        <w:spacing w:line="400" w:lineRule="exact"/>
        <w:rPr>
          <w:rFonts w:hint="eastAsia" w:cs="宋体"/>
          <w:sz w:val="21"/>
        </w:rPr>
      </w:pPr>
      <w:r>
        <w:rPr>
          <w:rFonts w:hint="eastAsia" w:cs="宋体"/>
          <w:sz w:val="21"/>
        </w:rPr>
        <w:t>8.10.2 不论由于何种原因引起暂停工作，双方均可要求对方一同对受暂停影响的工程、工程设备和工程物资进行检查，承包人应将检查结果及需要恢复、修复的内容和估算通知发包人。</w:t>
      </w:r>
    </w:p>
    <w:p>
      <w:pPr>
        <w:pStyle w:val="686"/>
        <w:numPr>
          <w:ilvl w:val="0"/>
          <w:numId w:val="0"/>
        </w:numPr>
        <w:spacing w:line="400" w:lineRule="exact"/>
        <w:rPr>
          <w:rFonts w:hint="eastAsia" w:cs="宋体"/>
          <w:sz w:val="21"/>
        </w:rPr>
      </w:pPr>
      <w:r>
        <w:rPr>
          <w:rFonts w:hint="eastAsia" w:cs="宋体"/>
          <w:sz w:val="21"/>
        </w:rPr>
        <w:t>8.10.3 除第17条[不可抗力]另有约定外，发生的恢复、修复价款及工期延误的后果由责任方承担。</w:t>
      </w:r>
    </w:p>
    <w:p>
      <w:pPr>
        <w:pStyle w:val="684"/>
        <w:numPr>
          <w:ilvl w:val="0"/>
          <w:numId w:val="0"/>
        </w:numPr>
        <w:spacing w:line="400" w:lineRule="exact"/>
        <w:rPr>
          <w:rFonts w:hint="eastAsia" w:ascii="宋体" w:hAnsi="宋体" w:eastAsia="宋体" w:cs="宋体"/>
          <w:b w:val="0"/>
          <w:szCs w:val="21"/>
        </w:rPr>
      </w:pPr>
      <w:bookmarkStart w:id="1259" w:name="_Toc54862258"/>
      <w:bookmarkStart w:id="1260" w:name="_Ref4621041"/>
      <w:bookmarkStart w:id="1261" w:name="_Ref4621029"/>
      <w:bookmarkStart w:id="1262" w:name="_Toc59203157"/>
      <w:r>
        <w:rPr>
          <w:rFonts w:hint="eastAsia" w:ascii="宋体" w:hAnsi="宋体" w:eastAsia="宋体" w:cs="宋体"/>
          <w:b w:val="0"/>
          <w:szCs w:val="21"/>
        </w:rPr>
        <w:t>第9条 竣工试验</w:t>
      </w:r>
      <w:bookmarkEnd w:id="1199"/>
      <w:bookmarkEnd w:id="1259"/>
      <w:bookmarkEnd w:id="1260"/>
      <w:bookmarkEnd w:id="1261"/>
      <w:bookmarkEnd w:id="1262"/>
      <w:r>
        <w:rPr>
          <w:rFonts w:hint="eastAsia" w:ascii="宋体" w:hAnsi="宋体" w:eastAsia="宋体" w:cs="宋体"/>
          <w:b w:val="0"/>
          <w:szCs w:val="21"/>
        </w:rPr>
        <w:t xml:space="preserve"> </w:t>
      </w:r>
    </w:p>
    <w:p>
      <w:pPr>
        <w:pStyle w:val="685"/>
        <w:widowControl/>
        <w:numPr>
          <w:ilvl w:val="0"/>
          <w:numId w:val="0"/>
        </w:numPr>
        <w:spacing w:line="400" w:lineRule="exact"/>
        <w:rPr>
          <w:rFonts w:hint="eastAsia" w:ascii="宋体" w:hAnsi="宋体" w:eastAsia="宋体" w:cs="宋体"/>
          <w:b w:val="0"/>
          <w:bCs/>
          <w:sz w:val="21"/>
          <w:szCs w:val="21"/>
        </w:rPr>
      </w:pPr>
      <w:bookmarkStart w:id="1263" w:name="_Ref532586248"/>
      <w:bookmarkStart w:id="1264" w:name="_Ref532586251"/>
      <w:bookmarkStart w:id="1265" w:name="_Toc59203158"/>
      <w:bookmarkStart w:id="1266" w:name="_Toc54862259"/>
      <w:r>
        <w:rPr>
          <w:rFonts w:hint="eastAsia" w:ascii="宋体" w:hAnsi="宋体" w:eastAsia="宋体" w:cs="宋体"/>
          <w:b w:val="0"/>
          <w:bCs/>
          <w:sz w:val="21"/>
          <w:szCs w:val="21"/>
        </w:rPr>
        <w:t>9.1 竣工试验的义务</w:t>
      </w:r>
      <w:bookmarkEnd w:id="1263"/>
      <w:bookmarkEnd w:id="1264"/>
      <w:bookmarkEnd w:id="1265"/>
      <w:bookmarkEnd w:id="1266"/>
    </w:p>
    <w:p>
      <w:pPr>
        <w:pStyle w:val="686"/>
        <w:numPr>
          <w:ilvl w:val="0"/>
          <w:numId w:val="0"/>
        </w:numPr>
        <w:spacing w:line="400" w:lineRule="exact"/>
        <w:rPr>
          <w:rFonts w:hint="eastAsia" w:cs="宋体"/>
          <w:sz w:val="21"/>
        </w:rPr>
      </w:pPr>
      <w:r>
        <w:rPr>
          <w:rFonts w:hint="eastAsia" w:cs="宋体"/>
          <w:sz w:val="21"/>
        </w:rPr>
        <w:t>9.1.1 承包人完成工程或区段工程进行竣工试验所需的作业，并根据第5.4款[竣工文件]和第5.5款[操作和维修手册]提交文件后，进行竣工试验。</w:t>
      </w:r>
      <w:bookmarkStart w:id="1267" w:name="_Ref532586608"/>
    </w:p>
    <w:p>
      <w:pPr>
        <w:pStyle w:val="686"/>
        <w:numPr>
          <w:ilvl w:val="0"/>
          <w:numId w:val="0"/>
        </w:numPr>
        <w:spacing w:line="400" w:lineRule="exact"/>
        <w:rPr>
          <w:rFonts w:hint="eastAsia" w:cs="宋体"/>
          <w:sz w:val="21"/>
        </w:rPr>
      </w:pPr>
      <w:bookmarkStart w:id="1268" w:name="_Ref11919920"/>
      <w:r>
        <w:rPr>
          <w:rFonts w:hint="eastAsia" w:cs="宋体"/>
          <w:sz w:val="21"/>
        </w:rPr>
        <w:t>9.1.2 承包人应在进行竣工试验之前，至少提前42天向工程师提交详细的竣工试验计划，该计划应载明竣工试验的内容、地点、拟开展时间和需要发包人提供的资源条件。</w:t>
      </w:r>
      <w:bookmarkEnd w:id="1267"/>
      <w:r>
        <w:rPr>
          <w:rFonts w:hint="eastAsia" w:cs="宋体"/>
          <w:sz w:val="21"/>
        </w:rPr>
        <w:t>工程师应在收到计划后的14天内进行审查，并就该计划不符合合同的部分提出意见，承包人应在收到意见后的14天内自费对计划进行修正。工程师逾期未提出意见的，视为竣工试验计划已得到确认。除提交竣工试验计划外，承包人还应提前21天将可以开始进行各项竣工试验的日期通知工程师，并在该日期后的14天内或工程师指示的日期进行竣工试验。</w:t>
      </w:r>
      <w:bookmarkEnd w:id="1268"/>
    </w:p>
    <w:p>
      <w:pPr>
        <w:pStyle w:val="686"/>
        <w:numPr>
          <w:ilvl w:val="0"/>
          <w:numId w:val="0"/>
        </w:numPr>
        <w:spacing w:line="400" w:lineRule="exact"/>
        <w:rPr>
          <w:rFonts w:hint="eastAsia" w:cs="宋体"/>
          <w:sz w:val="21"/>
        </w:rPr>
      </w:pPr>
      <w:bookmarkStart w:id="1269" w:name="_Ref532688147"/>
      <w:r>
        <w:rPr>
          <w:rFonts w:hint="eastAsia" w:cs="宋体"/>
          <w:sz w:val="21"/>
        </w:rPr>
        <w:t>9.1.3 承包人应根据经确认的竣工试验计划以及第6.5款[由承包人试验和检验]进行竣工试验。除《发包人要求》中另有说明外，竣工试验应按以下顺序分阶段进行，即只有在工程或区段工程已通过上一阶段试验的情况下，才可进行下一阶段试验：</w:t>
      </w:r>
      <w:bookmarkEnd w:id="1269"/>
    </w:p>
    <w:p>
      <w:pPr>
        <w:spacing w:line="400" w:lineRule="exact"/>
        <w:ind w:firstLine="600"/>
        <w:rPr>
          <w:rFonts w:hint="eastAsia" w:ascii="宋体" w:hAnsi="宋体" w:cs="宋体"/>
          <w:szCs w:val="21"/>
        </w:rPr>
      </w:pPr>
      <w:r>
        <w:rPr>
          <w:rFonts w:hint="eastAsia" w:ascii="宋体" w:hAnsi="宋体" w:cs="宋体"/>
          <w:szCs w:val="21"/>
        </w:rPr>
        <w:t>（1） 承包人进行启动前试验，包括适当的检查和功能性试验，以证明工程或区段工程的每一部分均能够安全地承受下一阶段试验；</w:t>
      </w:r>
    </w:p>
    <w:p>
      <w:pPr>
        <w:spacing w:line="400" w:lineRule="exact"/>
        <w:ind w:firstLine="600"/>
        <w:rPr>
          <w:rFonts w:hint="eastAsia" w:ascii="宋体" w:hAnsi="宋体" w:cs="宋体"/>
          <w:szCs w:val="21"/>
        </w:rPr>
      </w:pPr>
      <w:r>
        <w:rPr>
          <w:rFonts w:hint="eastAsia" w:ascii="宋体" w:hAnsi="宋体" w:cs="宋体"/>
          <w:szCs w:val="21"/>
        </w:rPr>
        <w:t>（2） 承包人进行启动试验，以证明工程或区段工程能够在所有可利用的操作条件下安全运行，并按照专用合同条件和《发包人要求》中的规定操作；</w:t>
      </w:r>
    </w:p>
    <w:p>
      <w:pPr>
        <w:spacing w:line="400" w:lineRule="exact"/>
        <w:ind w:firstLine="600"/>
        <w:rPr>
          <w:rFonts w:hint="eastAsia" w:ascii="宋体" w:hAnsi="宋体" w:cs="宋体"/>
          <w:szCs w:val="21"/>
        </w:rPr>
      </w:pPr>
      <w:r>
        <w:rPr>
          <w:rFonts w:hint="eastAsia" w:ascii="宋体" w:hAnsi="宋体" w:cs="宋体"/>
          <w:szCs w:val="21"/>
        </w:rPr>
        <w:t>（3） 承包人进行试运行试验。当工程或区段工程能稳定安全运行时，承包人应通知工程师，可以进行其他竣工试验，包括各种性能测试，以证明工程或区段工程符合《发包人要求》中列明的性能保证指标。</w:t>
      </w:r>
    </w:p>
    <w:p>
      <w:pPr>
        <w:spacing w:line="400" w:lineRule="exact"/>
        <w:ind w:firstLine="600"/>
        <w:rPr>
          <w:rFonts w:hint="eastAsia" w:ascii="宋体" w:hAnsi="宋体" w:cs="宋体"/>
          <w:szCs w:val="21"/>
        </w:rPr>
      </w:pPr>
      <w:r>
        <w:rPr>
          <w:rFonts w:hint="eastAsia" w:ascii="宋体" w:hAnsi="宋体" w:cs="宋体"/>
          <w:szCs w:val="21"/>
        </w:rPr>
        <w:t>进行上述试验不应构成第10条[验收和工程接收]规定的接收，但试验所产生的任何产品或其他收益均应归属于发包人。</w:t>
      </w:r>
    </w:p>
    <w:p>
      <w:pPr>
        <w:pStyle w:val="686"/>
        <w:numPr>
          <w:ilvl w:val="0"/>
          <w:numId w:val="0"/>
        </w:numPr>
        <w:spacing w:line="400" w:lineRule="exact"/>
        <w:rPr>
          <w:rFonts w:hint="eastAsia" w:cs="宋体"/>
          <w:sz w:val="21"/>
        </w:rPr>
      </w:pPr>
      <w:r>
        <w:rPr>
          <w:rFonts w:hint="eastAsia" w:cs="宋体"/>
          <w:sz w:val="21"/>
        </w:rPr>
        <w:t>9.1.4 完成上述各阶段竣工试验后，承包人应向工程师提交试验结果报告，试验结果须符合约定的标准、规范和数据。工程师应在收到报告后14天内予以回复，逾期未回复的，视为认可竣工试验结果。但在考虑工程或区段工程是否通过竣工试验时，应适当考虑发包人对工程或其任何部分的使用，对工程或区段工程的性能、特性和试验结果产生的影响。</w:t>
      </w:r>
    </w:p>
    <w:p>
      <w:pPr>
        <w:pStyle w:val="685"/>
        <w:widowControl/>
        <w:numPr>
          <w:ilvl w:val="0"/>
          <w:numId w:val="0"/>
        </w:numPr>
        <w:spacing w:line="400" w:lineRule="exact"/>
        <w:rPr>
          <w:rFonts w:hint="eastAsia" w:ascii="宋体" w:hAnsi="宋体" w:eastAsia="宋体" w:cs="宋体"/>
          <w:b w:val="0"/>
          <w:bCs/>
          <w:sz w:val="21"/>
          <w:szCs w:val="21"/>
        </w:rPr>
      </w:pPr>
      <w:bookmarkStart w:id="1270" w:name="_Toc59203159"/>
      <w:bookmarkStart w:id="1271" w:name="_Toc54862260"/>
      <w:r>
        <w:rPr>
          <w:rFonts w:hint="eastAsia" w:ascii="宋体" w:hAnsi="宋体" w:eastAsia="宋体" w:cs="宋体"/>
          <w:b w:val="0"/>
          <w:bCs/>
          <w:sz w:val="21"/>
          <w:szCs w:val="21"/>
        </w:rPr>
        <w:t>9.2 延误的试验</w:t>
      </w:r>
      <w:bookmarkEnd w:id="1270"/>
      <w:bookmarkEnd w:id="1271"/>
    </w:p>
    <w:p>
      <w:pPr>
        <w:pStyle w:val="686"/>
        <w:numPr>
          <w:ilvl w:val="0"/>
          <w:numId w:val="0"/>
        </w:numPr>
        <w:spacing w:line="400" w:lineRule="exact"/>
        <w:rPr>
          <w:rFonts w:hint="eastAsia" w:cs="宋体"/>
          <w:sz w:val="21"/>
        </w:rPr>
      </w:pPr>
      <w:r>
        <w:rPr>
          <w:rFonts w:hint="eastAsia" w:cs="宋体"/>
          <w:sz w:val="21"/>
        </w:rPr>
        <w:t>9.2.1 如果承包人已根据第9.1款[竣工试验的义务]就可以开始进行各项竣工试验的日期通知工程师，但该等试验因发包人原因被延误14天以上的，发包人应承担由此增加的费用和工期延误，并支付承包人合理利润。同时，承包人应在合理可行的情况下尽快进行竣工试验。</w:t>
      </w:r>
    </w:p>
    <w:p>
      <w:pPr>
        <w:pStyle w:val="686"/>
        <w:numPr>
          <w:ilvl w:val="0"/>
          <w:numId w:val="0"/>
        </w:numPr>
        <w:spacing w:line="400" w:lineRule="exact"/>
        <w:rPr>
          <w:rFonts w:hint="eastAsia" w:cs="宋体"/>
          <w:sz w:val="21"/>
        </w:rPr>
      </w:pPr>
      <w:r>
        <w:rPr>
          <w:rFonts w:hint="eastAsia" w:cs="宋体"/>
          <w:sz w:val="21"/>
        </w:rPr>
        <w:t>9.2.2 承包人无正当理由延误进行竣工试验的，工程师可向其发出通知，要求其在收到通知后的21天内进行该项竣工试验。承包人应在该21天的期限内确定进行试验的日期，并至少提前7天通知工程师。</w:t>
      </w:r>
    </w:p>
    <w:p>
      <w:pPr>
        <w:pStyle w:val="686"/>
        <w:numPr>
          <w:ilvl w:val="0"/>
          <w:numId w:val="0"/>
        </w:numPr>
        <w:spacing w:line="400" w:lineRule="exact"/>
        <w:rPr>
          <w:rFonts w:hint="eastAsia" w:cs="宋体"/>
          <w:sz w:val="21"/>
        </w:rPr>
      </w:pPr>
      <w:r>
        <w:rPr>
          <w:rFonts w:hint="eastAsia" w:cs="宋体"/>
          <w:sz w:val="21"/>
        </w:rPr>
        <w:t>9.2.3 如果承包人未在该期限内进行竣工试验，则发包人有权自行组织该项竣工试验，由此产生的合理费用由承包人承担。发包人应在试验完成后28天内向承包人发送试验结果。</w:t>
      </w:r>
    </w:p>
    <w:p>
      <w:pPr>
        <w:pStyle w:val="685"/>
        <w:widowControl/>
        <w:numPr>
          <w:ilvl w:val="0"/>
          <w:numId w:val="0"/>
        </w:numPr>
        <w:spacing w:line="400" w:lineRule="exact"/>
        <w:rPr>
          <w:rFonts w:hint="eastAsia" w:ascii="宋体" w:hAnsi="宋体" w:eastAsia="宋体" w:cs="宋体"/>
          <w:b w:val="0"/>
          <w:bCs/>
          <w:sz w:val="21"/>
          <w:szCs w:val="21"/>
        </w:rPr>
      </w:pPr>
      <w:bookmarkStart w:id="1272" w:name="_Toc54862261"/>
      <w:bookmarkStart w:id="1273" w:name="_Ref532594592"/>
      <w:bookmarkStart w:id="1274" w:name="_Ref532594588"/>
      <w:bookmarkStart w:id="1275" w:name="_Toc59203160"/>
      <w:r>
        <w:rPr>
          <w:rFonts w:hint="eastAsia" w:ascii="宋体" w:hAnsi="宋体" w:eastAsia="宋体" w:cs="宋体"/>
          <w:b w:val="0"/>
          <w:bCs/>
          <w:sz w:val="21"/>
          <w:szCs w:val="21"/>
        </w:rPr>
        <w:t>9.3 重新试验</w:t>
      </w:r>
      <w:bookmarkEnd w:id="1272"/>
      <w:bookmarkEnd w:id="1273"/>
      <w:bookmarkEnd w:id="1274"/>
      <w:bookmarkEnd w:id="1275"/>
      <w:r>
        <w:rPr>
          <w:rFonts w:hint="eastAsia" w:ascii="宋体" w:hAnsi="宋体" w:eastAsia="宋体" w:cs="宋体"/>
          <w:b w:val="0"/>
          <w:bCs/>
          <w:sz w:val="21"/>
          <w:szCs w:val="21"/>
        </w:rPr>
        <w:t xml:space="preserve"> </w:t>
      </w:r>
    </w:p>
    <w:p>
      <w:pPr>
        <w:spacing w:line="400" w:lineRule="exact"/>
        <w:ind w:firstLine="600"/>
        <w:rPr>
          <w:rFonts w:hint="eastAsia" w:ascii="宋体" w:hAnsi="宋体" w:cs="宋体"/>
          <w:szCs w:val="21"/>
        </w:rPr>
      </w:pPr>
      <w:r>
        <w:rPr>
          <w:rFonts w:hint="eastAsia" w:ascii="宋体" w:hAnsi="宋体" w:cs="宋体"/>
          <w:szCs w:val="21"/>
        </w:rPr>
        <w:t>如果工程或区段工程未能通过竣工试验，则承包人应根据第6.6款[缺陷和修补]修补缺陷。发包人或承包人可要求按相同的条件，重新进行未通过的试验以及相关工程或区段工程的竣工试验。该等重新进行的试验仍应适用本条对于竣工试验的规定。</w:t>
      </w:r>
    </w:p>
    <w:p>
      <w:pPr>
        <w:pStyle w:val="685"/>
        <w:widowControl/>
        <w:numPr>
          <w:ilvl w:val="0"/>
          <w:numId w:val="0"/>
        </w:numPr>
        <w:spacing w:line="400" w:lineRule="exact"/>
        <w:rPr>
          <w:rFonts w:hint="eastAsia" w:ascii="宋体" w:hAnsi="宋体" w:eastAsia="宋体" w:cs="宋体"/>
          <w:b w:val="0"/>
          <w:bCs/>
          <w:sz w:val="21"/>
          <w:szCs w:val="21"/>
        </w:rPr>
      </w:pPr>
      <w:bookmarkStart w:id="1276" w:name="_Toc54862262"/>
      <w:bookmarkStart w:id="1277" w:name="_Ref532688221"/>
      <w:bookmarkStart w:id="1278" w:name="_Ref532688226"/>
      <w:bookmarkStart w:id="1279" w:name="_Toc59203161"/>
      <w:r>
        <w:rPr>
          <w:rFonts w:hint="eastAsia" w:ascii="宋体" w:hAnsi="宋体" w:eastAsia="宋体" w:cs="宋体"/>
          <w:b w:val="0"/>
          <w:bCs/>
          <w:sz w:val="21"/>
          <w:szCs w:val="21"/>
        </w:rPr>
        <w:t>9.4 未能通过竣工试验</w:t>
      </w:r>
      <w:bookmarkEnd w:id="1276"/>
      <w:bookmarkEnd w:id="1277"/>
      <w:bookmarkEnd w:id="1278"/>
      <w:bookmarkEnd w:id="1279"/>
    </w:p>
    <w:p>
      <w:pPr>
        <w:pStyle w:val="686"/>
        <w:numPr>
          <w:ilvl w:val="0"/>
          <w:numId w:val="0"/>
        </w:numPr>
        <w:spacing w:line="400" w:lineRule="exact"/>
        <w:rPr>
          <w:rFonts w:hint="eastAsia" w:cs="宋体"/>
          <w:sz w:val="21"/>
        </w:rPr>
      </w:pPr>
      <w:r>
        <w:rPr>
          <w:rFonts w:hint="eastAsia" w:cs="宋体"/>
          <w:sz w:val="21"/>
        </w:rPr>
        <w:t>9.4.1 因发包人原因导致竣工试验未能通过的，承包人进行竣工试验的费用由发包人承担，竣工日期相应顺延。</w:t>
      </w:r>
    </w:p>
    <w:p>
      <w:pPr>
        <w:pStyle w:val="686"/>
        <w:numPr>
          <w:ilvl w:val="0"/>
          <w:numId w:val="0"/>
        </w:numPr>
        <w:spacing w:line="400" w:lineRule="exact"/>
        <w:rPr>
          <w:rFonts w:hint="eastAsia" w:cs="宋体"/>
          <w:sz w:val="21"/>
        </w:rPr>
      </w:pPr>
      <w:r>
        <w:rPr>
          <w:rFonts w:hint="eastAsia" w:cs="宋体"/>
          <w:sz w:val="21"/>
        </w:rPr>
        <w:t>9.4.2 如果工程或区段工程未能通过根据第9.3款[重新试验]重新进行的竣工试验的，则：</w:t>
      </w:r>
    </w:p>
    <w:p>
      <w:pPr>
        <w:spacing w:line="400" w:lineRule="exact"/>
        <w:ind w:firstLine="600"/>
        <w:rPr>
          <w:rFonts w:hint="eastAsia" w:ascii="宋体" w:hAnsi="宋体" w:cs="宋体"/>
          <w:szCs w:val="21"/>
        </w:rPr>
      </w:pPr>
      <w:r>
        <w:rPr>
          <w:rFonts w:hint="eastAsia" w:ascii="宋体" w:hAnsi="宋体" w:cs="宋体"/>
          <w:szCs w:val="21"/>
        </w:rPr>
        <w:t>（1） 发包人有权要求承包人根据第6.6款[缺陷和修补]继续进行修补和改正，并根据第9.3款[重新试验]再次进行竣工试验；</w:t>
      </w:r>
    </w:p>
    <w:p>
      <w:pPr>
        <w:spacing w:line="400" w:lineRule="exact"/>
        <w:ind w:firstLine="600"/>
        <w:rPr>
          <w:rFonts w:hint="eastAsia" w:ascii="宋体" w:hAnsi="宋体" w:cs="宋体"/>
          <w:szCs w:val="21"/>
        </w:rPr>
      </w:pPr>
      <w:r>
        <w:rPr>
          <w:rFonts w:hint="eastAsia" w:ascii="宋体" w:hAnsi="宋体" w:cs="宋体"/>
          <w:szCs w:val="21"/>
        </w:rPr>
        <w:t>（2） 未能通过竣工试验，对工程或区段工程的操作或使用未产生实质性影响的，发包人有权要求承包人自费修复，承担因此增加的费用和误期损害赔偿责任，并赔偿发包人的相应损失；无法修复时，发包人有权扣减该部分的相应付款，同时视为通过竣工验收；</w:t>
      </w:r>
    </w:p>
    <w:p>
      <w:pPr>
        <w:spacing w:line="400" w:lineRule="exact"/>
        <w:ind w:firstLine="600"/>
        <w:rPr>
          <w:rFonts w:hint="eastAsia" w:ascii="宋体" w:hAnsi="宋体" w:cs="宋体"/>
          <w:szCs w:val="21"/>
        </w:rPr>
      </w:pPr>
      <w:bookmarkStart w:id="1280" w:name="_Ref4621461"/>
      <w:r>
        <w:rPr>
          <w:rFonts w:hint="eastAsia" w:ascii="宋体" w:hAnsi="宋体" w:cs="宋体"/>
          <w:szCs w:val="21"/>
        </w:rPr>
        <w:t>（3） 未能通过竣工试验，使工程或区段工程的任何主要部分丧失了生产、使用功能时，发包人有权指令承包人更换相关部分，承包人应承担因此增加的费用和误期损害赔偿责任，并赔偿发包人的相应损失</w:t>
      </w:r>
      <w:bookmarkEnd w:id="1280"/>
      <w:r>
        <w:rPr>
          <w:rFonts w:hint="eastAsia" w:ascii="宋体" w:hAnsi="宋体" w:cs="宋体"/>
          <w:szCs w:val="21"/>
        </w:rPr>
        <w:t>；</w:t>
      </w:r>
    </w:p>
    <w:p>
      <w:pPr>
        <w:spacing w:line="400" w:lineRule="exact"/>
        <w:ind w:firstLine="600"/>
        <w:rPr>
          <w:rFonts w:hint="eastAsia" w:ascii="宋体" w:hAnsi="宋体" w:cs="宋体"/>
          <w:szCs w:val="21"/>
        </w:rPr>
      </w:pPr>
      <w:r>
        <w:rPr>
          <w:rFonts w:hint="eastAsia" w:ascii="宋体" w:hAnsi="宋体" w:cs="宋体"/>
          <w:szCs w:val="21"/>
        </w:rPr>
        <w:t>（4） 未能通过竣工试验，使整个工程或区段工程丧失了生产、使用功能时，发包人可拒收工程或区段工程，或指令承包人重新设计、重置相关部分，承包人应承担因此增加的费用和误期损害赔偿责任，并赔偿发包人的相应损失。同时发包人有权根据第16.1款[由发包人解除合同]的约定解除合同。</w:t>
      </w:r>
    </w:p>
    <w:p>
      <w:pPr>
        <w:pStyle w:val="684"/>
        <w:numPr>
          <w:ilvl w:val="0"/>
          <w:numId w:val="0"/>
        </w:numPr>
        <w:spacing w:line="400" w:lineRule="exact"/>
        <w:rPr>
          <w:rFonts w:hint="eastAsia" w:ascii="宋体" w:hAnsi="宋体" w:eastAsia="宋体" w:cs="宋体"/>
          <w:b w:val="0"/>
          <w:szCs w:val="21"/>
        </w:rPr>
      </w:pPr>
      <w:bookmarkStart w:id="1281" w:name="_Ref4624043"/>
      <w:bookmarkStart w:id="1282" w:name="_Ref4618338"/>
      <w:bookmarkStart w:id="1283" w:name="_Toc54862263"/>
      <w:bookmarkStart w:id="1284" w:name="_Ref4618348"/>
      <w:bookmarkStart w:id="1285" w:name="_Toc59203162"/>
      <w:r>
        <w:rPr>
          <w:rFonts w:hint="eastAsia" w:ascii="宋体" w:hAnsi="宋体" w:eastAsia="宋体" w:cs="宋体"/>
          <w:b w:val="0"/>
          <w:szCs w:val="21"/>
        </w:rPr>
        <w:t>第10条 验收和工程接收</w:t>
      </w:r>
      <w:bookmarkEnd w:id="1281"/>
      <w:bookmarkEnd w:id="1282"/>
      <w:bookmarkEnd w:id="1283"/>
      <w:bookmarkEnd w:id="1284"/>
      <w:bookmarkEnd w:id="1285"/>
    </w:p>
    <w:p>
      <w:pPr>
        <w:pStyle w:val="685"/>
        <w:widowControl/>
        <w:numPr>
          <w:ilvl w:val="0"/>
          <w:numId w:val="0"/>
        </w:numPr>
        <w:spacing w:line="400" w:lineRule="exact"/>
        <w:rPr>
          <w:rFonts w:hint="eastAsia" w:ascii="宋体" w:hAnsi="宋体" w:eastAsia="宋体" w:cs="宋体"/>
          <w:b w:val="0"/>
          <w:bCs/>
          <w:sz w:val="21"/>
          <w:szCs w:val="21"/>
        </w:rPr>
      </w:pPr>
      <w:bookmarkStart w:id="1286" w:name="_Toc59203163"/>
      <w:bookmarkStart w:id="1287" w:name="_Ref532359143"/>
      <w:bookmarkStart w:id="1288" w:name="_Ref532300801"/>
      <w:bookmarkStart w:id="1289" w:name="_Ref532301202"/>
      <w:bookmarkStart w:id="1290" w:name="_Toc54862264"/>
      <w:bookmarkStart w:id="1291" w:name="_Ref532301199"/>
      <w:bookmarkStart w:id="1292" w:name="_Ref532359152"/>
      <w:bookmarkStart w:id="1293" w:name="_Ref532300804"/>
      <w:r>
        <w:rPr>
          <w:rFonts w:hint="eastAsia" w:ascii="宋体" w:hAnsi="宋体" w:eastAsia="宋体" w:cs="宋体"/>
          <w:b w:val="0"/>
          <w:bCs/>
          <w:sz w:val="21"/>
          <w:szCs w:val="21"/>
        </w:rPr>
        <w:t>10.1 竣工验收</w:t>
      </w:r>
      <w:bookmarkEnd w:id="1286"/>
      <w:bookmarkEnd w:id="1287"/>
      <w:bookmarkEnd w:id="1288"/>
      <w:bookmarkEnd w:id="1289"/>
      <w:bookmarkEnd w:id="1290"/>
      <w:bookmarkEnd w:id="1291"/>
      <w:bookmarkEnd w:id="1292"/>
      <w:bookmarkEnd w:id="1293"/>
    </w:p>
    <w:p>
      <w:pPr>
        <w:pStyle w:val="686"/>
        <w:numPr>
          <w:ilvl w:val="0"/>
          <w:numId w:val="0"/>
        </w:numPr>
        <w:spacing w:line="400" w:lineRule="exact"/>
        <w:rPr>
          <w:rFonts w:hint="eastAsia" w:cs="宋体"/>
          <w:sz w:val="21"/>
        </w:rPr>
      </w:pPr>
      <w:bookmarkStart w:id="1294" w:name="_Ref532628356"/>
      <w:r>
        <w:rPr>
          <w:rFonts w:hint="eastAsia" w:cs="宋体"/>
          <w:sz w:val="21"/>
        </w:rPr>
        <w:t>10.1.1 竣工验收条件</w:t>
      </w:r>
    </w:p>
    <w:p>
      <w:pPr>
        <w:spacing w:line="400" w:lineRule="exact"/>
        <w:ind w:firstLine="600"/>
        <w:rPr>
          <w:rFonts w:hint="eastAsia" w:ascii="宋体" w:hAnsi="宋体" w:cs="宋体"/>
          <w:szCs w:val="21"/>
        </w:rPr>
      </w:pPr>
      <w:r>
        <w:rPr>
          <w:rFonts w:hint="eastAsia" w:ascii="宋体" w:hAnsi="宋体" w:cs="宋体"/>
          <w:szCs w:val="21"/>
        </w:rPr>
        <w:t>工程具备以下条件的，承包人可以申请竣工验收：</w:t>
      </w:r>
    </w:p>
    <w:p>
      <w:pPr>
        <w:spacing w:line="400" w:lineRule="exact"/>
        <w:ind w:firstLine="600"/>
        <w:rPr>
          <w:rFonts w:hint="eastAsia" w:ascii="宋体" w:hAnsi="宋体" w:cs="宋体"/>
          <w:szCs w:val="21"/>
        </w:rPr>
      </w:pPr>
      <w:r>
        <w:rPr>
          <w:rFonts w:hint="eastAsia" w:ascii="宋体" w:hAnsi="宋体" w:cs="宋体"/>
          <w:szCs w:val="21"/>
        </w:rPr>
        <w:t>（1） 除因第13条[变更与调整]导致的工程量删减和第14.5.3项[扫尾工作清单]列入缺陷责任期内完成的扫尾工程和缺陷修补工作外，合同范围内的全部单位/区段工程以及有关工作，包括合同要求的试验和竣工试验均已完成，并符合合同要求；</w:t>
      </w:r>
    </w:p>
    <w:p>
      <w:pPr>
        <w:spacing w:line="400" w:lineRule="exact"/>
        <w:ind w:firstLine="600"/>
        <w:rPr>
          <w:rFonts w:hint="eastAsia" w:ascii="宋体" w:hAnsi="宋体" w:cs="宋体"/>
          <w:szCs w:val="21"/>
        </w:rPr>
      </w:pPr>
      <w:r>
        <w:rPr>
          <w:rFonts w:hint="eastAsia" w:ascii="宋体" w:hAnsi="宋体" w:cs="宋体"/>
          <w:szCs w:val="21"/>
        </w:rPr>
        <w:t>（2） 已按合同约定编制了扫尾工作和缺陷修补工作清单以及相应实施计划；</w:t>
      </w:r>
    </w:p>
    <w:p>
      <w:pPr>
        <w:spacing w:line="400" w:lineRule="exact"/>
        <w:ind w:firstLine="600"/>
        <w:rPr>
          <w:rFonts w:hint="eastAsia" w:ascii="宋体" w:hAnsi="宋体" w:cs="宋体"/>
          <w:szCs w:val="21"/>
        </w:rPr>
      </w:pPr>
      <w:r>
        <w:rPr>
          <w:rFonts w:hint="eastAsia" w:ascii="宋体" w:hAnsi="宋体" w:cs="宋体"/>
          <w:szCs w:val="21"/>
        </w:rPr>
        <w:t>（3） 已按合同约定的内容和份数备齐竣工资料；</w:t>
      </w:r>
    </w:p>
    <w:p>
      <w:pPr>
        <w:spacing w:line="400" w:lineRule="exact"/>
        <w:ind w:firstLine="600"/>
        <w:rPr>
          <w:rFonts w:hint="eastAsia" w:ascii="宋体" w:hAnsi="宋体" w:cs="宋体"/>
          <w:szCs w:val="21"/>
        </w:rPr>
      </w:pPr>
      <w:r>
        <w:rPr>
          <w:rFonts w:hint="eastAsia" w:ascii="宋体" w:hAnsi="宋体" w:cs="宋体"/>
          <w:szCs w:val="21"/>
        </w:rPr>
        <w:t>（4） 合同约定要求在竣工验收前应完成的其他工作。</w:t>
      </w:r>
    </w:p>
    <w:bookmarkEnd w:id="1294"/>
    <w:p>
      <w:pPr>
        <w:pStyle w:val="686"/>
        <w:numPr>
          <w:ilvl w:val="0"/>
          <w:numId w:val="0"/>
        </w:numPr>
        <w:spacing w:line="400" w:lineRule="exact"/>
        <w:rPr>
          <w:rFonts w:hint="eastAsia" w:cs="宋体"/>
          <w:sz w:val="21"/>
        </w:rPr>
      </w:pPr>
      <w:bookmarkStart w:id="1295" w:name="_Ref4429424"/>
      <w:bookmarkStart w:id="1296" w:name="_Hlk51506601"/>
      <w:r>
        <w:rPr>
          <w:rFonts w:hint="eastAsia" w:cs="宋体"/>
          <w:sz w:val="21"/>
        </w:rPr>
        <w:t>10.1.2 竣工验收程序</w:t>
      </w:r>
      <w:bookmarkEnd w:id="1295"/>
    </w:p>
    <w:bookmarkEnd w:id="1296"/>
    <w:p>
      <w:pPr>
        <w:spacing w:line="400" w:lineRule="exact"/>
        <w:ind w:firstLine="600"/>
        <w:rPr>
          <w:rFonts w:hint="eastAsia" w:ascii="宋体" w:hAnsi="宋体" w:cs="宋体"/>
          <w:szCs w:val="21"/>
        </w:rPr>
      </w:pPr>
      <w:r>
        <w:rPr>
          <w:rFonts w:hint="eastAsia" w:ascii="宋体" w:hAnsi="宋体" w:cs="宋体"/>
          <w:szCs w:val="21"/>
        </w:rPr>
        <w:t>除专用合同条件另有约定外，承包人申请竣工验收的，应当按照以下程序进行：</w:t>
      </w:r>
    </w:p>
    <w:p>
      <w:pPr>
        <w:spacing w:line="400" w:lineRule="exact"/>
        <w:ind w:firstLine="600"/>
        <w:rPr>
          <w:rFonts w:hint="eastAsia" w:ascii="宋体" w:hAnsi="宋体" w:cs="宋体"/>
          <w:szCs w:val="21"/>
        </w:rPr>
      </w:pPr>
      <w:r>
        <w:rPr>
          <w:rFonts w:hint="eastAsia" w:ascii="宋体" w:hAnsi="宋体" w:cs="宋体"/>
          <w:szCs w:val="21"/>
        </w:rPr>
        <w:t>（1） 承包人向工程师报送竣工验收申请报告，工程师应在收到竣工验收申请报告后14天内完成审查并报送发包人。工程师审查后认为尚不具备竣工验收条件的，应在收到竣工验收申请报告后的14天内通知承包人，指出在颁发接收证书前承包人还需进行的工作内容。承包人完成工程师通知的全部工作内容后，应再次提交竣工验收申请报告，直至工程师同意为止。</w:t>
      </w:r>
    </w:p>
    <w:p>
      <w:pPr>
        <w:spacing w:line="400" w:lineRule="exact"/>
        <w:ind w:firstLine="600"/>
        <w:rPr>
          <w:rFonts w:hint="eastAsia" w:ascii="宋体" w:hAnsi="宋体" w:cs="宋体"/>
          <w:szCs w:val="21"/>
        </w:rPr>
      </w:pPr>
      <w:r>
        <w:rPr>
          <w:rFonts w:hint="eastAsia" w:ascii="宋体" w:hAnsi="宋体" w:cs="宋体"/>
          <w:szCs w:val="21"/>
        </w:rPr>
        <w:t>（2） 工程师同意承包人提交的竣工验收申请报告的，或工程师收到竣工验收申请报告后14天内不予答复的，视为发包人收到并同意承包人的竣工验收申请，发包人应在收到该竣工验收申请报告后的28天内进行竣工验收。工程经竣工验收合格的，以竣工验收合格之日为实际竣工日期，并在工程接收证书中载明；完成竣工验收但发包人不予签发工程接收证书的，视为竣工验收合格，以完成竣工验收之日为实际竣工日期。</w:t>
      </w:r>
    </w:p>
    <w:p>
      <w:pPr>
        <w:spacing w:line="400" w:lineRule="exact"/>
        <w:ind w:firstLine="600"/>
        <w:rPr>
          <w:rFonts w:hint="eastAsia" w:ascii="宋体" w:hAnsi="宋体" w:cs="宋体"/>
          <w:szCs w:val="21"/>
        </w:rPr>
      </w:pPr>
      <w:r>
        <w:rPr>
          <w:rFonts w:hint="eastAsia" w:ascii="宋体" w:hAnsi="宋体" w:cs="宋体"/>
          <w:szCs w:val="21"/>
        </w:rPr>
        <w:t>（3） 竣工验收不合格的，工程师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400" w:lineRule="exact"/>
        <w:ind w:firstLine="600"/>
        <w:rPr>
          <w:rFonts w:hint="eastAsia" w:ascii="宋体" w:hAnsi="宋体" w:cs="宋体"/>
          <w:szCs w:val="21"/>
        </w:rPr>
      </w:pPr>
      <w:bookmarkStart w:id="1297" w:name="_Hlk51506640"/>
      <w:r>
        <w:rPr>
          <w:rFonts w:hint="eastAsia" w:ascii="宋体" w:hAnsi="宋体" w:cs="宋体"/>
          <w:szCs w:val="21"/>
        </w:rPr>
        <w:t>（4） 因发包人原因，未在工程师收到承包人竣工验收申请报告之日起42天内完成竣工验收的，以承包人提交竣工验收申请报告之日作为工程实际竣工日期。</w:t>
      </w:r>
    </w:p>
    <w:bookmarkEnd w:id="1297"/>
    <w:p>
      <w:pPr>
        <w:spacing w:line="400" w:lineRule="exact"/>
        <w:ind w:firstLine="600"/>
        <w:rPr>
          <w:rFonts w:hint="eastAsia" w:ascii="宋体" w:hAnsi="宋体" w:cs="宋体"/>
          <w:szCs w:val="21"/>
        </w:rPr>
      </w:pPr>
      <w:r>
        <w:rPr>
          <w:rFonts w:hint="eastAsia" w:ascii="宋体" w:hAnsi="宋体" w:cs="宋体"/>
          <w:szCs w:val="21"/>
        </w:rPr>
        <w:t>（5） 工程未经竣工验收，发包人擅自使用的，以转移占有工程之日为实际竣工日期。</w:t>
      </w:r>
    </w:p>
    <w:p>
      <w:pPr>
        <w:spacing w:line="400" w:lineRule="exact"/>
        <w:ind w:firstLine="600"/>
        <w:rPr>
          <w:rFonts w:hint="eastAsia" w:ascii="宋体" w:hAnsi="宋体" w:cs="宋体"/>
          <w:szCs w:val="21"/>
        </w:rPr>
      </w:pPr>
      <w:r>
        <w:rPr>
          <w:rFonts w:hint="eastAsia" w:ascii="宋体" w:hAnsi="宋体" w:cs="宋体"/>
          <w:szCs w:val="21"/>
        </w:rPr>
        <w:t>除专用合同条件另有约定外，发包人不按照本项和第10.4款[接收证书]约定组织竣工验收、颁发工程接收证书的，每逾期一天，应以签约合同价为基数，按照贷款市场报价利率（LPR）支付违约金。</w:t>
      </w:r>
    </w:p>
    <w:p>
      <w:pPr>
        <w:pStyle w:val="685"/>
        <w:widowControl/>
        <w:numPr>
          <w:ilvl w:val="0"/>
          <w:numId w:val="0"/>
        </w:numPr>
        <w:spacing w:line="400" w:lineRule="exact"/>
        <w:rPr>
          <w:rFonts w:hint="eastAsia" w:ascii="宋体" w:hAnsi="宋体" w:eastAsia="宋体" w:cs="宋体"/>
          <w:b w:val="0"/>
          <w:bCs/>
          <w:sz w:val="21"/>
          <w:szCs w:val="21"/>
        </w:rPr>
      </w:pPr>
      <w:bookmarkStart w:id="1298" w:name="_Ref532301213"/>
      <w:bookmarkStart w:id="1299" w:name="_Toc59203164"/>
      <w:bookmarkStart w:id="1300" w:name="_Ref532301210"/>
      <w:bookmarkStart w:id="1301" w:name="_Toc54862265"/>
      <w:r>
        <w:rPr>
          <w:rFonts w:hint="eastAsia" w:ascii="宋体" w:hAnsi="宋体" w:eastAsia="宋体" w:cs="宋体"/>
          <w:b w:val="0"/>
          <w:bCs/>
          <w:sz w:val="21"/>
          <w:szCs w:val="21"/>
        </w:rPr>
        <w:t>10.2 单位/区段工程的验收</w:t>
      </w:r>
      <w:bookmarkEnd w:id="1298"/>
      <w:bookmarkEnd w:id="1299"/>
      <w:bookmarkEnd w:id="1300"/>
      <w:bookmarkEnd w:id="1301"/>
    </w:p>
    <w:p>
      <w:pPr>
        <w:pStyle w:val="686"/>
        <w:numPr>
          <w:ilvl w:val="0"/>
          <w:numId w:val="0"/>
        </w:numPr>
        <w:spacing w:line="400" w:lineRule="exact"/>
        <w:rPr>
          <w:rFonts w:hint="eastAsia" w:cs="宋体"/>
          <w:sz w:val="21"/>
        </w:rPr>
      </w:pPr>
      <w:r>
        <w:rPr>
          <w:rFonts w:hint="eastAsia" w:cs="宋体"/>
          <w:sz w:val="21"/>
        </w:rPr>
        <w:t>10.2.1 发包人根据项目进度计划安排，在全部工程竣工前需要使用已经竣工的单位/区段工程时，或承包人提出经发包人同意时，可进行单位/区段工程验收。验收的程序可参照第10.1款[竣工验收]的约定进行。验收合格后，由工程师向承包人出具经发包人签认的单位/区段工程验收证书。单位/区段工程的验收成果和结论作为全部工程竣工验收申请报告的附件。</w:t>
      </w:r>
    </w:p>
    <w:p>
      <w:pPr>
        <w:pStyle w:val="686"/>
        <w:numPr>
          <w:ilvl w:val="0"/>
          <w:numId w:val="0"/>
        </w:numPr>
        <w:spacing w:line="400" w:lineRule="exact"/>
        <w:rPr>
          <w:rFonts w:hint="eastAsia" w:cs="宋体"/>
          <w:sz w:val="21"/>
        </w:rPr>
      </w:pPr>
      <w:r>
        <w:rPr>
          <w:rFonts w:hint="eastAsia" w:cs="宋体"/>
          <w:sz w:val="21"/>
        </w:rPr>
        <w:t>10.2.2 发包人在全部工程竣工前，使用已接收的单位/区段工程导致承包人费用增加的，发包人应承担由此增加的费用和（或）工期延误，并支付承包人合理利润。</w:t>
      </w:r>
    </w:p>
    <w:p>
      <w:pPr>
        <w:pStyle w:val="685"/>
        <w:widowControl/>
        <w:numPr>
          <w:ilvl w:val="0"/>
          <w:numId w:val="0"/>
        </w:numPr>
        <w:spacing w:line="400" w:lineRule="exact"/>
        <w:rPr>
          <w:rFonts w:hint="eastAsia" w:ascii="宋体" w:hAnsi="宋体" w:eastAsia="宋体" w:cs="宋体"/>
          <w:b w:val="0"/>
          <w:bCs/>
          <w:sz w:val="21"/>
          <w:szCs w:val="21"/>
        </w:rPr>
      </w:pPr>
      <w:bookmarkStart w:id="1302" w:name="_Toc54862266"/>
      <w:bookmarkStart w:id="1303" w:name="_Toc59203165"/>
      <w:bookmarkStart w:id="1304" w:name="_Ref4429473"/>
      <w:bookmarkStart w:id="1305" w:name="_Ref532688354"/>
      <w:bookmarkStart w:id="1306" w:name="_Ref532688351"/>
      <w:r>
        <w:rPr>
          <w:rFonts w:hint="eastAsia" w:ascii="宋体" w:hAnsi="宋体" w:eastAsia="宋体" w:cs="宋体"/>
          <w:b w:val="0"/>
          <w:bCs/>
          <w:sz w:val="21"/>
          <w:szCs w:val="21"/>
        </w:rPr>
        <w:t>10.3 工程的接收</w:t>
      </w:r>
      <w:bookmarkEnd w:id="1302"/>
      <w:bookmarkEnd w:id="1303"/>
    </w:p>
    <w:p>
      <w:pPr>
        <w:pStyle w:val="686"/>
        <w:numPr>
          <w:ilvl w:val="0"/>
          <w:numId w:val="0"/>
        </w:numPr>
        <w:spacing w:line="400" w:lineRule="exact"/>
        <w:rPr>
          <w:rFonts w:hint="eastAsia" w:cs="宋体"/>
          <w:sz w:val="21"/>
        </w:rPr>
      </w:pPr>
      <w:r>
        <w:rPr>
          <w:rFonts w:hint="eastAsia" w:cs="宋体"/>
          <w:sz w:val="21"/>
        </w:rPr>
        <w:t>10.3.1 根据工程项目的具体情况和特点，可按工程或单位/区段工程进行接收，并在专用合同条件约定接收的先后顺序、时间安排和其他要求。</w:t>
      </w:r>
    </w:p>
    <w:p>
      <w:pPr>
        <w:pStyle w:val="686"/>
        <w:numPr>
          <w:ilvl w:val="0"/>
          <w:numId w:val="0"/>
        </w:numPr>
        <w:spacing w:line="400" w:lineRule="exact"/>
        <w:rPr>
          <w:rFonts w:hint="eastAsia" w:cs="宋体"/>
          <w:sz w:val="21"/>
        </w:rPr>
      </w:pPr>
      <w:r>
        <w:rPr>
          <w:rFonts w:hint="eastAsia" w:cs="宋体"/>
          <w:sz w:val="21"/>
        </w:rPr>
        <w:t>10.3.2 除按本条约定已经提交的资料外，接收工程时承包人需提交竣工验收资料的类别、内容、份数和提交时间，在专用合同条件中约定。</w:t>
      </w:r>
    </w:p>
    <w:p>
      <w:pPr>
        <w:pStyle w:val="686"/>
        <w:numPr>
          <w:ilvl w:val="0"/>
          <w:numId w:val="0"/>
        </w:numPr>
        <w:spacing w:line="400" w:lineRule="exact"/>
        <w:rPr>
          <w:rFonts w:hint="eastAsia" w:cs="宋体"/>
          <w:sz w:val="21"/>
        </w:rPr>
      </w:pPr>
      <w:r>
        <w:rPr>
          <w:rFonts w:hint="eastAsia" w:cs="宋体"/>
          <w:sz w:val="21"/>
        </w:rPr>
        <w:t>10.3.3 发包人无正当理由不接收工程的，发包人自应当接收工程之日起，承担工程照管、成品保护、保管等与工程有关的各项费用，合同当事人可以在专用合同条件中另行约定发包人逾期接收工程的违约责任。</w:t>
      </w:r>
    </w:p>
    <w:p>
      <w:pPr>
        <w:pStyle w:val="686"/>
        <w:numPr>
          <w:ilvl w:val="0"/>
          <w:numId w:val="0"/>
        </w:numPr>
        <w:spacing w:line="400" w:lineRule="exact"/>
        <w:rPr>
          <w:rFonts w:hint="eastAsia" w:cs="宋体"/>
          <w:sz w:val="21"/>
        </w:rPr>
      </w:pPr>
      <w:r>
        <w:rPr>
          <w:rFonts w:hint="eastAsia" w:cs="宋体"/>
          <w:sz w:val="21"/>
        </w:rPr>
        <w:t>10.3.4 承包人无正当理由不移交工程的，承包人应承担工程照管、成品保护、保管等与工程有关的各项费用，合同当事人可以在专用合同条件中另行约定承包人无正当理由不移交工程的违约责任。</w:t>
      </w:r>
    </w:p>
    <w:p>
      <w:pPr>
        <w:pStyle w:val="685"/>
        <w:widowControl/>
        <w:numPr>
          <w:ilvl w:val="0"/>
          <w:numId w:val="0"/>
        </w:numPr>
        <w:spacing w:line="400" w:lineRule="exact"/>
        <w:rPr>
          <w:rFonts w:hint="eastAsia" w:ascii="宋体" w:hAnsi="宋体" w:eastAsia="宋体" w:cs="宋体"/>
          <w:b w:val="0"/>
          <w:bCs/>
          <w:sz w:val="21"/>
          <w:szCs w:val="21"/>
        </w:rPr>
      </w:pPr>
      <w:bookmarkStart w:id="1307" w:name="_Toc54862267"/>
      <w:bookmarkStart w:id="1308" w:name="_Toc59203166"/>
      <w:r>
        <w:rPr>
          <w:rFonts w:hint="eastAsia" w:ascii="宋体" w:hAnsi="宋体" w:eastAsia="宋体" w:cs="宋体"/>
          <w:b w:val="0"/>
          <w:bCs/>
          <w:sz w:val="21"/>
          <w:szCs w:val="21"/>
        </w:rPr>
        <w:t>10.4 接收证书</w:t>
      </w:r>
      <w:bookmarkEnd w:id="1304"/>
      <w:bookmarkEnd w:id="1307"/>
      <w:bookmarkEnd w:id="1308"/>
    </w:p>
    <w:p>
      <w:pPr>
        <w:pStyle w:val="686"/>
        <w:numPr>
          <w:ilvl w:val="0"/>
          <w:numId w:val="0"/>
        </w:numPr>
        <w:spacing w:line="400" w:lineRule="exact"/>
        <w:rPr>
          <w:rFonts w:hint="eastAsia" w:cs="宋体"/>
          <w:sz w:val="21"/>
        </w:rPr>
      </w:pPr>
      <w:bookmarkStart w:id="1309" w:name="_Ref4429542"/>
      <w:r>
        <w:rPr>
          <w:rFonts w:hint="eastAsia" w:cs="宋体"/>
          <w:sz w:val="21"/>
        </w:rPr>
        <w:t>10.4.1 除专用合同条件另有约定外，承包人应在竣工验收合格后向发包人提交第14.6款[质量保证金]约定的质量保证金，发包人应在竣工验收合格且工程具备接收条件后的14天内向承包人颁发工程接收证书，但承包人未提交质量保证金的，发包人有权拒绝颁发。发包人拒绝颁发工程接收证书的，应向承包人发出通知，说明理由并指出在颁发接收证书前承包人需要做的工作，需要修补的缺陷和承包人需要提供的文件。</w:t>
      </w:r>
      <w:bookmarkEnd w:id="1309"/>
    </w:p>
    <w:p>
      <w:pPr>
        <w:pStyle w:val="686"/>
        <w:numPr>
          <w:ilvl w:val="0"/>
          <w:numId w:val="0"/>
        </w:numPr>
        <w:spacing w:line="400" w:lineRule="exact"/>
        <w:rPr>
          <w:rFonts w:hint="eastAsia" w:cs="宋体"/>
          <w:sz w:val="21"/>
        </w:rPr>
      </w:pPr>
      <w:r>
        <w:rPr>
          <w:rFonts w:hint="eastAsia" w:cs="宋体"/>
          <w:sz w:val="21"/>
        </w:rPr>
        <w:t>10.4.2 发包人向承包人颁发的接收证书，应注明工程或单位/区段工程经验收合格的实际竣工日期，并列明不在接收范围内的，在收尾工作和缺陷修补完成之前对工程或单位/区段工程预期使用目的没有实质影响的少量收尾工作和缺陷。</w:t>
      </w:r>
    </w:p>
    <w:p>
      <w:pPr>
        <w:pStyle w:val="686"/>
        <w:numPr>
          <w:ilvl w:val="0"/>
          <w:numId w:val="0"/>
        </w:numPr>
        <w:spacing w:line="400" w:lineRule="exact"/>
        <w:rPr>
          <w:rFonts w:hint="eastAsia" w:cs="宋体"/>
          <w:sz w:val="21"/>
        </w:rPr>
      </w:pPr>
      <w:r>
        <w:rPr>
          <w:rFonts w:hint="eastAsia" w:cs="宋体"/>
          <w:sz w:val="21"/>
        </w:rPr>
        <w:t>10.4.3 竣工验收合格而发包人无正当理由逾期不颁发工程接收证书的，自验收合格后第15天起视为已颁发工程接收证书。</w:t>
      </w:r>
    </w:p>
    <w:p>
      <w:pPr>
        <w:pStyle w:val="686"/>
        <w:numPr>
          <w:ilvl w:val="0"/>
          <w:numId w:val="0"/>
        </w:numPr>
        <w:spacing w:line="400" w:lineRule="exact"/>
        <w:rPr>
          <w:rFonts w:hint="eastAsia" w:cs="宋体"/>
          <w:sz w:val="21"/>
        </w:rPr>
      </w:pPr>
      <w:r>
        <w:rPr>
          <w:rFonts w:hint="eastAsia" w:cs="宋体"/>
          <w:sz w:val="21"/>
        </w:rPr>
        <w:t>10.4.4 工程未经验收或验收不合格，发包人擅自使用的，应在转移占有工程后7天内向承包人颁发工程接收证书；发包人无正当理由逾期不颁发工程接收证书的，自转移占有后第15天起视为已颁发工程接收证书。</w:t>
      </w:r>
    </w:p>
    <w:p>
      <w:pPr>
        <w:pStyle w:val="686"/>
        <w:numPr>
          <w:ilvl w:val="0"/>
          <w:numId w:val="0"/>
        </w:numPr>
        <w:spacing w:line="400" w:lineRule="exact"/>
        <w:rPr>
          <w:rFonts w:hint="eastAsia" w:cs="宋体"/>
          <w:sz w:val="21"/>
        </w:rPr>
      </w:pPr>
      <w:r>
        <w:rPr>
          <w:rFonts w:hint="eastAsia" w:cs="宋体"/>
          <w:sz w:val="21"/>
        </w:rPr>
        <w:t>10.4.5 存在扫尾工作的，工程接收证书中应当将第14.5.3项[扫尾工作清单]中约定的扫尾工作清单作为工程接收证书附件。</w:t>
      </w:r>
    </w:p>
    <w:bookmarkEnd w:id="1305"/>
    <w:bookmarkEnd w:id="1306"/>
    <w:p>
      <w:pPr>
        <w:pStyle w:val="685"/>
        <w:widowControl/>
        <w:numPr>
          <w:ilvl w:val="0"/>
          <w:numId w:val="0"/>
        </w:numPr>
        <w:spacing w:line="400" w:lineRule="exact"/>
        <w:rPr>
          <w:rFonts w:hint="eastAsia" w:ascii="宋体" w:hAnsi="宋体" w:eastAsia="宋体" w:cs="宋体"/>
          <w:b w:val="0"/>
          <w:bCs/>
          <w:sz w:val="21"/>
          <w:szCs w:val="21"/>
        </w:rPr>
      </w:pPr>
      <w:bookmarkStart w:id="1310" w:name="_Toc54862268"/>
      <w:bookmarkStart w:id="1311" w:name="_Toc59203167"/>
      <w:bookmarkStart w:id="1312" w:name="_Ref4429935"/>
      <w:bookmarkStart w:id="1313" w:name="_Ref4429932"/>
      <w:r>
        <w:rPr>
          <w:rFonts w:hint="eastAsia" w:ascii="宋体" w:hAnsi="宋体" w:eastAsia="宋体" w:cs="宋体"/>
          <w:b w:val="0"/>
          <w:bCs/>
          <w:sz w:val="21"/>
          <w:szCs w:val="21"/>
        </w:rPr>
        <w:t>10.5 竣工退场</w:t>
      </w:r>
      <w:bookmarkEnd w:id="1310"/>
      <w:bookmarkEnd w:id="1311"/>
      <w:bookmarkEnd w:id="1312"/>
      <w:bookmarkEnd w:id="1313"/>
    </w:p>
    <w:p>
      <w:pPr>
        <w:pStyle w:val="686"/>
        <w:numPr>
          <w:ilvl w:val="0"/>
          <w:numId w:val="0"/>
        </w:numPr>
        <w:spacing w:line="400" w:lineRule="exact"/>
        <w:rPr>
          <w:rFonts w:hint="eastAsia" w:cs="宋体"/>
          <w:sz w:val="21"/>
        </w:rPr>
      </w:pPr>
      <w:bookmarkStart w:id="1314" w:name="_Ref4429943"/>
      <w:r>
        <w:rPr>
          <w:rFonts w:hint="eastAsia" w:cs="宋体"/>
          <w:sz w:val="21"/>
        </w:rPr>
        <w:t>10.5.1 竣工退场</w:t>
      </w:r>
      <w:bookmarkEnd w:id="1314"/>
    </w:p>
    <w:p>
      <w:pPr>
        <w:spacing w:line="400" w:lineRule="exact"/>
        <w:ind w:firstLine="600"/>
        <w:rPr>
          <w:rFonts w:hint="eastAsia" w:ascii="宋体" w:hAnsi="宋体" w:cs="宋体"/>
          <w:szCs w:val="21"/>
        </w:rPr>
      </w:pPr>
      <w:r>
        <w:rPr>
          <w:rFonts w:hint="eastAsia" w:ascii="宋体" w:hAnsi="宋体" w:cs="宋体"/>
          <w:szCs w:val="21"/>
        </w:rPr>
        <w:t>颁发工程接收证书后，承包人应对施工现场进行清理，并撤离相关人员，使得施工现场处于以下状态，直至工程师检验合格为止：</w:t>
      </w:r>
    </w:p>
    <w:p>
      <w:pPr>
        <w:spacing w:line="400" w:lineRule="exact"/>
        <w:ind w:firstLine="600"/>
        <w:rPr>
          <w:rFonts w:hint="eastAsia" w:ascii="宋体" w:hAnsi="宋体" w:cs="宋体"/>
          <w:szCs w:val="21"/>
        </w:rPr>
      </w:pPr>
      <w:r>
        <w:rPr>
          <w:rFonts w:hint="eastAsia" w:ascii="宋体" w:hAnsi="宋体" w:cs="宋体"/>
          <w:szCs w:val="21"/>
        </w:rPr>
        <w:t>（1） 施工现场内残留的垃圾已全部清除出场；</w:t>
      </w:r>
    </w:p>
    <w:p>
      <w:pPr>
        <w:spacing w:line="400" w:lineRule="exact"/>
        <w:ind w:firstLine="600"/>
        <w:rPr>
          <w:rFonts w:hint="eastAsia" w:ascii="宋体" w:hAnsi="宋体" w:cs="宋体"/>
          <w:szCs w:val="21"/>
        </w:rPr>
      </w:pPr>
      <w:r>
        <w:rPr>
          <w:rFonts w:hint="eastAsia" w:ascii="宋体" w:hAnsi="宋体" w:cs="宋体"/>
          <w:szCs w:val="21"/>
        </w:rPr>
        <w:t>（2） 临时工程已拆除，场地已按合同约定进行清理、平整或复原；</w:t>
      </w:r>
    </w:p>
    <w:p>
      <w:pPr>
        <w:spacing w:line="400" w:lineRule="exact"/>
        <w:ind w:firstLine="600"/>
        <w:rPr>
          <w:rFonts w:hint="eastAsia" w:ascii="宋体" w:hAnsi="宋体" w:cs="宋体"/>
          <w:szCs w:val="21"/>
        </w:rPr>
      </w:pPr>
      <w:r>
        <w:rPr>
          <w:rFonts w:hint="eastAsia" w:ascii="宋体" w:hAnsi="宋体" w:cs="宋体"/>
          <w:szCs w:val="21"/>
        </w:rPr>
        <w:t>（3） 按合同约定应撤离的人员、承包人提供的施工设备和剩余的材料，包括废弃的施工设备和材料，已按计划撤离施工现场；</w:t>
      </w:r>
    </w:p>
    <w:p>
      <w:pPr>
        <w:spacing w:line="400" w:lineRule="exact"/>
        <w:ind w:firstLine="600"/>
        <w:rPr>
          <w:rFonts w:hint="eastAsia" w:ascii="宋体" w:hAnsi="宋体" w:cs="宋体"/>
          <w:szCs w:val="21"/>
        </w:rPr>
      </w:pPr>
      <w:r>
        <w:rPr>
          <w:rFonts w:hint="eastAsia" w:ascii="宋体" w:hAnsi="宋体" w:cs="宋体"/>
          <w:szCs w:val="21"/>
        </w:rPr>
        <w:t>（4） 施工现场周边及其附近道路、河道的施工堆积物，已全部清理；</w:t>
      </w:r>
    </w:p>
    <w:p>
      <w:pPr>
        <w:spacing w:line="400" w:lineRule="exact"/>
        <w:ind w:firstLine="600"/>
        <w:rPr>
          <w:rFonts w:hint="eastAsia" w:ascii="宋体" w:hAnsi="宋体" w:cs="宋体"/>
          <w:szCs w:val="21"/>
        </w:rPr>
      </w:pPr>
      <w:r>
        <w:rPr>
          <w:rFonts w:hint="eastAsia" w:ascii="宋体" w:hAnsi="宋体" w:cs="宋体"/>
          <w:szCs w:val="21"/>
        </w:rPr>
        <w:t>（5） 施工现场其他竣工退场工作已全部完成。</w:t>
      </w:r>
    </w:p>
    <w:p>
      <w:pPr>
        <w:spacing w:line="400" w:lineRule="exact"/>
        <w:ind w:firstLine="600"/>
        <w:rPr>
          <w:rFonts w:hint="eastAsia" w:ascii="宋体" w:hAnsi="宋体" w:cs="宋体"/>
          <w:szCs w:val="21"/>
        </w:rPr>
      </w:pPr>
      <w:r>
        <w:rPr>
          <w:rFonts w:hint="eastAsia" w:ascii="宋体" w:hAnsi="宋体" w:cs="宋体"/>
          <w:szCs w:val="21"/>
        </w:rPr>
        <w:t>施工现场的竣工退场费用由承包人承担。承包人应在专用合同条件约定的期限内完成竣工退场，逾期未完成的，发包人有权出售或另行处理承包人遗留的物品，由此支出的费用由承包人承担，发包人出售承包人遗留物品所得款项在扣除必要费用后应返还承包人。</w:t>
      </w:r>
    </w:p>
    <w:p>
      <w:pPr>
        <w:pStyle w:val="686"/>
        <w:numPr>
          <w:ilvl w:val="0"/>
          <w:numId w:val="0"/>
        </w:numPr>
        <w:spacing w:line="400" w:lineRule="exact"/>
        <w:rPr>
          <w:rFonts w:hint="eastAsia" w:cs="宋体"/>
          <w:sz w:val="21"/>
        </w:rPr>
      </w:pPr>
      <w:r>
        <w:rPr>
          <w:rFonts w:hint="eastAsia" w:cs="宋体"/>
          <w:sz w:val="21"/>
        </w:rPr>
        <w:t>10.5.2 地表还原</w:t>
      </w:r>
    </w:p>
    <w:p>
      <w:pPr>
        <w:spacing w:line="400" w:lineRule="exact"/>
        <w:ind w:firstLine="600"/>
        <w:rPr>
          <w:rFonts w:hint="eastAsia" w:ascii="宋体" w:hAnsi="宋体" w:cs="宋体"/>
          <w:szCs w:val="21"/>
        </w:rPr>
      </w:pPr>
      <w:r>
        <w:rPr>
          <w:rFonts w:hint="eastAsia" w:ascii="宋体" w:hAnsi="宋体" w:cs="宋体"/>
          <w:szCs w:val="21"/>
        </w:rPr>
        <w:t>承包人应按合同约定和工程师的要求恢复临时占地及清理场地，否则发包人有权委托其他人恢复或清理，所发生的费用由承包人承担。</w:t>
      </w:r>
    </w:p>
    <w:p>
      <w:pPr>
        <w:pStyle w:val="686"/>
        <w:numPr>
          <w:ilvl w:val="0"/>
          <w:numId w:val="0"/>
        </w:numPr>
        <w:spacing w:line="400" w:lineRule="exact"/>
        <w:rPr>
          <w:rFonts w:hint="eastAsia" w:cs="宋体"/>
          <w:sz w:val="21"/>
        </w:rPr>
      </w:pPr>
      <w:bookmarkStart w:id="1315" w:name="_Ref20159437"/>
      <w:r>
        <w:rPr>
          <w:rFonts w:hint="eastAsia" w:cs="宋体"/>
          <w:sz w:val="21"/>
        </w:rPr>
        <w:t>10.5.3 人员撤离</w:t>
      </w:r>
      <w:bookmarkEnd w:id="1315"/>
    </w:p>
    <w:p>
      <w:pPr>
        <w:spacing w:line="400" w:lineRule="exact"/>
        <w:ind w:firstLine="600"/>
        <w:rPr>
          <w:rFonts w:hint="eastAsia" w:ascii="宋体" w:hAnsi="宋体" w:cs="宋体"/>
          <w:szCs w:val="21"/>
        </w:rPr>
      </w:pPr>
      <w:r>
        <w:rPr>
          <w:rFonts w:hint="eastAsia" w:ascii="宋体" w:hAnsi="宋体" w:cs="宋体"/>
          <w:szCs w:val="21"/>
        </w:rPr>
        <w:t>除了经工程师同意需在缺陷责任期内继续工作和使用的人员、施工设备和临时工程外，承包人应按专用合同条件约定和工程师的要求将其余的人员、施工设备和临时工程撤离施工现场或拆除。除专用合同条件另有约定外，缺陷责任期满时，承包人的人员和施工设备应全部撤离施工现场。</w:t>
      </w:r>
      <w:bookmarkEnd w:id="1200"/>
    </w:p>
    <w:p>
      <w:pPr>
        <w:pStyle w:val="684"/>
        <w:numPr>
          <w:ilvl w:val="0"/>
          <w:numId w:val="0"/>
        </w:numPr>
        <w:spacing w:line="400" w:lineRule="exact"/>
        <w:rPr>
          <w:rFonts w:hint="eastAsia" w:ascii="宋体" w:hAnsi="宋体" w:eastAsia="宋体" w:cs="宋体"/>
          <w:b w:val="0"/>
          <w:szCs w:val="21"/>
        </w:rPr>
      </w:pPr>
      <w:bookmarkStart w:id="1316" w:name="_Ref4796909"/>
      <w:bookmarkStart w:id="1317" w:name="_Toc54862269"/>
      <w:bookmarkStart w:id="1318" w:name="_Toc59203168"/>
      <w:bookmarkStart w:id="1319" w:name="_Ref4796906"/>
      <w:bookmarkStart w:id="1320" w:name="_Ref531955009"/>
      <w:r>
        <w:rPr>
          <w:rFonts w:hint="eastAsia" w:ascii="宋体" w:hAnsi="宋体" w:eastAsia="宋体" w:cs="宋体"/>
          <w:b w:val="0"/>
          <w:szCs w:val="21"/>
        </w:rPr>
        <w:t>第11条 缺陷责任与保修</w:t>
      </w:r>
      <w:bookmarkEnd w:id="1316"/>
      <w:bookmarkEnd w:id="1317"/>
      <w:bookmarkEnd w:id="1318"/>
      <w:bookmarkEnd w:id="1319"/>
      <w:bookmarkEnd w:id="1320"/>
      <w:r>
        <w:rPr>
          <w:rFonts w:hint="eastAsia" w:ascii="宋体" w:hAnsi="宋体" w:eastAsia="宋体" w:cs="宋体"/>
          <w:b w:val="0"/>
          <w:szCs w:val="21"/>
        </w:rPr>
        <w:t xml:space="preserve"> </w:t>
      </w:r>
    </w:p>
    <w:p>
      <w:pPr>
        <w:pStyle w:val="685"/>
        <w:widowControl/>
        <w:numPr>
          <w:ilvl w:val="0"/>
          <w:numId w:val="0"/>
        </w:numPr>
        <w:spacing w:line="400" w:lineRule="exact"/>
        <w:rPr>
          <w:rFonts w:hint="eastAsia" w:ascii="宋体" w:hAnsi="宋体" w:eastAsia="宋体" w:cs="宋体"/>
          <w:b w:val="0"/>
          <w:bCs/>
          <w:sz w:val="21"/>
          <w:szCs w:val="21"/>
        </w:rPr>
      </w:pPr>
      <w:bookmarkStart w:id="1321" w:name="_Toc54862270"/>
      <w:bookmarkStart w:id="1322" w:name="_Toc59203169"/>
      <w:bookmarkStart w:id="1323" w:name="_Ref531955245"/>
      <w:bookmarkStart w:id="1324" w:name="_Ref531955248"/>
      <w:bookmarkStart w:id="1325" w:name="_Ref532362928"/>
      <w:bookmarkStart w:id="1326" w:name="_Toc337558841"/>
      <w:bookmarkStart w:id="1327" w:name="_Toc296346648"/>
      <w:bookmarkStart w:id="1328" w:name="_Toc296503147"/>
      <w:r>
        <w:rPr>
          <w:rFonts w:hint="eastAsia" w:ascii="宋体" w:hAnsi="宋体" w:eastAsia="宋体" w:cs="宋体"/>
          <w:b w:val="0"/>
          <w:bCs/>
          <w:sz w:val="21"/>
          <w:szCs w:val="21"/>
        </w:rPr>
        <w:t>11.1 工程保修的原则</w:t>
      </w:r>
      <w:bookmarkEnd w:id="1321"/>
      <w:bookmarkEnd w:id="1322"/>
    </w:p>
    <w:p>
      <w:pPr>
        <w:spacing w:line="400" w:lineRule="exact"/>
        <w:ind w:firstLine="600"/>
        <w:rPr>
          <w:rFonts w:hint="eastAsia" w:ascii="宋体" w:hAnsi="宋体" w:cs="宋体"/>
          <w:szCs w:val="21"/>
        </w:rPr>
      </w:pPr>
      <w:r>
        <w:rPr>
          <w:rFonts w:hint="eastAsia" w:ascii="宋体" w:hAnsi="宋体" w:cs="宋体"/>
          <w:szCs w:val="21"/>
        </w:rPr>
        <w:t>在工程移交发包人后，因承包人原因产生的质量缺陷，承包人应承担质量缺陷责任和保修义务。缺陷责任期届满，承包人仍应按合同约定的工程各部位保修年限承担保修义务。</w:t>
      </w:r>
    </w:p>
    <w:p>
      <w:pPr>
        <w:pStyle w:val="685"/>
        <w:widowControl/>
        <w:numPr>
          <w:ilvl w:val="0"/>
          <w:numId w:val="0"/>
        </w:numPr>
        <w:spacing w:line="400" w:lineRule="exact"/>
        <w:rPr>
          <w:rFonts w:hint="eastAsia" w:ascii="宋体" w:hAnsi="宋体" w:eastAsia="宋体" w:cs="宋体"/>
          <w:b w:val="0"/>
          <w:bCs/>
          <w:sz w:val="21"/>
          <w:szCs w:val="21"/>
        </w:rPr>
      </w:pPr>
      <w:bookmarkStart w:id="1329" w:name="_Toc54862271"/>
      <w:bookmarkStart w:id="1330" w:name="_Ref4430062"/>
      <w:bookmarkStart w:id="1331" w:name="_Toc59203170"/>
      <w:r>
        <w:rPr>
          <w:rFonts w:hint="eastAsia" w:ascii="宋体" w:hAnsi="宋体" w:eastAsia="宋体" w:cs="宋体"/>
          <w:b w:val="0"/>
          <w:bCs/>
          <w:sz w:val="21"/>
          <w:szCs w:val="21"/>
        </w:rPr>
        <w:t>11.2 缺陷责任</w:t>
      </w:r>
      <w:bookmarkEnd w:id="1323"/>
      <w:bookmarkEnd w:id="1324"/>
      <w:r>
        <w:rPr>
          <w:rFonts w:hint="eastAsia" w:ascii="宋体" w:hAnsi="宋体" w:eastAsia="宋体" w:cs="宋体"/>
          <w:b w:val="0"/>
          <w:bCs/>
          <w:sz w:val="21"/>
          <w:szCs w:val="21"/>
        </w:rPr>
        <w:t>期</w:t>
      </w:r>
      <w:bookmarkEnd w:id="1325"/>
      <w:bookmarkEnd w:id="1329"/>
      <w:bookmarkEnd w:id="1330"/>
      <w:bookmarkEnd w:id="1331"/>
      <w:r>
        <w:rPr>
          <w:rFonts w:hint="eastAsia" w:ascii="宋体" w:hAnsi="宋体" w:eastAsia="宋体" w:cs="宋体"/>
          <w:b w:val="0"/>
          <w:bCs/>
          <w:sz w:val="21"/>
          <w:szCs w:val="21"/>
        </w:rPr>
        <w:t xml:space="preserve"> </w:t>
      </w:r>
    </w:p>
    <w:p>
      <w:pPr>
        <w:spacing w:line="400" w:lineRule="exact"/>
        <w:ind w:firstLine="600"/>
        <w:rPr>
          <w:rFonts w:hint="eastAsia" w:ascii="宋体" w:hAnsi="宋体" w:cs="宋体"/>
          <w:szCs w:val="21"/>
        </w:rPr>
      </w:pPr>
      <w:r>
        <w:rPr>
          <w:rFonts w:hint="eastAsia" w:ascii="宋体" w:hAnsi="宋体" w:cs="宋体"/>
          <w:szCs w:val="21"/>
        </w:rPr>
        <w:t>缺陷责任期原则上从工程竣工验收合格之日起计算，合同当事人应在专用合同条件约定缺陷责任期的具体期限，但该期限最长不超过24个月。</w:t>
      </w:r>
    </w:p>
    <w:p>
      <w:pPr>
        <w:spacing w:line="400" w:lineRule="exact"/>
        <w:ind w:firstLine="600"/>
        <w:rPr>
          <w:rFonts w:hint="eastAsia" w:ascii="宋体" w:hAnsi="宋体" w:cs="宋体"/>
          <w:szCs w:val="21"/>
        </w:rPr>
      </w:pPr>
      <w:r>
        <w:rPr>
          <w:rFonts w:hint="eastAsia" w:ascii="宋体" w:hAnsi="宋体" w:cs="宋体"/>
          <w:szCs w:val="21"/>
        </w:rPr>
        <w:t>单位/区段工程先于全部工程进行验收，经验收合格并交付使用的，该单位/区段工程缺陷责任期自单位/区段工程验收合格之日起算。因发包人原因导致工程未在合同约定期限进行验收，但工程经验收合格的，以承包人提交竣工验收报告之日起算；因发包人原因导致工程未能进行竣工验收的，在承包人提交竣工验收报告90天后，工程自动进入缺陷责任期；发包人未经竣工验收擅自使用工程的，缺陷责任期自工程转移占有之日起开始计算。</w:t>
      </w:r>
    </w:p>
    <w:p>
      <w:pPr>
        <w:spacing w:line="400" w:lineRule="exact"/>
        <w:ind w:firstLine="600"/>
        <w:rPr>
          <w:rFonts w:hint="eastAsia" w:ascii="宋体" w:hAnsi="宋体" w:cs="宋体"/>
          <w:szCs w:val="21"/>
        </w:rPr>
      </w:pPr>
      <w:r>
        <w:rPr>
          <w:rFonts w:hint="eastAsia" w:ascii="宋体" w:hAnsi="宋体" w:cs="宋体"/>
          <w:szCs w:val="21"/>
        </w:rPr>
        <w:t>由于承包人原因造成某项缺陷或损坏使某项工程或工程设备不能按原定目标使用而需要再次检查、检验和修复的，发包人有权要求承包人延长该项工程或工程设备的缺陷责任期，并应在原缺陷责任期届满前发出延长通知。但缺陷责任期最长不超过24个月。</w:t>
      </w:r>
    </w:p>
    <w:p>
      <w:pPr>
        <w:pStyle w:val="685"/>
        <w:widowControl/>
        <w:numPr>
          <w:ilvl w:val="0"/>
          <w:numId w:val="0"/>
        </w:numPr>
        <w:spacing w:line="400" w:lineRule="exact"/>
        <w:rPr>
          <w:rFonts w:hint="eastAsia" w:ascii="宋体" w:hAnsi="宋体" w:eastAsia="宋体" w:cs="宋体"/>
          <w:b w:val="0"/>
          <w:bCs/>
          <w:sz w:val="21"/>
          <w:szCs w:val="21"/>
        </w:rPr>
      </w:pPr>
      <w:bookmarkStart w:id="1332" w:name="_Ref532662491"/>
      <w:bookmarkStart w:id="1333" w:name="_Toc59203171"/>
      <w:bookmarkStart w:id="1334" w:name="_Toc54862272"/>
      <w:bookmarkStart w:id="1335" w:name="_Ref532662486"/>
      <w:r>
        <w:rPr>
          <w:rFonts w:hint="eastAsia" w:ascii="宋体" w:hAnsi="宋体" w:eastAsia="宋体" w:cs="宋体"/>
          <w:b w:val="0"/>
          <w:bCs/>
          <w:sz w:val="21"/>
          <w:szCs w:val="21"/>
        </w:rPr>
        <w:t>11.3 缺陷调查</w:t>
      </w:r>
      <w:bookmarkEnd w:id="1332"/>
      <w:bookmarkEnd w:id="1333"/>
      <w:bookmarkEnd w:id="1334"/>
      <w:bookmarkEnd w:id="1335"/>
    </w:p>
    <w:p>
      <w:pPr>
        <w:pStyle w:val="686"/>
        <w:numPr>
          <w:ilvl w:val="0"/>
          <w:numId w:val="0"/>
        </w:numPr>
        <w:spacing w:line="400" w:lineRule="exact"/>
        <w:rPr>
          <w:rFonts w:hint="eastAsia" w:cs="宋体"/>
          <w:b/>
          <w:sz w:val="21"/>
        </w:rPr>
      </w:pPr>
      <w:r>
        <w:rPr>
          <w:rFonts w:hint="eastAsia" w:cs="宋体"/>
          <w:sz w:val="21"/>
        </w:rPr>
        <w:t>11.3.1 承包人缺陷调查</w:t>
      </w:r>
    </w:p>
    <w:p>
      <w:pPr>
        <w:spacing w:line="400" w:lineRule="exact"/>
        <w:ind w:firstLine="600"/>
        <w:rPr>
          <w:rFonts w:hint="eastAsia" w:ascii="宋体" w:hAnsi="宋体" w:cs="宋体"/>
          <w:szCs w:val="21"/>
        </w:rPr>
      </w:pPr>
      <w:r>
        <w:rPr>
          <w:rFonts w:hint="eastAsia" w:ascii="宋体" w:hAnsi="宋体" w:cs="宋体"/>
          <w:szCs w:val="21"/>
        </w:rPr>
        <w:t>如果发包人指示承包人调查任何缺陷的原因，承包人应在发包人的指导下进行调查。承包人应在发包人指示中说明的日期或与发包人达成一致的其他日期开展调查。除非该缺陷应由承包人负责自费进行修补，承包人有权就调查的成本和利润获得支付。</w:t>
      </w:r>
    </w:p>
    <w:p>
      <w:pPr>
        <w:spacing w:line="400" w:lineRule="exact"/>
        <w:ind w:firstLine="600"/>
        <w:rPr>
          <w:rFonts w:hint="eastAsia" w:ascii="宋体" w:hAnsi="宋体" w:cs="宋体"/>
          <w:szCs w:val="21"/>
        </w:rPr>
      </w:pPr>
      <w:r>
        <w:rPr>
          <w:rFonts w:hint="eastAsia" w:ascii="宋体" w:hAnsi="宋体" w:cs="宋体"/>
          <w:szCs w:val="21"/>
        </w:rPr>
        <w:t>如果承包人未能根据本款开展调查，该调查可由发包人开展。但应将上述调查开展的日期通知承包人，承包人可自费参加调查。如果该缺陷应由承包人自费进行修补，则发包人有权要求承包人支付发包人因调查产生的合理费用。</w:t>
      </w:r>
    </w:p>
    <w:p>
      <w:pPr>
        <w:pStyle w:val="686"/>
        <w:numPr>
          <w:ilvl w:val="0"/>
          <w:numId w:val="0"/>
        </w:numPr>
        <w:spacing w:line="400" w:lineRule="exact"/>
        <w:rPr>
          <w:rFonts w:hint="eastAsia" w:cs="宋体"/>
          <w:sz w:val="21"/>
        </w:rPr>
      </w:pPr>
      <w:r>
        <w:rPr>
          <w:rFonts w:hint="eastAsia" w:cs="宋体"/>
          <w:sz w:val="21"/>
        </w:rPr>
        <w:t>11.3.2 缺陷责任</w:t>
      </w:r>
    </w:p>
    <w:p>
      <w:pPr>
        <w:spacing w:line="400" w:lineRule="exact"/>
        <w:ind w:firstLine="600"/>
        <w:rPr>
          <w:rFonts w:hint="eastAsia" w:ascii="宋体" w:hAnsi="宋体" w:cs="宋体"/>
          <w:szCs w:val="21"/>
        </w:rPr>
      </w:pPr>
      <w:r>
        <w:rPr>
          <w:rFonts w:hint="eastAsia" w:ascii="宋体" w:hAnsi="宋体" w:cs="宋体"/>
          <w:szCs w:val="21"/>
        </w:rPr>
        <w:t>缺陷责任期内，由承包人原因造成的缺陷，承包人应负责维修，并承担鉴定及维修费用。如承包人不维修也不承担费用，发包人可按合同约定从质量保证金中扣除，费用超出质量保证金金额的，发包人可按合同约定向承包人进行索赔。承包人维修并承担相应费用后，不免除对工程的损失赔偿责任。发包人在使用过程中，发现已修补的缺陷部位或部件还存在质量缺陷的，承包人应负责修复，直至检验合格为止。</w:t>
      </w:r>
    </w:p>
    <w:p>
      <w:pPr>
        <w:pStyle w:val="686"/>
        <w:numPr>
          <w:ilvl w:val="0"/>
          <w:numId w:val="0"/>
        </w:numPr>
        <w:spacing w:line="400" w:lineRule="exact"/>
        <w:rPr>
          <w:rFonts w:hint="eastAsia" w:cs="宋体"/>
          <w:sz w:val="21"/>
        </w:rPr>
      </w:pPr>
      <w:r>
        <w:rPr>
          <w:rFonts w:hint="eastAsia" w:cs="宋体"/>
          <w:sz w:val="21"/>
        </w:rPr>
        <w:t>11.3.3 修复费用</w:t>
      </w:r>
    </w:p>
    <w:p>
      <w:pPr>
        <w:spacing w:line="400" w:lineRule="exact"/>
        <w:ind w:firstLine="600"/>
        <w:rPr>
          <w:rFonts w:hint="eastAsia" w:ascii="宋体" w:hAnsi="宋体" w:cs="宋体"/>
          <w:szCs w:val="21"/>
        </w:rPr>
      </w:pPr>
      <w:r>
        <w:rPr>
          <w:rFonts w:hint="eastAsia" w:ascii="宋体" w:hAnsi="宋体" w:cs="宋体"/>
          <w:szCs w:val="21"/>
        </w:rPr>
        <w:t>发包人和承包人应共同查清缺陷或损坏的原因。经查明属承包人原因造成的，应由承包人承担修复的费用。经查验非承包人原因造成的，发包人应承担修复的费用，并支付承包人合理利润。</w:t>
      </w:r>
    </w:p>
    <w:p>
      <w:pPr>
        <w:pStyle w:val="686"/>
        <w:numPr>
          <w:ilvl w:val="0"/>
          <w:numId w:val="0"/>
        </w:numPr>
        <w:spacing w:line="400" w:lineRule="exact"/>
        <w:rPr>
          <w:rFonts w:hint="eastAsia" w:cs="宋体"/>
          <w:sz w:val="21"/>
        </w:rPr>
      </w:pPr>
      <w:bookmarkStart w:id="1336" w:name="_Ref531955041"/>
      <w:r>
        <w:rPr>
          <w:rFonts w:hint="eastAsia" w:cs="宋体"/>
          <w:sz w:val="21"/>
        </w:rPr>
        <w:t>11.3.4 修复通知</w:t>
      </w:r>
      <w:bookmarkEnd w:id="1336"/>
    </w:p>
    <w:p>
      <w:pPr>
        <w:spacing w:line="400" w:lineRule="exact"/>
        <w:ind w:firstLine="600"/>
        <w:rPr>
          <w:rFonts w:hint="eastAsia" w:ascii="宋体" w:hAnsi="宋体" w:cs="宋体"/>
          <w:szCs w:val="21"/>
        </w:rPr>
      </w:pPr>
      <w:r>
        <w:rPr>
          <w:rFonts w:hint="eastAsia" w:ascii="宋体" w:hAnsi="宋体" w:cs="宋体"/>
          <w:szCs w:val="21"/>
        </w:rPr>
        <w:t>在缺陷责任期内，发包人在使用过程中，发现已接收的工程存在缺陷或损坏的，应书面通知承包人予以修复，但情况紧急必须立即修复缺陷或损坏的，发包人可以口头通知承包人并在口头通知后48小时内书面确认，承包人应在专用合同条件约定的合理期限内到达工程现场并修复缺陷或损坏。</w:t>
      </w:r>
    </w:p>
    <w:p>
      <w:pPr>
        <w:pStyle w:val="686"/>
        <w:numPr>
          <w:ilvl w:val="0"/>
          <w:numId w:val="0"/>
        </w:numPr>
        <w:spacing w:line="400" w:lineRule="exact"/>
        <w:rPr>
          <w:rFonts w:hint="eastAsia" w:cs="宋体"/>
          <w:sz w:val="21"/>
        </w:rPr>
      </w:pPr>
      <w:r>
        <w:rPr>
          <w:rFonts w:hint="eastAsia" w:cs="宋体"/>
          <w:sz w:val="21"/>
        </w:rPr>
        <w:t>11.3.5 在现场外修复</w:t>
      </w:r>
    </w:p>
    <w:p>
      <w:pPr>
        <w:spacing w:line="400" w:lineRule="exact"/>
        <w:ind w:firstLine="600"/>
        <w:rPr>
          <w:rFonts w:hint="eastAsia" w:ascii="宋体" w:hAnsi="宋体" w:cs="宋体"/>
          <w:szCs w:val="21"/>
        </w:rPr>
      </w:pPr>
      <w:r>
        <w:rPr>
          <w:rFonts w:hint="eastAsia" w:ascii="宋体" w:hAnsi="宋体" w:cs="宋体"/>
          <w:szCs w:val="21"/>
        </w:rPr>
        <w:t>在缺陷责任期内，承包人认为设备中的缺陷或损害不能在现场得到迅速修复，承包人应当向发包人发出通知，请求发包人同意把这些有缺陷或者损害的设备移出现场进行修复，通知应当注明有缺陷或者损害的设备及维修的相关内容，发包人可要求承包人按移出设备的全部重置成本增加质量保证金的数额。</w:t>
      </w:r>
    </w:p>
    <w:p>
      <w:pPr>
        <w:pStyle w:val="686"/>
        <w:numPr>
          <w:ilvl w:val="0"/>
          <w:numId w:val="0"/>
        </w:numPr>
        <w:spacing w:line="400" w:lineRule="exact"/>
        <w:rPr>
          <w:rFonts w:hint="eastAsia" w:cs="宋体"/>
          <w:sz w:val="21"/>
        </w:rPr>
      </w:pPr>
      <w:bookmarkStart w:id="1337" w:name="_Ref4534291"/>
      <w:bookmarkStart w:id="1338" w:name="_Hlk51506786"/>
      <w:r>
        <w:rPr>
          <w:rFonts w:hint="eastAsia" w:cs="宋体"/>
          <w:sz w:val="21"/>
        </w:rPr>
        <w:t>11.3.6 未能修复</w:t>
      </w:r>
      <w:bookmarkEnd w:id="1337"/>
    </w:p>
    <w:bookmarkEnd w:id="1338"/>
    <w:p>
      <w:pPr>
        <w:spacing w:line="400" w:lineRule="exact"/>
        <w:ind w:firstLine="600"/>
        <w:rPr>
          <w:rFonts w:hint="eastAsia" w:ascii="宋体" w:hAnsi="宋体" w:cs="宋体"/>
          <w:szCs w:val="21"/>
        </w:rPr>
      </w:pPr>
      <w:r>
        <w:rPr>
          <w:rFonts w:hint="eastAsia" w:ascii="宋体" w:hAnsi="宋体" w:cs="宋体"/>
          <w:szCs w:val="21"/>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pPr>
        <w:spacing w:line="400" w:lineRule="exact"/>
        <w:ind w:firstLine="600"/>
        <w:rPr>
          <w:rFonts w:hint="eastAsia" w:ascii="宋体" w:hAnsi="宋体" w:cs="宋体"/>
          <w:szCs w:val="21"/>
        </w:rPr>
      </w:pPr>
      <w:r>
        <w:rPr>
          <w:rFonts w:hint="eastAsia" w:ascii="宋体" w:hAnsi="宋体" w:cs="宋体"/>
          <w:szCs w:val="21"/>
        </w:rPr>
        <w:t>如果工程或工程设备的缺陷或损害使发包人实质上失去了工程的整体功能，发包人有权向承包人追回已支付的工程款项，并要求其赔偿发包人相应损失。</w:t>
      </w:r>
    </w:p>
    <w:bookmarkEnd w:id="1326"/>
    <w:bookmarkEnd w:id="1327"/>
    <w:bookmarkEnd w:id="1328"/>
    <w:p>
      <w:pPr>
        <w:pStyle w:val="685"/>
        <w:widowControl/>
        <w:numPr>
          <w:ilvl w:val="0"/>
          <w:numId w:val="0"/>
        </w:numPr>
        <w:spacing w:line="400" w:lineRule="exact"/>
        <w:rPr>
          <w:rFonts w:hint="eastAsia" w:ascii="宋体" w:hAnsi="宋体" w:eastAsia="宋体" w:cs="宋体"/>
          <w:b w:val="0"/>
          <w:bCs/>
          <w:sz w:val="21"/>
          <w:szCs w:val="21"/>
        </w:rPr>
      </w:pPr>
      <w:bookmarkStart w:id="1339" w:name="_Ref532662552"/>
      <w:bookmarkStart w:id="1340" w:name="_Toc59203172"/>
      <w:bookmarkStart w:id="1341" w:name="_Ref532662554"/>
      <w:bookmarkStart w:id="1342" w:name="_Toc54862273"/>
      <w:r>
        <w:rPr>
          <w:rFonts w:hint="eastAsia" w:ascii="宋体" w:hAnsi="宋体" w:eastAsia="宋体" w:cs="宋体"/>
          <w:b w:val="0"/>
          <w:bCs/>
          <w:sz w:val="21"/>
          <w:szCs w:val="21"/>
        </w:rPr>
        <w:t>11.4 缺陷修复后的进一步试验</w:t>
      </w:r>
      <w:bookmarkEnd w:id="1339"/>
      <w:bookmarkEnd w:id="1340"/>
      <w:bookmarkEnd w:id="1341"/>
      <w:bookmarkEnd w:id="1342"/>
    </w:p>
    <w:p>
      <w:pPr>
        <w:spacing w:line="400" w:lineRule="exact"/>
        <w:ind w:firstLine="600"/>
        <w:rPr>
          <w:rFonts w:hint="eastAsia" w:ascii="宋体" w:hAnsi="宋体" w:cs="宋体"/>
          <w:szCs w:val="21"/>
        </w:rPr>
      </w:pPr>
      <w:r>
        <w:rPr>
          <w:rFonts w:hint="eastAsia" w:ascii="宋体" w:hAnsi="宋体" w:cs="宋体"/>
          <w:szCs w:val="21"/>
        </w:rPr>
        <w:t>任何一项缺陷修补后的7天内，承包人应向发包人发出通知，告知已修补的情况。如根据第9条[竣工试验]或第12条[竣工后试验]的规定适用重新试验的，还应建议重新试验。发包人应在收到重新试验的通知后14天内答复，逾期未进行答复的视为同意重新试验。承包人未建议重新试验的，发包人也可在缺陷修补后的14天内指示进行必要的重新试验，以证明已修复的部分符合合同要求。</w:t>
      </w:r>
    </w:p>
    <w:p>
      <w:pPr>
        <w:spacing w:line="400" w:lineRule="exact"/>
        <w:ind w:firstLine="600"/>
        <w:rPr>
          <w:rFonts w:hint="eastAsia" w:ascii="宋体" w:hAnsi="宋体" w:cs="宋体"/>
          <w:szCs w:val="21"/>
        </w:rPr>
      </w:pPr>
      <w:r>
        <w:rPr>
          <w:rFonts w:hint="eastAsia" w:ascii="宋体" w:hAnsi="宋体" w:cs="宋体"/>
          <w:szCs w:val="21"/>
        </w:rPr>
        <w:t>所有的重复试验应按照适用于先前试验的条款进行，但应由责任方承担修补工作的成本和重新试验的风险和费用。</w:t>
      </w:r>
    </w:p>
    <w:p>
      <w:pPr>
        <w:pStyle w:val="685"/>
        <w:widowControl/>
        <w:numPr>
          <w:ilvl w:val="0"/>
          <w:numId w:val="0"/>
        </w:numPr>
        <w:spacing w:line="400" w:lineRule="exact"/>
        <w:rPr>
          <w:rFonts w:hint="eastAsia" w:ascii="宋体" w:hAnsi="宋体" w:eastAsia="宋体" w:cs="宋体"/>
          <w:b w:val="0"/>
          <w:bCs/>
          <w:sz w:val="21"/>
          <w:szCs w:val="21"/>
        </w:rPr>
      </w:pPr>
      <w:bookmarkStart w:id="1343" w:name="_Toc54862274"/>
      <w:bookmarkStart w:id="1344" w:name="_Toc59203173"/>
      <w:r>
        <w:rPr>
          <w:rFonts w:hint="eastAsia" w:ascii="宋体" w:hAnsi="宋体" w:eastAsia="宋体" w:cs="宋体"/>
          <w:b w:val="0"/>
          <w:bCs/>
          <w:sz w:val="21"/>
          <w:szCs w:val="21"/>
        </w:rPr>
        <w:t>11.5 承包人出入权</w:t>
      </w:r>
      <w:bookmarkEnd w:id="1343"/>
      <w:bookmarkEnd w:id="1344"/>
    </w:p>
    <w:p>
      <w:pPr>
        <w:spacing w:line="400" w:lineRule="exact"/>
        <w:ind w:firstLine="600"/>
        <w:rPr>
          <w:rFonts w:hint="eastAsia" w:ascii="宋体" w:hAnsi="宋体" w:cs="宋体"/>
          <w:szCs w:val="21"/>
        </w:rPr>
      </w:pPr>
      <w:r>
        <w:rPr>
          <w:rFonts w:hint="eastAsia" w:ascii="宋体" w:hAnsi="宋体" w:cs="宋体"/>
          <w:szCs w:val="21"/>
        </w:rPr>
        <w:t>在缺陷责任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安保和保密等规定。</w:t>
      </w:r>
    </w:p>
    <w:p>
      <w:pPr>
        <w:pStyle w:val="685"/>
        <w:widowControl/>
        <w:numPr>
          <w:ilvl w:val="0"/>
          <w:numId w:val="0"/>
        </w:numPr>
        <w:spacing w:line="400" w:lineRule="exact"/>
        <w:rPr>
          <w:rFonts w:hint="eastAsia" w:ascii="宋体" w:hAnsi="宋体" w:eastAsia="宋体" w:cs="宋体"/>
          <w:b w:val="0"/>
          <w:bCs/>
          <w:sz w:val="21"/>
          <w:szCs w:val="21"/>
        </w:rPr>
      </w:pPr>
      <w:bookmarkStart w:id="1345" w:name="_Ref4430223"/>
      <w:bookmarkStart w:id="1346" w:name="_Ref4430229"/>
      <w:bookmarkStart w:id="1347" w:name="_Toc54862275"/>
      <w:bookmarkStart w:id="1348" w:name="_Toc59203174"/>
      <w:r>
        <w:rPr>
          <w:rFonts w:hint="eastAsia" w:ascii="宋体" w:hAnsi="宋体" w:eastAsia="宋体" w:cs="宋体"/>
          <w:b w:val="0"/>
          <w:bCs/>
          <w:sz w:val="21"/>
          <w:szCs w:val="21"/>
        </w:rPr>
        <w:t>11.6 缺陷责任期终止证书</w:t>
      </w:r>
      <w:bookmarkEnd w:id="1345"/>
      <w:bookmarkEnd w:id="1346"/>
      <w:bookmarkEnd w:id="1347"/>
      <w:bookmarkEnd w:id="1348"/>
    </w:p>
    <w:p>
      <w:pPr>
        <w:spacing w:line="400" w:lineRule="exact"/>
        <w:ind w:firstLine="600"/>
        <w:rPr>
          <w:rFonts w:hint="eastAsia" w:ascii="宋体" w:hAnsi="宋体" w:cs="宋体"/>
          <w:szCs w:val="21"/>
        </w:rPr>
      </w:pPr>
      <w:r>
        <w:rPr>
          <w:rFonts w:hint="eastAsia" w:ascii="宋体" w:hAnsi="宋体" w:cs="宋体"/>
          <w:szCs w:val="21"/>
        </w:rPr>
        <w:t>除专用合同条件另有约定外，</w:t>
      </w:r>
      <w:bookmarkStart w:id="1349" w:name="_Hlk4686672"/>
      <w:r>
        <w:rPr>
          <w:rFonts w:hint="eastAsia" w:ascii="宋体" w:hAnsi="宋体" w:cs="宋体"/>
          <w:szCs w:val="21"/>
        </w:rPr>
        <w:t>承包人应于缺陷责任期届满前7天内向发包人发出缺陷责任期即将届满通知，发包人应在收到通知后7天内核实承包人是否履行缺陷修复义务，承包人未能履行缺陷修复义务的，发包人有权扣除相应金额的维修费用。发包人应在缺陷责任期届满之日，向承包人颁发缺陷责任期终止证书，并按第14.6.3项[质量保证金的返还]返还质量保证金。</w:t>
      </w:r>
      <w:bookmarkEnd w:id="1349"/>
    </w:p>
    <w:p>
      <w:pPr>
        <w:spacing w:line="400" w:lineRule="exact"/>
        <w:ind w:firstLine="600"/>
        <w:rPr>
          <w:rFonts w:hint="eastAsia" w:ascii="宋体" w:hAnsi="宋体" w:cs="宋体"/>
          <w:szCs w:val="21"/>
        </w:rPr>
      </w:pPr>
      <w:r>
        <w:rPr>
          <w:rFonts w:hint="eastAsia" w:ascii="宋体" w:hAnsi="宋体" w:cs="宋体"/>
          <w:szCs w:val="21"/>
        </w:rPr>
        <w:t>如根据第10.5.3项[人员撤离]承包人在施工现场还留有人员、施工设备和临时工程的，承包人应当在收到缺陷责任期终止证书后28天内，将上述人员、施工设备和临时工程撤离施工现场。</w:t>
      </w:r>
    </w:p>
    <w:p>
      <w:pPr>
        <w:pStyle w:val="685"/>
        <w:widowControl/>
        <w:numPr>
          <w:ilvl w:val="0"/>
          <w:numId w:val="0"/>
        </w:numPr>
        <w:spacing w:line="400" w:lineRule="exact"/>
        <w:rPr>
          <w:rFonts w:hint="eastAsia" w:ascii="宋体" w:hAnsi="宋体" w:eastAsia="宋体" w:cs="宋体"/>
          <w:b w:val="0"/>
          <w:bCs/>
          <w:sz w:val="21"/>
          <w:szCs w:val="21"/>
        </w:rPr>
      </w:pPr>
      <w:bookmarkStart w:id="1350" w:name="_Toc59203175"/>
      <w:bookmarkStart w:id="1351" w:name="_Toc54862276"/>
      <w:bookmarkStart w:id="1352" w:name="_Ref4430272"/>
      <w:r>
        <w:rPr>
          <w:rFonts w:hint="eastAsia" w:ascii="宋体" w:hAnsi="宋体" w:eastAsia="宋体" w:cs="宋体"/>
          <w:b w:val="0"/>
          <w:bCs/>
          <w:sz w:val="21"/>
          <w:szCs w:val="21"/>
        </w:rPr>
        <w:t>11.7 保修责任</w:t>
      </w:r>
      <w:bookmarkEnd w:id="1350"/>
      <w:bookmarkEnd w:id="1351"/>
      <w:bookmarkEnd w:id="1352"/>
    </w:p>
    <w:p>
      <w:pPr>
        <w:spacing w:line="400" w:lineRule="exact"/>
        <w:ind w:firstLine="600"/>
        <w:rPr>
          <w:rFonts w:hint="eastAsia" w:ascii="宋体" w:hAnsi="宋体" w:cs="宋体"/>
          <w:szCs w:val="21"/>
        </w:rPr>
      </w:pPr>
      <w:r>
        <w:rPr>
          <w:rFonts w:hint="eastAsia" w:ascii="宋体" w:hAnsi="宋体" w:cs="宋体"/>
          <w:szCs w:val="21"/>
        </w:rPr>
        <w:t>因承包人原因导致的质量缺陷责任，由合同当事人根据有关法律规定，在专用合同条件和工程质量保修书中约定工程质量保修范围、期限和责任。</w:t>
      </w:r>
      <w:bookmarkEnd w:id="1189"/>
      <w:bookmarkStart w:id="1353" w:name="_Ref531957860"/>
      <w:bookmarkStart w:id="1354" w:name="_Ref531958289"/>
    </w:p>
    <w:bookmarkEnd w:id="1353"/>
    <w:p>
      <w:pPr>
        <w:pStyle w:val="684"/>
        <w:numPr>
          <w:ilvl w:val="0"/>
          <w:numId w:val="0"/>
        </w:numPr>
        <w:spacing w:line="400" w:lineRule="exact"/>
        <w:rPr>
          <w:rFonts w:hint="eastAsia" w:ascii="宋体" w:hAnsi="宋体" w:eastAsia="宋体" w:cs="宋体"/>
          <w:b w:val="0"/>
          <w:szCs w:val="21"/>
        </w:rPr>
      </w:pPr>
      <w:bookmarkStart w:id="1355" w:name="_Ref4621057"/>
      <w:bookmarkStart w:id="1356" w:name="_Toc54862277"/>
      <w:bookmarkStart w:id="1357" w:name="_Ref4621065"/>
      <w:bookmarkStart w:id="1358" w:name="_Toc59203176"/>
      <w:bookmarkStart w:id="1359" w:name="_Ref4796955"/>
      <w:bookmarkStart w:id="1360" w:name="_Ref4796958"/>
      <w:r>
        <w:rPr>
          <w:rFonts w:hint="eastAsia" w:ascii="宋体" w:hAnsi="宋体" w:eastAsia="宋体" w:cs="宋体"/>
          <w:b w:val="0"/>
          <w:szCs w:val="21"/>
        </w:rPr>
        <w:t>第12条 竣工后试验</w:t>
      </w:r>
      <w:bookmarkEnd w:id="1355"/>
      <w:bookmarkEnd w:id="1356"/>
      <w:bookmarkEnd w:id="1357"/>
      <w:bookmarkEnd w:id="1358"/>
    </w:p>
    <w:p>
      <w:pPr>
        <w:spacing w:line="400" w:lineRule="exact"/>
        <w:ind w:firstLine="600"/>
        <w:rPr>
          <w:rFonts w:hint="eastAsia" w:ascii="宋体" w:hAnsi="宋体" w:cs="宋体"/>
          <w:szCs w:val="21"/>
        </w:rPr>
      </w:pPr>
      <w:r>
        <w:rPr>
          <w:rFonts w:hint="eastAsia" w:ascii="宋体" w:hAnsi="宋体" w:cs="宋体"/>
          <w:szCs w:val="21"/>
        </w:rPr>
        <w:t>本合同工程包含竣工后试验的，遵守本条约定。</w:t>
      </w:r>
    </w:p>
    <w:p>
      <w:pPr>
        <w:pStyle w:val="685"/>
        <w:widowControl/>
        <w:numPr>
          <w:ilvl w:val="0"/>
          <w:numId w:val="0"/>
        </w:numPr>
        <w:spacing w:line="400" w:lineRule="exact"/>
        <w:rPr>
          <w:rFonts w:hint="eastAsia" w:ascii="宋体" w:hAnsi="宋体" w:eastAsia="宋体" w:cs="宋体"/>
          <w:b w:val="0"/>
          <w:bCs/>
          <w:sz w:val="21"/>
          <w:szCs w:val="21"/>
        </w:rPr>
      </w:pPr>
      <w:bookmarkStart w:id="1361" w:name="_Ref531954604"/>
      <w:bookmarkStart w:id="1362" w:name="_Ref531954601"/>
      <w:bookmarkStart w:id="1363" w:name="_Toc59203177"/>
      <w:bookmarkStart w:id="1364" w:name="_Ref531954694"/>
      <w:bookmarkStart w:id="1365" w:name="_Toc54862278"/>
      <w:bookmarkStart w:id="1366" w:name="_Hlk522259976"/>
      <w:r>
        <w:rPr>
          <w:rFonts w:hint="eastAsia" w:ascii="宋体" w:hAnsi="宋体" w:eastAsia="宋体" w:cs="宋体"/>
          <w:b w:val="0"/>
          <w:bCs/>
          <w:sz w:val="21"/>
          <w:szCs w:val="21"/>
        </w:rPr>
        <w:t>12.1 竣工后试验</w:t>
      </w:r>
      <w:bookmarkEnd w:id="1361"/>
      <w:bookmarkEnd w:id="1362"/>
      <w:r>
        <w:rPr>
          <w:rFonts w:hint="eastAsia" w:ascii="宋体" w:hAnsi="宋体" w:eastAsia="宋体" w:cs="宋体"/>
          <w:b w:val="0"/>
          <w:bCs/>
          <w:sz w:val="21"/>
          <w:szCs w:val="21"/>
        </w:rPr>
        <w:t>的程序</w:t>
      </w:r>
      <w:bookmarkEnd w:id="1363"/>
      <w:bookmarkEnd w:id="1364"/>
      <w:bookmarkEnd w:id="1365"/>
    </w:p>
    <w:p>
      <w:pPr>
        <w:pStyle w:val="686"/>
        <w:numPr>
          <w:ilvl w:val="0"/>
          <w:numId w:val="0"/>
        </w:numPr>
        <w:spacing w:line="400" w:lineRule="exact"/>
        <w:rPr>
          <w:rFonts w:hint="eastAsia" w:cs="宋体"/>
          <w:sz w:val="21"/>
        </w:rPr>
      </w:pPr>
      <w:bookmarkStart w:id="1367" w:name="_Ref11920184"/>
      <w:r>
        <w:rPr>
          <w:rFonts w:hint="eastAsia" w:cs="宋体"/>
          <w:sz w:val="21"/>
        </w:rPr>
        <w:t>12.1.1 工程或区段工程被发包人接收后，在合理可行的情况下应根据合同约定尽早进行竣工后试验。</w:t>
      </w:r>
      <w:bookmarkEnd w:id="1367"/>
    </w:p>
    <w:p>
      <w:pPr>
        <w:pStyle w:val="686"/>
        <w:numPr>
          <w:ilvl w:val="0"/>
          <w:numId w:val="0"/>
        </w:numPr>
        <w:spacing w:line="400" w:lineRule="exact"/>
        <w:rPr>
          <w:rFonts w:hint="eastAsia" w:cs="宋体"/>
          <w:sz w:val="21"/>
        </w:rPr>
      </w:pPr>
      <w:r>
        <w:rPr>
          <w:rFonts w:hint="eastAsia" w:cs="宋体"/>
          <w:sz w:val="21"/>
        </w:rPr>
        <w:t>12.1.2 除专用合同条件另有约定外，发包人应提供全部电力、水、污水处理、燃料、消耗品和材料，以及全部其他仪器、协助、文件或其他信息、设备、工具、劳力，启动工程设备，并组织安排有适当资质、经验和能力的工作人员实施竣工后试验。</w:t>
      </w:r>
    </w:p>
    <w:p>
      <w:pPr>
        <w:pStyle w:val="686"/>
        <w:numPr>
          <w:ilvl w:val="0"/>
          <w:numId w:val="0"/>
        </w:numPr>
        <w:spacing w:line="400" w:lineRule="exact"/>
        <w:rPr>
          <w:rFonts w:hint="eastAsia" w:cs="宋体"/>
          <w:sz w:val="21"/>
        </w:rPr>
      </w:pPr>
      <w:bookmarkStart w:id="1368" w:name="_Ref11920162"/>
      <w:r>
        <w:rPr>
          <w:rFonts w:hint="eastAsia" w:cs="宋体"/>
          <w:sz w:val="21"/>
        </w:rPr>
        <w:t>12.1.3 除《发包人要求》另有约定外，发包人应在合理可行的情况下尽快进行每项竣工后试验，并至少提前21天将该项竣工后试验的内容、地点和时间，以及显示其他竣工后试验拟开展时间的竣工后试验计划通知承包人。</w:t>
      </w:r>
      <w:bookmarkEnd w:id="1368"/>
    </w:p>
    <w:p>
      <w:pPr>
        <w:pStyle w:val="686"/>
        <w:numPr>
          <w:ilvl w:val="0"/>
          <w:numId w:val="0"/>
        </w:numPr>
        <w:spacing w:line="400" w:lineRule="exact"/>
        <w:rPr>
          <w:rFonts w:hint="eastAsia" w:cs="宋体"/>
          <w:sz w:val="21"/>
        </w:rPr>
      </w:pPr>
      <w:bookmarkStart w:id="1369" w:name="_Ref11920146"/>
      <w:r>
        <w:rPr>
          <w:rFonts w:hint="eastAsia" w:cs="宋体"/>
          <w:sz w:val="21"/>
        </w:rPr>
        <w:t>12.1.4 发包人应根据《发包人要求》、承包人按照第5.5款</w:t>
      </w:r>
      <w:bookmarkStart w:id="1370" w:name="_Hlk18943978"/>
      <w:r>
        <w:rPr>
          <w:rFonts w:hint="eastAsia" w:cs="宋体"/>
          <w:sz w:val="21"/>
        </w:rPr>
        <w:t>[操作和维修手册]</w:t>
      </w:r>
      <w:bookmarkEnd w:id="1370"/>
      <w:r>
        <w:rPr>
          <w:rFonts w:hint="eastAsia" w:cs="宋体"/>
          <w:sz w:val="21"/>
        </w:rPr>
        <w:t>提交的文件，以及承包人被要求提供的指导进行竣工后试验。如承包人未在发包人通知的时间和地点参加竣工后试验，发包人可自行进行，该试验应被视为是承包人在场的情况下进行的，且承包人应视为认可试验数据。</w:t>
      </w:r>
      <w:bookmarkEnd w:id="1369"/>
    </w:p>
    <w:p>
      <w:pPr>
        <w:pStyle w:val="686"/>
        <w:numPr>
          <w:ilvl w:val="0"/>
          <w:numId w:val="0"/>
        </w:numPr>
        <w:spacing w:line="400" w:lineRule="exact"/>
        <w:rPr>
          <w:rFonts w:hint="eastAsia" w:cs="宋体"/>
          <w:sz w:val="21"/>
        </w:rPr>
      </w:pPr>
      <w:r>
        <w:rPr>
          <w:rFonts w:hint="eastAsia" w:cs="宋体"/>
          <w:sz w:val="21"/>
        </w:rPr>
        <w:t>12.1.5 竣工后试验的结果应由双方进行整理和评价，并应适当考虑发包人对工程或其任何部分的使用，对工程或区段工程的性能、特性和试验结果产生的影响。</w:t>
      </w:r>
    </w:p>
    <w:p>
      <w:pPr>
        <w:pStyle w:val="685"/>
        <w:widowControl/>
        <w:numPr>
          <w:ilvl w:val="0"/>
          <w:numId w:val="0"/>
        </w:numPr>
        <w:spacing w:line="400" w:lineRule="exact"/>
        <w:rPr>
          <w:rFonts w:hint="eastAsia" w:ascii="宋体" w:hAnsi="宋体" w:eastAsia="宋体" w:cs="宋体"/>
          <w:b w:val="0"/>
          <w:bCs/>
          <w:sz w:val="21"/>
          <w:szCs w:val="21"/>
        </w:rPr>
      </w:pPr>
      <w:bookmarkStart w:id="1371" w:name="_Toc54862279"/>
      <w:bookmarkStart w:id="1372" w:name="_Ref531954781"/>
      <w:bookmarkStart w:id="1373" w:name="_Ref531954785"/>
      <w:bookmarkStart w:id="1374" w:name="_Toc59203178"/>
      <w:r>
        <w:rPr>
          <w:rFonts w:hint="eastAsia" w:ascii="宋体" w:hAnsi="宋体" w:eastAsia="宋体" w:cs="宋体"/>
          <w:b w:val="0"/>
          <w:bCs/>
          <w:sz w:val="21"/>
          <w:szCs w:val="21"/>
        </w:rPr>
        <w:t>12.2 延误的试验</w:t>
      </w:r>
      <w:bookmarkEnd w:id="1371"/>
      <w:bookmarkEnd w:id="1372"/>
      <w:bookmarkEnd w:id="1373"/>
      <w:bookmarkEnd w:id="1374"/>
      <w:r>
        <w:rPr>
          <w:rFonts w:hint="eastAsia" w:ascii="宋体" w:hAnsi="宋体" w:eastAsia="宋体" w:cs="宋体"/>
          <w:b w:val="0"/>
          <w:bCs/>
          <w:sz w:val="21"/>
          <w:szCs w:val="21"/>
        </w:rPr>
        <w:t xml:space="preserve"> </w:t>
      </w:r>
    </w:p>
    <w:p>
      <w:pPr>
        <w:pStyle w:val="686"/>
        <w:numPr>
          <w:ilvl w:val="0"/>
          <w:numId w:val="0"/>
        </w:numPr>
        <w:spacing w:line="400" w:lineRule="exact"/>
        <w:rPr>
          <w:rFonts w:hint="eastAsia" w:cs="宋体"/>
          <w:sz w:val="21"/>
        </w:rPr>
      </w:pPr>
      <w:r>
        <w:rPr>
          <w:rFonts w:hint="eastAsia" w:cs="宋体"/>
          <w:sz w:val="21"/>
        </w:rPr>
        <w:t>12.2.1 如果竣工后试验因发包人原因被延误的，发包人应承担承包人由此增加的费用并支付承包人合理利润。</w:t>
      </w:r>
    </w:p>
    <w:p>
      <w:pPr>
        <w:pStyle w:val="686"/>
        <w:numPr>
          <w:ilvl w:val="0"/>
          <w:numId w:val="0"/>
        </w:numPr>
        <w:spacing w:line="400" w:lineRule="exact"/>
        <w:rPr>
          <w:rFonts w:hint="eastAsia" w:cs="宋体"/>
          <w:sz w:val="21"/>
        </w:rPr>
      </w:pPr>
      <w:r>
        <w:rPr>
          <w:rFonts w:hint="eastAsia" w:cs="宋体"/>
          <w:sz w:val="21"/>
        </w:rPr>
        <w:t>12.2.2 如果因承包人以外的原因，导致竣工后试验未能在缺陷责任期或双方另行同意的其他期限内完成，则相关工程或区段工程应视为已通过该竣工后试验。</w:t>
      </w:r>
    </w:p>
    <w:p>
      <w:pPr>
        <w:pStyle w:val="685"/>
        <w:widowControl/>
        <w:numPr>
          <w:ilvl w:val="0"/>
          <w:numId w:val="0"/>
        </w:numPr>
        <w:spacing w:line="400" w:lineRule="exact"/>
        <w:rPr>
          <w:rFonts w:hint="eastAsia" w:ascii="宋体" w:hAnsi="宋体" w:eastAsia="宋体" w:cs="宋体"/>
          <w:b w:val="0"/>
          <w:bCs/>
          <w:sz w:val="21"/>
          <w:szCs w:val="21"/>
        </w:rPr>
      </w:pPr>
      <w:bookmarkStart w:id="1375" w:name="_Toc59203179"/>
      <w:bookmarkStart w:id="1376" w:name="_Toc54862280"/>
      <w:r>
        <w:rPr>
          <w:rFonts w:hint="eastAsia" w:ascii="宋体" w:hAnsi="宋体" w:eastAsia="宋体" w:cs="宋体"/>
          <w:b w:val="0"/>
          <w:bCs/>
          <w:sz w:val="21"/>
          <w:szCs w:val="21"/>
        </w:rPr>
        <w:t>12.3 重新试验</w:t>
      </w:r>
      <w:bookmarkEnd w:id="1375"/>
      <w:bookmarkEnd w:id="1376"/>
    </w:p>
    <w:p>
      <w:pPr>
        <w:spacing w:line="400" w:lineRule="exact"/>
        <w:ind w:firstLine="600"/>
        <w:rPr>
          <w:rFonts w:hint="eastAsia" w:ascii="宋体" w:hAnsi="宋体" w:cs="宋体"/>
          <w:szCs w:val="21"/>
        </w:rPr>
      </w:pPr>
      <w:r>
        <w:rPr>
          <w:rFonts w:hint="eastAsia" w:ascii="宋体" w:hAnsi="宋体" w:cs="宋体"/>
          <w:szCs w:val="21"/>
        </w:rPr>
        <w:t>如工程或区段工程未能通过竣工后试验，则承包人应根据第11.3款[缺陷调查]的规定修补缺陷，以达到合同约定的要求；并按照第11.4款[缺陷修复后的进一步试验]重新进行竣工后试验以及承担风险和费用。如未通过试验和重新试验是承包人原因造成的，则承包人还应承担发包人因此增加的费用。</w:t>
      </w:r>
    </w:p>
    <w:bookmarkEnd w:id="1366"/>
    <w:p>
      <w:pPr>
        <w:pStyle w:val="685"/>
        <w:widowControl/>
        <w:numPr>
          <w:ilvl w:val="0"/>
          <w:numId w:val="0"/>
        </w:numPr>
        <w:spacing w:line="400" w:lineRule="exact"/>
        <w:rPr>
          <w:rFonts w:hint="eastAsia" w:ascii="宋体" w:hAnsi="宋体" w:eastAsia="宋体" w:cs="宋体"/>
          <w:b w:val="0"/>
          <w:bCs/>
          <w:sz w:val="21"/>
          <w:szCs w:val="21"/>
        </w:rPr>
      </w:pPr>
      <w:bookmarkStart w:id="1377" w:name="_Ref531954819"/>
      <w:bookmarkStart w:id="1378" w:name="_Toc54862281"/>
      <w:bookmarkStart w:id="1379" w:name="_Toc59203180"/>
      <w:bookmarkStart w:id="1380" w:name="_Ref531954811"/>
      <w:r>
        <w:rPr>
          <w:rFonts w:hint="eastAsia" w:ascii="宋体" w:hAnsi="宋体" w:eastAsia="宋体" w:cs="宋体"/>
          <w:b w:val="0"/>
          <w:bCs/>
          <w:sz w:val="21"/>
          <w:szCs w:val="21"/>
        </w:rPr>
        <w:t>12.4 未能通过竣工后试验</w:t>
      </w:r>
      <w:bookmarkEnd w:id="1377"/>
      <w:bookmarkEnd w:id="1378"/>
      <w:bookmarkEnd w:id="1379"/>
      <w:bookmarkEnd w:id="1380"/>
    </w:p>
    <w:p>
      <w:pPr>
        <w:pStyle w:val="686"/>
        <w:numPr>
          <w:ilvl w:val="0"/>
          <w:numId w:val="0"/>
        </w:numPr>
        <w:spacing w:line="400" w:lineRule="exact"/>
        <w:rPr>
          <w:rFonts w:hint="eastAsia" w:cs="宋体"/>
          <w:sz w:val="21"/>
        </w:rPr>
      </w:pPr>
      <w:bookmarkStart w:id="1381" w:name="_Ref531954829"/>
      <w:r>
        <w:rPr>
          <w:rFonts w:hint="eastAsia" w:cs="宋体"/>
          <w:sz w:val="21"/>
        </w:rPr>
        <w:t>12.4.1 工程或区段工程未能通过竣工后试验，且合同中就该项未通过的试验约定了性能损害赔偿违约金及其计算方法的，或者就该项未通过的试验另行达成补充协议的，承包人在缺陷责任期内向发包人支付相应违约金或按补充协议履行后，视为通过竣工后试验。</w:t>
      </w:r>
      <w:bookmarkEnd w:id="1381"/>
    </w:p>
    <w:p>
      <w:pPr>
        <w:pStyle w:val="686"/>
        <w:numPr>
          <w:ilvl w:val="0"/>
          <w:numId w:val="0"/>
        </w:numPr>
        <w:spacing w:line="400" w:lineRule="exact"/>
        <w:rPr>
          <w:rFonts w:hint="eastAsia" w:cs="宋体"/>
          <w:sz w:val="21"/>
        </w:rPr>
      </w:pPr>
      <w:r>
        <w:rPr>
          <w:rFonts w:hint="eastAsia" w:cs="宋体"/>
          <w:sz w:val="21"/>
        </w:rPr>
        <w:t>12.4.2 对未能通过竣工后试验的工程或区段工程，承包人可向发包人建议，由承包人对该工程或区段工程进行调整或修补。发包人收到建议后，可向承包人发出通知，指示其在发包人方便的合理时间进入工程或区段工程进行调查、调整或修补，并为承包人的进入提供方便。承包人提出建议，但未在缺陷责任期内收到上述发包人通知的，相关工程或区段工程应视为已通过该竣工后试验。</w:t>
      </w:r>
    </w:p>
    <w:p>
      <w:pPr>
        <w:pStyle w:val="686"/>
        <w:numPr>
          <w:ilvl w:val="0"/>
          <w:numId w:val="0"/>
        </w:numPr>
        <w:spacing w:line="400" w:lineRule="exact"/>
        <w:rPr>
          <w:rFonts w:hint="eastAsia" w:cs="宋体"/>
          <w:sz w:val="21"/>
        </w:rPr>
      </w:pPr>
      <w:r>
        <w:rPr>
          <w:rFonts w:hint="eastAsia" w:cs="宋体"/>
          <w:sz w:val="21"/>
        </w:rPr>
        <w:t>12.4.3 发包人无故拖延给予承包人进行调查、调整或修补所需的进入工程或区段工程的许可，并造成承包人费用增加的，应承担由此增加的费用并支付承包人合理利润。</w:t>
      </w:r>
    </w:p>
    <w:p>
      <w:pPr>
        <w:pStyle w:val="684"/>
        <w:numPr>
          <w:ilvl w:val="0"/>
          <w:numId w:val="0"/>
        </w:numPr>
        <w:spacing w:line="400" w:lineRule="exact"/>
        <w:rPr>
          <w:rFonts w:hint="eastAsia" w:ascii="宋体" w:hAnsi="宋体" w:eastAsia="宋体" w:cs="宋体"/>
          <w:b w:val="0"/>
          <w:szCs w:val="21"/>
        </w:rPr>
      </w:pPr>
      <w:bookmarkStart w:id="1382" w:name="_Ref4415801"/>
      <w:bookmarkStart w:id="1383" w:name="_Toc54862282"/>
      <w:bookmarkStart w:id="1384" w:name="_Toc59203181"/>
      <w:r>
        <w:rPr>
          <w:rFonts w:hint="eastAsia" w:ascii="宋体" w:hAnsi="宋体" w:eastAsia="宋体" w:cs="宋体"/>
          <w:b w:val="0"/>
          <w:szCs w:val="21"/>
        </w:rPr>
        <w:t>第13条 变更与调整</w:t>
      </w:r>
      <w:bookmarkEnd w:id="1382"/>
      <w:bookmarkEnd w:id="1383"/>
      <w:bookmarkEnd w:id="1384"/>
    </w:p>
    <w:p>
      <w:pPr>
        <w:pStyle w:val="685"/>
        <w:widowControl/>
        <w:numPr>
          <w:ilvl w:val="0"/>
          <w:numId w:val="0"/>
        </w:numPr>
        <w:spacing w:line="400" w:lineRule="exact"/>
        <w:rPr>
          <w:rFonts w:hint="eastAsia" w:ascii="宋体" w:hAnsi="宋体" w:eastAsia="宋体" w:cs="宋体"/>
          <w:b w:val="0"/>
          <w:bCs/>
          <w:sz w:val="21"/>
          <w:szCs w:val="21"/>
        </w:rPr>
      </w:pPr>
      <w:bookmarkStart w:id="1385" w:name="_Ref532670395"/>
      <w:bookmarkStart w:id="1386" w:name="_Ref532677087"/>
      <w:bookmarkStart w:id="1387" w:name="_Ref532668573"/>
      <w:bookmarkStart w:id="1388" w:name="_Toc54862283"/>
      <w:bookmarkStart w:id="1389" w:name="_Toc59203182"/>
      <w:bookmarkStart w:id="1390" w:name="_Ref532670393"/>
      <w:bookmarkStart w:id="1391" w:name="_Ref532677084"/>
      <w:bookmarkStart w:id="1392" w:name="_Ref532668569"/>
      <w:r>
        <w:rPr>
          <w:rFonts w:hint="eastAsia" w:ascii="宋体" w:hAnsi="宋体" w:eastAsia="宋体" w:cs="宋体"/>
          <w:b w:val="0"/>
          <w:bCs/>
          <w:sz w:val="21"/>
          <w:szCs w:val="21"/>
        </w:rPr>
        <w:t>13.1 发包人变更权</w:t>
      </w:r>
      <w:bookmarkEnd w:id="1385"/>
      <w:bookmarkEnd w:id="1386"/>
      <w:bookmarkEnd w:id="1387"/>
      <w:bookmarkEnd w:id="1388"/>
      <w:bookmarkEnd w:id="1389"/>
      <w:bookmarkEnd w:id="1390"/>
      <w:bookmarkEnd w:id="1391"/>
      <w:bookmarkEnd w:id="1392"/>
      <w:r>
        <w:rPr>
          <w:rFonts w:hint="eastAsia" w:ascii="宋体" w:hAnsi="宋体" w:eastAsia="宋体" w:cs="宋体"/>
          <w:b w:val="0"/>
          <w:bCs/>
          <w:sz w:val="21"/>
          <w:szCs w:val="21"/>
        </w:rPr>
        <w:t xml:space="preserve"> </w:t>
      </w:r>
    </w:p>
    <w:p>
      <w:pPr>
        <w:pStyle w:val="686"/>
        <w:numPr>
          <w:ilvl w:val="0"/>
          <w:numId w:val="0"/>
        </w:numPr>
        <w:spacing w:line="400" w:lineRule="exact"/>
        <w:rPr>
          <w:rFonts w:hint="eastAsia" w:cs="宋体"/>
          <w:sz w:val="21"/>
        </w:rPr>
      </w:pPr>
      <w:bookmarkStart w:id="1393" w:name="_Ref4534979"/>
      <w:r>
        <w:rPr>
          <w:rFonts w:hint="eastAsia" w:cs="宋体"/>
          <w:sz w:val="21"/>
        </w:rPr>
        <w:t>13.1.1 变更指示应经发包人同意，并由工程师发出经发包人签认的变更指示。除第11.3.6项[未能修复]约定的情况外，变更不应包括准备将任何工作删减并交由他人或发包人自行实施的情况。承包人收到变更指示后，方可实施变更。未经许可，承包人不得擅自对工程的任何部分进行变更。</w:t>
      </w:r>
      <w:bookmarkEnd w:id="1393"/>
      <w:r>
        <w:rPr>
          <w:rFonts w:hint="eastAsia" w:cs="宋体"/>
          <w:sz w:val="21"/>
        </w:rPr>
        <w:t>发包人与承包人对某项指示或批准是否构成变更产生争议的，按第20条[争议解决]处理。</w:t>
      </w:r>
    </w:p>
    <w:p>
      <w:pPr>
        <w:pStyle w:val="686"/>
        <w:numPr>
          <w:ilvl w:val="0"/>
          <w:numId w:val="0"/>
        </w:numPr>
        <w:spacing w:line="400" w:lineRule="exact"/>
        <w:rPr>
          <w:rFonts w:hint="eastAsia" w:cs="宋体"/>
          <w:sz w:val="21"/>
        </w:rPr>
      </w:pPr>
      <w:r>
        <w:rPr>
          <w:rFonts w:hint="eastAsia" w:cs="宋体"/>
          <w:sz w:val="21"/>
        </w:rPr>
        <w:t>13.1.2 承包人应按照变更指示执行，除非承包人及时向工程师发出通知，说明该项变更指示将降低工程的安全性、稳定性或适用性；涉及的工作内容和范围不可预见；所涉设备难以采购；导致承包人无法执行第7.5款[现场劳动用工]、第7.6款[安全文明施工]、第7.7款[职业健康]或第7.8款[环境保护]内容；将造成工期延误；与第4.1款[承包人的一般义务]相冲突等无法执行的理由。工程师接到承包人的通知后，应作出经发包人签认的取消、确认或改变原指示的书面回复。</w:t>
      </w:r>
    </w:p>
    <w:p>
      <w:pPr>
        <w:pStyle w:val="685"/>
        <w:widowControl/>
        <w:numPr>
          <w:ilvl w:val="0"/>
          <w:numId w:val="0"/>
        </w:numPr>
        <w:spacing w:line="400" w:lineRule="exact"/>
        <w:rPr>
          <w:rFonts w:hint="eastAsia" w:ascii="宋体" w:hAnsi="宋体" w:eastAsia="宋体" w:cs="宋体"/>
          <w:b w:val="0"/>
          <w:bCs/>
          <w:sz w:val="21"/>
          <w:szCs w:val="21"/>
        </w:rPr>
      </w:pPr>
      <w:bookmarkStart w:id="1394" w:name="_Ref531955590"/>
      <w:bookmarkStart w:id="1395" w:name="_Ref531955587"/>
      <w:bookmarkStart w:id="1396" w:name="_Toc54862284"/>
      <w:bookmarkStart w:id="1397" w:name="_Ref4623207"/>
      <w:bookmarkStart w:id="1398" w:name="_Toc59203183"/>
      <w:r>
        <w:rPr>
          <w:rFonts w:hint="eastAsia" w:ascii="宋体" w:hAnsi="宋体" w:eastAsia="宋体" w:cs="宋体"/>
          <w:b w:val="0"/>
          <w:bCs/>
          <w:sz w:val="21"/>
          <w:szCs w:val="21"/>
        </w:rPr>
        <w:t>13.2 承</w:t>
      </w:r>
      <w:bookmarkEnd w:id="1394"/>
      <w:bookmarkEnd w:id="1395"/>
      <w:r>
        <w:rPr>
          <w:rFonts w:hint="eastAsia" w:ascii="宋体" w:hAnsi="宋体" w:eastAsia="宋体" w:cs="宋体"/>
          <w:b w:val="0"/>
          <w:bCs/>
          <w:sz w:val="21"/>
          <w:szCs w:val="21"/>
        </w:rPr>
        <w:t>包人的合理化建议</w:t>
      </w:r>
      <w:bookmarkEnd w:id="1396"/>
      <w:bookmarkEnd w:id="1397"/>
      <w:bookmarkEnd w:id="1398"/>
    </w:p>
    <w:p>
      <w:pPr>
        <w:pStyle w:val="686"/>
        <w:numPr>
          <w:ilvl w:val="0"/>
          <w:numId w:val="0"/>
        </w:numPr>
        <w:spacing w:line="400" w:lineRule="exact"/>
        <w:rPr>
          <w:rFonts w:hint="eastAsia" w:cs="宋体"/>
          <w:sz w:val="21"/>
        </w:rPr>
      </w:pPr>
      <w:r>
        <w:rPr>
          <w:rFonts w:hint="eastAsia" w:cs="宋体"/>
          <w:sz w:val="21"/>
        </w:rPr>
        <w:t>13.2.1 承包人提出合理化建议的，应向工程师提交合理化建议说明，说明建议的内容、理由以及实施该建议对合同价格和工期的影响。</w:t>
      </w:r>
    </w:p>
    <w:p>
      <w:pPr>
        <w:pStyle w:val="686"/>
        <w:numPr>
          <w:ilvl w:val="0"/>
          <w:numId w:val="0"/>
        </w:numPr>
        <w:spacing w:line="400" w:lineRule="exact"/>
        <w:rPr>
          <w:rFonts w:hint="eastAsia" w:cs="宋体"/>
          <w:sz w:val="21"/>
        </w:rPr>
      </w:pPr>
      <w:bookmarkStart w:id="1399" w:name="_Ref4681686"/>
      <w:r>
        <w:rPr>
          <w:rFonts w:hint="eastAsia" w:cs="宋体"/>
          <w:sz w:val="21"/>
        </w:rPr>
        <w:t>13.2.2 除专用合同条件另有约定外，</w:t>
      </w:r>
      <w:bookmarkStart w:id="1400" w:name="_Hlk4682273"/>
      <w:r>
        <w:rPr>
          <w:rFonts w:hint="eastAsia" w:cs="宋体"/>
          <w:sz w:val="21"/>
        </w:rPr>
        <w:t>工程师应在收到承包人提交的合理化建议后7天内审查完毕并报送发包人，发现其中存在技术上的缺陷，应通知承包人修改。发包人应在收到工程师报送的合理化建议后7天内审批完毕。合理化建议经发包人批准的，工程师应及时发出变更指示，由此引起的合同价格调整按照第13.3.3项[变更估价]约定执行。发包人不同意变更的，工程师应书面通知承包人</w:t>
      </w:r>
      <w:bookmarkEnd w:id="1399"/>
      <w:r>
        <w:rPr>
          <w:rFonts w:hint="eastAsia" w:cs="宋体"/>
          <w:sz w:val="21"/>
        </w:rPr>
        <w:t>。</w:t>
      </w:r>
    </w:p>
    <w:p>
      <w:pPr>
        <w:pStyle w:val="686"/>
        <w:numPr>
          <w:ilvl w:val="0"/>
          <w:numId w:val="0"/>
        </w:numPr>
        <w:spacing w:line="400" w:lineRule="exact"/>
        <w:rPr>
          <w:rFonts w:hint="eastAsia" w:cs="宋体"/>
          <w:sz w:val="21"/>
        </w:rPr>
      </w:pPr>
      <w:r>
        <w:rPr>
          <w:rFonts w:hint="eastAsia" w:cs="宋体"/>
          <w:sz w:val="21"/>
        </w:rPr>
        <w:t>13.2.3 合理化建议降低了合同价格、缩短了工期或者提高了工程经济效益的，双方可以按照专用合同条件的约定进行利益分享。</w:t>
      </w:r>
    </w:p>
    <w:bookmarkEnd w:id="1400"/>
    <w:p>
      <w:pPr>
        <w:pStyle w:val="685"/>
        <w:widowControl/>
        <w:numPr>
          <w:ilvl w:val="0"/>
          <w:numId w:val="0"/>
        </w:numPr>
        <w:spacing w:line="400" w:lineRule="exact"/>
        <w:rPr>
          <w:rFonts w:hint="eastAsia" w:ascii="宋体" w:hAnsi="宋体" w:eastAsia="宋体" w:cs="宋体"/>
          <w:b w:val="0"/>
          <w:bCs/>
          <w:sz w:val="21"/>
          <w:szCs w:val="21"/>
        </w:rPr>
      </w:pPr>
      <w:bookmarkStart w:id="1401" w:name="_Ref532669305"/>
      <w:bookmarkStart w:id="1402" w:name="_Ref532673538"/>
      <w:bookmarkStart w:id="1403" w:name="_Ref532671484"/>
      <w:bookmarkStart w:id="1404" w:name="_Ref532673541"/>
      <w:bookmarkStart w:id="1405" w:name="_Toc59203184"/>
      <w:bookmarkStart w:id="1406" w:name="_Ref532671480"/>
      <w:bookmarkStart w:id="1407" w:name="_Toc54862285"/>
      <w:bookmarkStart w:id="1408" w:name="_Ref532669302"/>
      <w:r>
        <w:rPr>
          <w:rFonts w:hint="eastAsia" w:ascii="宋体" w:hAnsi="宋体" w:eastAsia="宋体" w:cs="宋体"/>
          <w:b w:val="0"/>
          <w:bCs/>
          <w:sz w:val="21"/>
          <w:szCs w:val="21"/>
        </w:rPr>
        <w:t>13.3 变更程序</w:t>
      </w:r>
      <w:bookmarkEnd w:id="1401"/>
      <w:bookmarkEnd w:id="1402"/>
      <w:bookmarkEnd w:id="1403"/>
      <w:bookmarkEnd w:id="1404"/>
      <w:bookmarkEnd w:id="1405"/>
      <w:bookmarkEnd w:id="1406"/>
      <w:bookmarkEnd w:id="1407"/>
      <w:bookmarkEnd w:id="1408"/>
    </w:p>
    <w:p>
      <w:pPr>
        <w:pStyle w:val="686"/>
        <w:numPr>
          <w:ilvl w:val="0"/>
          <w:numId w:val="0"/>
        </w:numPr>
        <w:spacing w:line="400" w:lineRule="exact"/>
        <w:rPr>
          <w:rFonts w:hint="eastAsia" w:cs="宋体"/>
          <w:sz w:val="21"/>
        </w:rPr>
      </w:pPr>
      <w:bookmarkStart w:id="1409" w:name="_Ref4534600"/>
      <w:r>
        <w:rPr>
          <w:rFonts w:hint="eastAsia" w:cs="宋体"/>
          <w:sz w:val="21"/>
        </w:rPr>
        <w:t>13.3.1 发包人提出变更</w:t>
      </w:r>
      <w:bookmarkEnd w:id="1409"/>
    </w:p>
    <w:p>
      <w:pPr>
        <w:spacing w:line="400" w:lineRule="exact"/>
        <w:ind w:firstLine="600"/>
        <w:rPr>
          <w:rFonts w:hint="eastAsia" w:ascii="宋体" w:hAnsi="宋体" w:cs="宋体"/>
          <w:szCs w:val="21"/>
        </w:rPr>
      </w:pPr>
      <w:r>
        <w:rPr>
          <w:rFonts w:hint="eastAsia" w:ascii="宋体" w:hAnsi="宋体" w:cs="宋体"/>
          <w:szCs w:val="21"/>
        </w:rPr>
        <w:t>发包人提出变更的，应通过工程师向承包人发出书面形式的变更指示，变更指示应说明计划变更的工程范围和变更的内容。</w:t>
      </w:r>
    </w:p>
    <w:p>
      <w:pPr>
        <w:pStyle w:val="686"/>
        <w:numPr>
          <w:ilvl w:val="0"/>
          <w:numId w:val="0"/>
        </w:numPr>
        <w:spacing w:line="400" w:lineRule="exact"/>
        <w:rPr>
          <w:rFonts w:hint="eastAsia" w:cs="宋体"/>
          <w:sz w:val="21"/>
        </w:rPr>
      </w:pPr>
      <w:bookmarkStart w:id="1410" w:name="_Ref4534617"/>
      <w:r>
        <w:rPr>
          <w:rFonts w:hint="eastAsia" w:cs="宋体"/>
          <w:sz w:val="21"/>
        </w:rPr>
        <w:t>13.3.2 变更执行</w:t>
      </w:r>
      <w:bookmarkEnd w:id="1410"/>
    </w:p>
    <w:p>
      <w:pPr>
        <w:spacing w:line="400" w:lineRule="exact"/>
        <w:ind w:firstLine="600"/>
        <w:rPr>
          <w:rFonts w:hint="eastAsia" w:ascii="宋体" w:hAnsi="宋体" w:cs="宋体"/>
          <w:szCs w:val="21"/>
        </w:rPr>
      </w:pPr>
      <w:r>
        <w:rPr>
          <w:rFonts w:hint="eastAsia" w:ascii="宋体" w:hAnsi="宋体" w:cs="宋体"/>
          <w:szCs w:val="21"/>
        </w:rPr>
        <w:t>承包人收到工程师下达的变更指示后，认为不能执行，应在合理期限内提出不能执行该变更指示的理由。承包人认为可以执行变更的，应当书面说明实施该变更指示需要采取的具体措施及对合同价格和工期的影响，且合同当事人应当按照第13.3.3项[变更估价]约定确定变更估价。</w:t>
      </w:r>
    </w:p>
    <w:p>
      <w:pPr>
        <w:pStyle w:val="686"/>
        <w:numPr>
          <w:ilvl w:val="0"/>
          <w:numId w:val="0"/>
        </w:numPr>
        <w:spacing w:line="400" w:lineRule="exact"/>
        <w:rPr>
          <w:rFonts w:hint="eastAsia" w:cs="宋体"/>
          <w:sz w:val="21"/>
        </w:rPr>
      </w:pPr>
      <w:bookmarkStart w:id="1411" w:name="_Ref3835481"/>
      <w:r>
        <w:rPr>
          <w:rFonts w:hint="eastAsia" w:cs="宋体"/>
          <w:sz w:val="21"/>
        </w:rPr>
        <w:t>13.3.3 变更估价</w:t>
      </w:r>
      <w:bookmarkEnd w:id="1411"/>
    </w:p>
    <w:p>
      <w:pPr>
        <w:pStyle w:val="687"/>
        <w:widowControl/>
        <w:numPr>
          <w:ilvl w:val="0"/>
          <w:numId w:val="0"/>
        </w:numPr>
        <w:spacing w:line="400" w:lineRule="exact"/>
        <w:rPr>
          <w:rFonts w:hint="eastAsia" w:cs="宋体"/>
          <w:sz w:val="21"/>
        </w:rPr>
      </w:pPr>
      <w:r>
        <w:rPr>
          <w:rFonts w:hint="eastAsia" w:cs="宋体"/>
          <w:sz w:val="21"/>
        </w:rPr>
        <w:t>13.3.3.1 变更估价原则</w:t>
      </w:r>
    </w:p>
    <w:p>
      <w:pPr>
        <w:spacing w:line="400" w:lineRule="exact"/>
        <w:ind w:firstLine="600"/>
        <w:rPr>
          <w:rFonts w:hint="eastAsia" w:ascii="宋体" w:hAnsi="宋体" w:cs="宋体"/>
          <w:szCs w:val="21"/>
        </w:rPr>
      </w:pPr>
      <w:r>
        <w:rPr>
          <w:rFonts w:hint="eastAsia" w:ascii="宋体" w:hAnsi="宋体" w:cs="宋体"/>
          <w:szCs w:val="21"/>
        </w:rPr>
        <w:t>除专用合同条件另有约定外，变更估价按照本款约定处理：</w:t>
      </w:r>
    </w:p>
    <w:p>
      <w:pPr>
        <w:spacing w:line="400" w:lineRule="exact"/>
        <w:ind w:firstLine="600"/>
        <w:rPr>
          <w:rFonts w:hint="eastAsia" w:ascii="宋体" w:hAnsi="宋体" w:cs="宋体"/>
          <w:szCs w:val="21"/>
        </w:rPr>
      </w:pPr>
      <w:r>
        <w:rPr>
          <w:rFonts w:hint="eastAsia" w:ascii="宋体" w:hAnsi="宋体" w:cs="宋体"/>
          <w:szCs w:val="21"/>
        </w:rPr>
        <w:t>（1） 合同中未包含价格清单，合同价格应按照所执行的变更工程的成本加利润调整；</w:t>
      </w:r>
    </w:p>
    <w:p>
      <w:pPr>
        <w:spacing w:line="400" w:lineRule="exact"/>
        <w:ind w:firstLine="600"/>
        <w:rPr>
          <w:rFonts w:hint="eastAsia" w:ascii="宋体" w:hAnsi="宋体" w:cs="宋体"/>
          <w:szCs w:val="21"/>
        </w:rPr>
      </w:pPr>
      <w:r>
        <w:rPr>
          <w:rFonts w:hint="eastAsia" w:ascii="宋体" w:hAnsi="宋体" w:cs="宋体"/>
          <w:szCs w:val="21"/>
        </w:rPr>
        <w:t>（2） 合同中包含价格清单，合同价格按照如下规则调整：</w:t>
      </w:r>
    </w:p>
    <w:p>
      <w:pPr>
        <w:spacing w:line="400" w:lineRule="exact"/>
        <w:ind w:firstLine="600"/>
        <w:rPr>
          <w:rFonts w:hint="eastAsia" w:ascii="宋体" w:hAnsi="宋体" w:cs="宋体"/>
          <w:szCs w:val="21"/>
        </w:rPr>
      </w:pPr>
      <w:r>
        <w:rPr>
          <w:rFonts w:hint="eastAsia" w:ascii="宋体" w:hAnsi="宋体" w:cs="宋体"/>
          <w:szCs w:val="21"/>
        </w:rPr>
        <w:t>1） 价格清单中有适用于变更工程项目的，应采用该项目的费率和价格；</w:t>
      </w:r>
    </w:p>
    <w:p>
      <w:pPr>
        <w:spacing w:line="400" w:lineRule="exact"/>
        <w:ind w:firstLine="600"/>
        <w:rPr>
          <w:rFonts w:hint="eastAsia" w:ascii="宋体" w:hAnsi="宋体" w:cs="宋体"/>
          <w:szCs w:val="21"/>
        </w:rPr>
      </w:pPr>
      <w:r>
        <w:rPr>
          <w:rFonts w:hint="eastAsia" w:ascii="宋体" w:hAnsi="宋体" w:cs="宋体"/>
          <w:szCs w:val="21"/>
        </w:rPr>
        <w:t>2） 价格清单中没有适用但有类似于变更工程项目的，可在合理范围内参照类似项目的费率或价格；</w:t>
      </w:r>
    </w:p>
    <w:p>
      <w:pPr>
        <w:spacing w:line="400" w:lineRule="exact"/>
        <w:ind w:firstLine="600"/>
        <w:rPr>
          <w:rFonts w:hint="eastAsia" w:ascii="宋体" w:hAnsi="宋体" w:cs="宋体"/>
          <w:szCs w:val="21"/>
        </w:rPr>
      </w:pPr>
      <w:r>
        <w:rPr>
          <w:rFonts w:hint="eastAsia" w:ascii="宋体" w:hAnsi="宋体" w:cs="宋体"/>
          <w:szCs w:val="21"/>
        </w:rPr>
        <w:t>3） 价格清单中没有适用也没有类似于变更工程项目的，该工程项目应按成本加利润原则调整适用新的费率或价格。</w:t>
      </w:r>
    </w:p>
    <w:p>
      <w:pPr>
        <w:pStyle w:val="687"/>
        <w:widowControl/>
        <w:numPr>
          <w:ilvl w:val="0"/>
          <w:numId w:val="0"/>
        </w:numPr>
        <w:spacing w:line="400" w:lineRule="exact"/>
        <w:rPr>
          <w:rFonts w:hint="eastAsia" w:cs="宋体"/>
          <w:sz w:val="21"/>
        </w:rPr>
      </w:pPr>
      <w:r>
        <w:rPr>
          <w:rFonts w:hint="eastAsia" w:cs="宋体"/>
          <w:sz w:val="21"/>
        </w:rPr>
        <w:t>13.3.3.2 变更估价程序</w:t>
      </w:r>
    </w:p>
    <w:p>
      <w:pPr>
        <w:spacing w:line="400" w:lineRule="exact"/>
        <w:ind w:firstLine="600"/>
        <w:rPr>
          <w:rFonts w:hint="eastAsia" w:ascii="宋体" w:hAnsi="宋体" w:cs="宋体"/>
          <w:szCs w:val="21"/>
        </w:rPr>
      </w:pPr>
      <w:bookmarkStart w:id="1412" w:name="_Ref531955605"/>
      <w:bookmarkStart w:id="1413" w:name="_Ref531955607"/>
      <w:bookmarkStart w:id="1414" w:name="_Toc337558844"/>
      <w:bookmarkStart w:id="1415" w:name="_Toc296346651"/>
      <w:bookmarkStart w:id="1416" w:name="_Toc296503150"/>
      <w:r>
        <w:rPr>
          <w:rFonts w:hint="eastAsia" w:ascii="宋体" w:hAnsi="宋体" w:cs="宋体"/>
          <w:szCs w:val="21"/>
        </w:rPr>
        <w:t>承包人应在收到变更指示后14天内，向工程师提交变更估价申请。工程师应在收到承包人提交的变更估价申请后7天内审查完毕并报送发包人，工程师对变更估价申请有异议，通知承包人修改后重新提交。发包人应在承包人提交变更估价申请后14天内审批完毕。发包人逾期未完成审批或未提出异议的，视为认可承包人提交的变更估价申请。</w:t>
      </w:r>
    </w:p>
    <w:p>
      <w:pPr>
        <w:spacing w:line="400" w:lineRule="exact"/>
        <w:ind w:firstLine="600"/>
        <w:rPr>
          <w:rFonts w:hint="eastAsia" w:ascii="宋体" w:hAnsi="宋体" w:cs="宋体"/>
          <w:szCs w:val="21"/>
        </w:rPr>
      </w:pPr>
      <w:r>
        <w:rPr>
          <w:rFonts w:hint="eastAsia" w:ascii="宋体" w:hAnsi="宋体" w:cs="宋体"/>
          <w:szCs w:val="21"/>
        </w:rPr>
        <w:t>因变更引起的价格调整应计入最近一期的进度款中支付。</w:t>
      </w:r>
    </w:p>
    <w:p>
      <w:pPr>
        <w:pStyle w:val="686"/>
        <w:numPr>
          <w:ilvl w:val="0"/>
          <w:numId w:val="0"/>
        </w:numPr>
        <w:spacing w:line="400" w:lineRule="exact"/>
        <w:rPr>
          <w:rFonts w:hint="eastAsia" w:cs="宋体"/>
          <w:sz w:val="21"/>
        </w:rPr>
      </w:pPr>
      <w:r>
        <w:rPr>
          <w:rFonts w:hint="eastAsia" w:cs="宋体"/>
          <w:sz w:val="21"/>
        </w:rPr>
        <w:t>13.3.4 变更引起的工期调整</w:t>
      </w:r>
    </w:p>
    <w:p>
      <w:pPr>
        <w:spacing w:line="400" w:lineRule="exact"/>
        <w:ind w:firstLine="600"/>
        <w:rPr>
          <w:rFonts w:hint="eastAsia" w:ascii="宋体" w:hAnsi="宋体" w:cs="宋体"/>
          <w:szCs w:val="21"/>
        </w:rPr>
      </w:pPr>
      <w:r>
        <w:rPr>
          <w:rFonts w:hint="eastAsia" w:ascii="宋体" w:hAnsi="宋体" w:cs="宋体"/>
          <w:szCs w:val="21"/>
        </w:rPr>
        <w:t>因变更引起工期变化的，合同当事人均可要求调整合同工期，由合同当事人按照第3.6款[商定或确定]并参考工程所在地的工期定额标准确定增减工期天数。</w:t>
      </w:r>
    </w:p>
    <w:p>
      <w:pPr>
        <w:pStyle w:val="685"/>
        <w:widowControl/>
        <w:numPr>
          <w:ilvl w:val="0"/>
          <w:numId w:val="0"/>
        </w:numPr>
        <w:spacing w:line="400" w:lineRule="exact"/>
        <w:rPr>
          <w:rFonts w:hint="eastAsia" w:ascii="宋体" w:hAnsi="宋体" w:eastAsia="宋体" w:cs="宋体"/>
          <w:b w:val="0"/>
          <w:bCs/>
          <w:sz w:val="21"/>
          <w:szCs w:val="21"/>
        </w:rPr>
      </w:pPr>
      <w:bookmarkStart w:id="1417" w:name="_Ref4431237"/>
      <w:bookmarkStart w:id="1418" w:name="_Toc59203185"/>
      <w:bookmarkStart w:id="1419" w:name="_Toc54862286"/>
      <w:r>
        <w:rPr>
          <w:rFonts w:hint="eastAsia" w:ascii="宋体" w:hAnsi="宋体" w:eastAsia="宋体" w:cs="宋体"/>
          <w:b w:val="0"/>
          <w:bCs/>
          <w:sz w:val="21"/>
          <w:szCs w:val="21"/>
        </w:rPr>
        <w:t>13.4 暂估价</w:t>
      </w:r>
      <w:bookmarkEnd w:id="1417"/>
      <w:bookmarkEnd w:id="1418"/>
      <w:bookmarkEnd w:id="1419"/>
    </w:p>
    <w:p>
      <w:pPr>
        <w:pStyle w:val="686"/>
        <w:numPr>
          <w:ilvl w:val="0"/>
          <w:numId w:val="0"/>
        </w:numPr>
        <w:spacing w:line="400" w:lineRule="exact"/>
        <w:rPr>
          <w:rFonts w:hint="eastAsia" w:cs="宋体"/>
          <w:sz w:val="21"/>
        </w:rPr>
      </w:pPr>
      <w:bookmarkStart w:id="1420" w:name="_Ref4616729"/>
      <w:r>
        <w:rPr>
          <w:rFonts w:hint="eastAsia" w:cs="宋体"/>
          <w:sz w:val="21"/>
        </w:rPr>
        <w:t>13.4.1 依法必须招标的暂估价项目</w:t>
      </w:r>
      <w:bookmarkEnd w:id="1420"/>
    </w:p>
    <w:p>
      <w:pPr>
        <w:spacing w:line="400" w:lineRule="exact"/>
        <w:ind w:firstLine="600"/>
        <w:rPr>
          <w:rFonts w:hint="eastAsia" w:ascii="宋体" w:hAnsi="宋体" w:cs="宋体"/>
          <w:szCs w:val="21"/>
        </w:rPr>
      </w:pPr>
      <w:r>
        <w:rPr>
          <w:rFonts w:hint="eastAsia" w:ascii="宋体" w:hAnsi="宋体" w:cs="宋体"/>
          <w:szCs w:val="21"/>
        </w:rPr>
        <w:t>对于依法必须招标的暂估价项目，专用合同条件约定由承包人作为招标人的，招标文件、评标方案、评标结果应报送发包人批准。与组织招标工作有关的费用应当被认为已经包括在承包人的签约合同价中。</w:t>
      </w:r>
    </w:p>
    <w:p>
      <w:pPr>
        <w:pStyle w:val="688"/>
        <w:numPr>
          <w:ilvl w:val="0"/>
          <w:numId w:val="0"/>
        </w:numPr>
        <w:spacing w:line="400" w:lineRule="exact"/>
        <w:ind w:firstLine="420" w:firstLineChars="200"/>
        <w:rPr>
          <w:rFonts w:hint="eastAsia" w:ascii="宋体" w:hAnsi="宋体" w:cs="宋体"/>
          <w:szCs w:val="21"/>
        </w:rPr>
      </w:pPr>
      <w:r>
        <w:rPr>
          <w:rFonts w:hint="eastAsia" w:ascii="宋体" w:hAnsi="宋体" w:cs="宋体"/>
          <w:szCs w:val="21"/>
        </w:rPr>
        <w:t>专用合同条件约定由发包人和承包人共同作为招标人的，与组织招标工作有关的费用在专用合同条件中约定。</w:t>
      </w:r>
    </w:p>
    <w:p>
      <w:pPr>
        <w:spacing w:line="400" w:lineRule="exact"/>
        <w:ind w:firstLine="600"/>
        <w:rPr>
          <w:rFonts w:hint="eastAsia" w:ascii="宋体" w:hAnsi="宋体" w:cs="宋体"/>
          <w:szCs w:val="21"/>
        </w:rPr>
      </w:pPr>
      <w:r>
        <w:rPr>
          <w:rFonts w:hint="eastAsia" w:ascii="宋体" w:hAnsi="宋体" w:cs="宋体"/>
          <w:szCs w:val="21"/>
        </w:rPr>
        <w:t>具体的招标程序以及发包人和承包人权利义务关系可在专用合同条件中约定。暂估价项目的中标金额与价格清单中所列暂估价的金额差以及相应的税金等其他费用应列入合同价格。</w:t>
      </w:r>
    </w:p>
    <w:p>
      <w:pPr>
        <w:pStyle w:val="686"/>
        <w:numPr>
          <w:ilvl w:val="0"/>
          <w:numId w:val="0"/>
        </w:numPr>
        <w:spacing w:line="400" w:lineRule="exact"/>
        <w:rPr>
          <w:rFonts w:hint="eastAsia" w:cs="宋体"/>
          <w:sz w:val="21"/>
        </w:rPr>
      </w:pPr>
      <w:bookmarkStart w:id="1421" w:name="_Ref4682312"/>
      <w:r>
        <w:rPr>
          <w:rFonts w:hint="eastAsia" w:cs="宋体"/>
          <w:sz w:val="21"/>
        </w:rPr>
        <w:t>13.4.2 不属于依法必须招标的暂估价项目</w:t>
      </w:r>
      <w:bookmarkEnd w:id="1421"/>
    </w:p>
    <w:p>
      <w:pPr>
        <w:spacing w:line="400" w:lineRule="exact"/>
        <w:ind w:firstLine="600"/>
        <w:rPr>
          <w:rFonts w:hint="eastAsia" w:ascii="宋体" w:hAnsi="宋体" w:cs="宋体"/>
          <w:szCs w:val="21"/>
        </w:rPr>
      </w:pPr>
      <w:r>
        <w:rPr>
          <w:rFonts w:hint="eastAsia" w:ascii="宋体" w:hAnsi="宋体" w:cs="宋体"/>
          <w:szCs w:val="21"/>
        </w:rPr>
        <w:t>对于不属于依法必须招标的暂估价项目，承包人具备实施暂估价项目的资格和条件的，经发包人和承包人协商一致后，可由承包人自行实施暂估价项目，具体的协商和估价程序以及发包人和承包人权利义务关系可在专用合同条件中约定。确定后的暂估价项目金额与价格清单中所列暂估价的金额差以及相应的税金等其他费用应列入合同价格。</w:t>
      </w:r>
    </w:p>
    <w:p>
      <w:pPr>
        <w:spacing w:line="400" w:lineRule="exact"/>
        <w:ind w:firstLine="600"/>
        <w:rPr>
          <w:rFonts w:hint="eastAsia" w:ascii="宋体" w:hAnsi="宋体" w:cs="宋体"/>
          <w:szCs w:val="21"/>
        </w:rPr>
      </w:pPr>
      <w:r>
        <w:rPr>
          <w:rFonts w:hint="eastAsia" w:ascii="宋体" w:hAnsi="宋体" w:cs="宋体"/>
          <w:szCs w:val="21"/>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pStyle w:val="685"/>
        <w:widowControl/>
        <w:numPr>
          <w:ilvl w:val="0"/>
          <w:numId w:val="0"/>
        </w:numPr>
        <w:spacing w:line="400" w:lineRule="exact"/>
        <w:rPr>
          <w:rFonts w:hint="eastAsia" w:ascii="宋体" w:hAnsi="宋体" w:eastAsia="宋体" w:cs="宋体"/>
          <w:b w:val="0"/>
          <w:bCs/>
          <w:sz w:val="21"/>
          <w:szCs w:val="21"/>
        </w:rPr>
      </w:pPr>
      <w:bookmarkStart w:id="1422" w:name="_Toc54862287"/>
      <w:bookmarkStart w:id="1423" w:name="_Toc59203186"/>
      <w:bookmarkStart w:id="1424" w:name="_Ref4431250"/>
      <w:r>
        <w:rPr>
          <w:rFonts w:hint="eastAsia" w:ascii="宋体" w:hAnsi="宋体" w:eastAsia="宋体" w:cs="宋体"/>
          <w:b w:val="0"/>
          <w:bCs/>
          <w:sz w:val="21"/>
          <w:szCs w:val="21"/>
        </w:rPr>
        <w:t>13.5 暂列金额</w:t>
      </w:r>
      <w:bookmarkEnd w:id="1422"/>
      <w:bookmarkEnd w:id="1423"/>
      <w:bookmarkEnd w:id="1424"/>
      <w:r>
        <w:rPr>
          <w:rFonts w:hint="eastAsia" w:ascii="宋体" w:hAnsi="宋体" w:eastAsia="宋体" w:cs="宋体"/>
          <w:b w:val="0"/>
          <w:bCs/>
          <w:sz w:val="21"/>
          <w:szCs w:val="21"/>
        </w:rPr>
        <w:t xml:space="preserve"> </w:t>
      </w:r>
      <w:bookmarkEnd w:id="1412"/>
      <w:bookmarkEnd w:id="1413"/>
    </w:p>
    <w:bookmarkEnd w:id="1414"/>
    <w:bookmarkEnd w:id="1415"/>
    <w:bookmarkEnd w:id="1416"/>
    <w:p>
      <w:pPr>
        <w:spacing w:line="400" w:lineRule="exact"/>
        <w:ind w:firstLine="600"/>
        <w:rPr>
          <w:rFonts w:hint="eastAsia" w:ascii="宋体" w:hAnsi="宋体" w:cs="宋体"/>
          <w:szCs w:val="21"/>
        </w:rPr>
      </w:pPr>
      <w:r>
        <w:rPr>
          <w:rFonts w:hint="eastAsia" w:ascii="宋体" w:hAnsi="宋体" w:cs="宋体"/>
          <w:szCs w:val="21"/>
        </w:rPr>
        <w:t>除专用合同条件另有约定外，每一笔暂列金额只能按照发包人的指示全部或部分使用，并对合同价格进行相应调整。付给承包人的总金额应仅包括发包人已指示的，与暂列金额相关的工作、货物或服务的应付款项。</w:t>
      </w:r>
    </w:p>
    <w:p>
      <w:pPr>
        <w:spacing w:line="400" w:lineRule="exact"/>
        <w:ind w:firstLine="600"/>
        <w:rPr>
          <w:rFonts w:hint="eastAsia" w:ascii="宋体" w:hAnsi="宋体" w:cs="宋体"/>
          <w:szCs w:val="21"/>
        </w:rPr>
      </w:pPr>
      <w:r>
        <w:rPr>
          <w:rFonts w:hint="eastAsia" w:ascii="宋体" w:hAnsi="宋体" w:cs="宋体"/>
          <w:szCs w:val="21"/>
        </w:rPr>
        <w:t>对于每笔暂列金额，发包人可以指示用于下列支付：</w:t>
      </w:r>
    </w:p>
    <w:p>
      <w:pPr>
        <w:spacing w:line="400" w:lineRule="exact"/>
        <w:ind w:firstLine="600"/>
        <w:rPr>
          <w:rFonts w:hint="eastAsia" w:ascii="宋体" w:hAnsi="宋体" w:cs="宋体"/>
          <w:szCs w:val="21"/>
        </w:rPr>
      </w:pPr>
      <w:r>
        <w:rPr>
          <w:rFonts w:hint="eastAsia" w:ascii="宋体" w:hAnsi="宋体" w:cs="宋体"/>
          <w:szCs w:val="21"/>
        </w:rPr>
        <w:t>（1） 发包人根据第13.1款[发包人变更权]指示变更，决定对合同价格和付款计划表（如有）进行调整的、由承包人实施的工作（包括要提供的工程设备、材料和服务）；</w:t>
      </w:r>
    </w:p>
    <w:p>
      <w:pPr>
        <w:spacing w:line="400" w:lineRule="exact"/>
        <w:ind w:firstLine="600"/>
        <w:rPr>
          <w:rFonts w:hint="eastAsia" w:ascii="宋体" w:hAnsi="宋体" w:cs="宋体"/>
          <w:szCs w:val="21"/>
        </w:rPr>
      </w:pPr>
      <w:r>
        <w:rPr>
          <w:rFonts w:hint="eastAsia" w:ascii="宋体" w:hAnsi="宋体" w:cs="宋体"/>
          <w:szCs w:val="21"/>
        </w:rPr>
        <w:t>（2） 承包人购买的工程设备、材料、工作或服务，应支付包括承包人已付（或应付）的实际金额以及相应的管理费等费用和利润（管理费和利润应以实际金额为基数根据合同约定的费率（如有）或百分比计算）。</w:t>
      </w:r>
    </w:p>
    <w:p>
      <w:pPr>
        <w:spacing w:line="400" w:lineRule="exact"/>
        <w:ind w:firstLine="600"/>
        <w:rPr>
          <w:rFonts w:hint="eastAsia" w:ascii="宋体" w:hAnsi="宋体" w:cs="宋体"/>
          <w:szCs w:val="21"/>
        </w:rPr>
      </w:pPr>
      <w:r>
        <w:rPr>
          <w:rFonts w:hint="eastAsia" w:ascii="宋体" w:hAnsi="宋体" w:cs="宋体"/>
          <w:szCs w:val="21"/>
        </w:rPr>
        <w:t>发包人根据上述(1)和（或）(2)指示支付暂列金额的，可以要求承包人提交其供应商提供的全部或部分要实施的工程或拟购买的工程设备、材料、工作或服务的项目报价单。发包人可以发出通知指示承包人接受其中的一个报价或指示撤销支付，发包人在收到项目报价单的7天内未作回应的，承包人应有权自行接受其中任何一个报价。</w:t>
      </w:r>
    </w:p>
    <w:p>
      <w:pPr>
        <w:spacing w:line="400" w:lineRule="exact"/>
        <w:ind w:firstLine="600"/>
        <w:rPr>
          <w:rFonts w:hint="eastAsia" w:ascii="宋体" w:hAnsi="宋体" w:cs="宋体"/>
          <w:szCs w:val="21"/>
        </w:rPr>
      </w:pPr>
      <w:r>
        <w:rPr>
          <w:rFonts w:hint="eastAsia" w:ascii="宋体" w:hAnsi="宋体" w:cs="宋体"/>
          <w:szCs w:val="21"/>
        </w:rPr>
        <w:t>每份包含暂列金额的文件还应包括用以证明暂列金额的所有有效的发票、凭证和账户或收据。</w:t>
      </w:r>
    </w:p>
    <w:p>
      <w:pPr>
        <w:pStyle w:val="685"/>
        <w:widowControl/>
        <w:numPr>
          <w:ilvl w:val="0"/>
          <w:numId w:val="0"/>
        </w:numPr>
        <w:spacing w:line="400" w:lineRule="exact"/>
        <w:rPr>
          <w:rFonts w:hint="eastAsia" w:ascii="宋体" w:hAnsi="宋体" w:eastAsia="宋体" w:cs="宋体"/>
          <w:b w:val="0"/>
          <w:bCs/>
          <w:sz w:val="21"/>
          <w:szCs w:val="21"/>
        </w:rPr>
      </w:pPr>
      <w:bookmarkStart w:id="1425" w:name="_Toc54862288"/>
      <w:bookmarkStart w:id="1426" w:name="_Toc337558845"/>
      <w:bookmarkStart w:id="1427" w:name="_Ref4431438"/>
      <w:bookmarkStart w:id="1428" w:name="_Toc296346653"/>
      <w:bookmarkStart w:id="1429" w:name="_Toc296503152"/>
      <w:bookmarkStart w:id="1430" w:name="_Toc59203187"/>
      <w:r>
        <w:rPr>
          <w:rFonts w:hint="eastAsia" w:ascii="宋体" w:hAnsi="宋体" w:eastAsia="宋体" w:cs="宋体"/>
          <w:b w:val="0"/>
          <w:bCs/>
          <w:sz w:val="21"/>
          <w:szCs w:val="21"/>
        </w:rPr>
        <w:t>13.6 计日工</w:t>
      </w:r>
      <w:bookmarkEnd w:id="1425"/>
      <w:bookmarkEnd w:id="1426"/>
      <w:bookmarkEnd w:id="1427"/>
      <w:bookmarkEnd w:id="1428"/>
      <w:bookmarkEnd w:id="1429"/>
      <w:bookmarkEnd w:id="1430"/>
    </w:p>
    <w:p>
      <w:pPr>
        <w:pStyle w:val="686"/>
        <w:numPr>
          <w:ilvl w:val="0"/>
          <w:numId w:val="0"/>
        </w:numPr>
        <w:spacing w:line="400" w:lineRule="exact"/>
        <w:rPr>
          <w:rFonts w:hint="eastAsia" w:cs="宋体"/>
          <w:sz w:val="21"/>
        </w:rPr>
      </w:pPr>
      <w:r>
        <w:rPr>
          <w:rFonts w:hint="eastAsia" w:cs="宋体"/>
          <w:sz w:val="21"/>
        </w:rPr>
        <w:t>13.6.1 需要采用计日工方式的，经发包人同意后，由工程师通知承包人以计日工计价方式实施相应的工作，其价款按列入价格清单或预算书中的计日工计价项目及其单价进行计算；价格清单或预算书中无相应的计日工单价的，按照合理的成本与利润构成的原则，由工程师按照第3.6款[商定或确定]确定计日工的单价。</w:t>
      </w:r>
    </w:p>
    <w:p>
      <w:pPr>
        <w:pStyle w:val="686"/>
        <w:numPr>
          <w:ilvl w:val="0"/>
          <w:numId w:val="0"/>
        </w:numPr>
        <w:spacing w:line="400" w:lineRule="exact"/>
        <w:rPr>
          <w:rFonts w:hint="eastAsia" w:cs="宋体"/>
          <w:sz w:val="21"/>
        </w:rPr>
      </w:pPr>
      <w:r>
        <w:rPr>
          <w:rFonts w:hint="eastAsia" w:cs="宋体"/>
          <w:sz w:val="21"/>
        </w:rPr>
        <w:t>13.6.2 采用计日工计价的任何一项工作，承包人应在该项工作实施过程中，每天提交以下报表和有关凭证报送工程师审查：</w:t>
      </w:r>
    </w:p>
    <w:p>
      <w:pPr>
        <w:spacing w:line="400" w:lineRule="exact"/>
        <w:ind w:firstLine="600"/>
        <w:rPr>
          <w:rFonts w:hint="eastAsia" w:ascii="宋体" w:hAnsi="宋体" w:cs="宋体"/>
          <w:szCs w:val="21"/>
        </w:rPr>
      </w:pPr>
      <w:r>
        <w:rPr>
          <w:rFonts w:hint="eastAsia" w:ascii="宋体" w:hAnsi="宋体" w:cs="宋体"/>
          <w:szCs w:val="21"/>
        </w:rPr>
        <w:t>（1） 工作名称、内容和数量；</w:t>
      </w:r>
    </w:p>
    <w:p>
      <w:pPr>
        <w:spacing w:line="400" w:lineRule="exact"/>
        <w:ind w:firstLine="600"/>
        <w:rPr>
          <w:rFonts w:hint="eastAsia" w:ascii="宋体" w:hAnsi="宋体" w:cs="宋体"/>
          <w:szCs w:val="21"/>
        </w:rPr>
      </w:pPr>
      <w:r>
        <w:rPr>
          <w:rFonts w:hint="eastAsia" w:ascii="宋体" w:hAnsi="宋体" w:cs="宋体"/>
          <w:szCs w:val="21"/>
        </w:rPr>
        <w:t>（2） 投入该工作的所有人员的姓名、专业、工种、级别和耗用工时；</w:t>
      </w:r>
    </w:p>
    <w:p>
      <w:pPr>
        <w:spacing w:line="400" w:lineRule="exact"/>
        <w:ind w:firstLine="600"/>
        <w:rPr>
          <w:rFonts w:hint="eastAsia" w:ascii="宋体" w:hAnsi="宋体" w:cs="宋体"/>
          <w:szCs w:val="21"/>
        </w:rPr>
      </w:pPr>
      <w:r>
        <w:rPr>
          <w:rFonts w:hint="eastAsia" w:ascii="宋体" w:hAnsi="宋体" w:cs="宋体"/>
          <w:szCs w:val="21"/>
        </w:rPr>
        <w:t>（3） 投入该工作的材料类别和数量；</w:t>
      </w:r>
    </w:p>
    <w:p>
      <w:pPr>
        <w:spacing w:line="400" w:lineRule="exact"/>
        <w:ind w:firstLine="600"/>
        <w:rPr>
          <w:rFonts w:hint="eastAsia" w:ascii="宋体" w:hAnsi="宋体" w:cs="宋体"/>
          <w:szCs w:val="21"/>
        </w:rPr>
      </w:pPr>
      <w:r>
        <w:rPr>
          <w:rFonts w:hint="eastAsia" w:ascii="宋体" w:hAnsi="宋体" w:cs="宋体"/>
          <w:szCs w:val="21"/>
        </w:rPr>
        <w:t>（4） 投入该工作的施工设备型号、台数和耗用台时；</w:t>
      </w:r>
    </w:p>
    <w:p>
      <w:pPr>
        <w:spacing w:line="400" w:lineRule="exact"/>
        <w:ind w:firstLine="600"/>
        <w:rPr>
          <w:rFonts w:hint="eastAsia" w:ascii="宋体" w:hAnsi="宋体" w:cs="宋体"/>
          <w:szCs w:val="21"/>
        </w:rPr>
      </w:pPr>
      <w:r>
        <w:rPr>
          <w:rFonts w:hint="eastAsia" w:ascii="宋体" w:hAnsi="宋体" w:cs="宋体"/>
          <w:szCs w:val="21"/>
        </w:rPr>
        <w:t>（5） 其他有关资料和凭证。</w:t>
      </w:r>
    </w:p>
    <w:p>
      <w:pPr>
        <w:spacing w:line="400" w:lineRule="exact"/>
        <w:ind w:firstLine="600"/>
        <w:rPr>
          <w:rFonts w:hint="eastAsia" w:ascii="宋体" w:hAnsi="宋体" w:cs="宋体"/>
          <w:szCs w:val="21"/>
        </w:rPr>
      </w:pPr>
      <w:r>
        <w:rPr>
          <w:rFonts w:hint="eastAsia" w:ascii="宋体" w:hAnsi="宋体" w:cs="宋体"/>
          <w:szCs w:val="21"/>
        </w:rPr>
        <w:t>计日工由承包人汇总后，列入最近一期进度付款申请单，由工程师审查并经发包人批准后列入进度付款。</w:t>
      </w:r>
    </w:p>
    <w:p>
      <w:pPr>
        <w:pStyle w:val="685"/>
        <w:widowControl/>
        <w:numPr>
          <w:ilvl w:val="0"/>
          <w:numId w:val="0"/>
        </w:numPr>
        <w:spacing w:line="400" w:lineRule="exact"/>
        <w:rPr>
          <w:rFonts w:hint="eastAsia" w:ascii="宋体" w:hAnsi="宋体" w:eastAsia="宋体" w:cs="宋体"/>
          <w:b w:val="0"/>
          <w:bCs/>
          <w:sz w:val="21"/>
          <w:szCs w:val="21"/>
        </w:rPr>
      </w:pPr>
      <w:bookmarkStart w:id="1431" w:name="_Ref4617318"/>
      <w:bookmarkStart w:id="1432" w:name="_Toc59203188"/>
      <w:bookmarkStart w:id="1433" w:name="_Toc54862289"/>
      <w:bookmarkStart w:id="1434" w:name="_Ref4617331"/>
      <w:r>
        <w:rPr>
          <w:rFonts w:hint="eastAsia" w:ascii="宋体" w:hAnsi="宋体" w:eastAsia="宋体" w:cs="宋体"/>
          <w:b w:val="0"/>
          <w:bCs/>
          <w:sz w:val="21"/>
          <w:szCs w:val="21"/>
        </w:rPr>
        <w:t>13.7 法律变化引起的调整</w:t>
      </w:r>
      <w:bookmarkEnd w:id="1431"/>
      <w:bookmarkEnd w:id="1432"/>
      <w:bookmarkEnd w:id="1433"/>
      <w:bookmarkEnd w:id="1434"/>
    </w:p>
    <w:p>
      <w:pPr>
        <w:pStyle w:val="686"/>
        <w:numPr>
          <w:ilvl w:val="0"/>
          <w:numId w:val="0"/>
        </w:numPr>
        <w:spacing w:line="400" w:lineRule="exact"/>
        <w:rPr>
          <w:rFonts w:hint="eastAsia" w:cs="宋体"/>
          <w:sz w:val="21"/>
        </w:rPr>
      </w:pPr>
      <w:r>
        <w:rPr>
          <w:rFonts w:hint="eastAsia" w:cs="宋体"/>
          <w:sz w:val="21"/>
        </w:rPr>
        <w:t>13.7.1 基准日期后，法律变化导致承包人在合同履行过程中所需要的费用发生除第13.8款[市场价格波动引起的调整]约定以外的增加时，由发包人承担由此增加的费用；减少时，应从合同价格中予以扣减。基准日期后，因法律变化造成工期延误时，工期应予以顺延。</w:t>
      </w:r>
    </w:p>
    <w:p>
      <w:pPr>
        <w:pStyle w:val="686"/>
        <w:numPr>
          <w:ilvl w:val="0"/>
          <w:numId w:val="0"/>
        </w:numPr>
        <w:spacing w:line="400" w:lineRule="exact"/>
        <w:rPr>
          <w:rFonts w:hint="eastAsia" w:cs="宋体"/>
          <w:sz w:val="21"/>
        </w:rPr>
      </w:pPr>
      <w:r>
        <w:rPr>
          <w:rFonts w:hint="eastAsia" w:cs="宋体"/>
          <w:sz w:val="21"/>
        </w:rPr>
        <w:t>13.7.2 因法律变化引起的合同价格和工期调整，合同当事人无法达成一致的，由工程师按第3.6款[商定或确定]的约定处理。</w:t>
      </w:r>
    </w:p>
    <w:p>
      <w:pPr>
        <w:pStyle w:val="686"/>
        <w:numPr>
          <w:ilvl w:val="0"/>
          <w:numId w:val="0"/>
        </w:numPr>
        <w:spacing w:line="400" w:lineRule="exact"/>
        <w:rPr>
          <w:rFonts w:hint="eastAsia" w:cs="宋体"/>
          <w:sz w:val="21"/>
        </w:rPr>
      </w:pPr>
      <w:r>
        <w:rPr>
          <w:rFonts w:hint="eastAsia" w:cs="宋体"/>
          <w:sz w:val="21"/>
        </w:rPr>
        <w:t>13.7.3 因承包人原因造成工期延误，在工期延误期间出现法律变化的，由此增加的费用和（或）延误的工期由承包人承担。</w:t>
      </w:r>
    </w:p>
    <w:p>
      <w:pPr>
        <w:pStyle w:val="686"/>
        <w:numPr>
          <w:ilvl w:val="0"/>
          <w:numId w:val="0"/>
        </w:numPr>
        <w:spacing w:line="400" w:lineRule="exact"/>
        <w:rPr>
          <w:rFonts w:hint="eastAsia" w:cs="宋体"/>
          <w:sz w:val="21"/>
        </w:rPr>
      </w:pPr>
      <w:r>
        <w:rPr>
          <w:rFonts w:hint="eastAsia" w:cs="宋体"/>
          <w:sz w:val="21"/>
        </w:rPr>
        <w:t>13.7.4 因法律变化而需要对工程的实施进行任何调整的，承包人应迅速通知发包人，或者发包人应迅速通知承包人，并附上详细的辅助资料。发包人接到通知后，应根据第13.3款[变更程序]发出变更指示。</w:t>
      </w:r>
    </w:p>
    <w:p>
      <w:pPr>
        <w:pStyle w:val="685"/>
        <w:widowControl/>
        <w:numPr>
          <w:ilvl w:val="0"/>
          <w:numId w:val="0"/>
        </w:numPr>
        <w:spacing w:line="400" w:lineRule="exact"/>
        <w:rPr>
          <w:rFonts w:hint="eastAsia" w:ascii="宋体" w:hAnsi="宋体" w:eastAsia="宋体" w:cs="宋体"/>
          <w:b w:val="0"/>
          <w:bCs/>
          <w:sz w:val="21"/>
          <w:szCs w:val="21"/>
        </w:rPr>
      </w:pPr>
      <w:bookmarkStart w:id="1435" w:name="_Ref531955630"/>
      <w:bookmarkStart w:id="1436" w:name="_Ref18977613"/>
      <w:bookmarkStart w:id="1437" w:name="_Toc59203189"/>
      <w:bookmarkStart w:id="1438" w:name="_Toc54862290"/>
      <w:bookmarkStart w:id="1439" w:name="_Ref531955627"/>
      <w:r>
        <w:rPr>
          <w:rFonts w:hint="eastAsia" w:ascii="宋体" w:hAnsi="宋体" w:eastAsia="宋体" w:cs="宋体"/>
          <w:b w:val="0"/>
          <w:bCs/>
          <w:sz w:val="21"/>
          <w:szCs w:val="21"/>
        </w:rPr>
        <w:t>13.8 市场价格波动引起的调整</w:t>
      </w:r>
      <w:bookmarkEnd w:id="1435"/>
      <w:bookmarkEnd w:id="1436"/>
      <w:bookmarkEnd w:id="1437"/>
      <w:bookmarkEnd w:id="1438"/>
      <w:bookmarkEnd w:id="1439"/>
    </w:p>
    <w:p>
      <w:pPr>
        <w:pStyle w:val="686"/>
        <w:numPr>
          <w:ilvl w:val="0"/>
          <w:numId w:val="0"/>
        </w:numPr>
        <w:spacing w:line="400" w:lineRule="exact"/>
        <w:rPr>
          <w:rFonts w:hint="eastAsia" w:cs="宋体"/>
          <w:sz w:val="21"/>
        </w:rPr>
      </w:pPr>
      <w:bookmarkStart w:id="1440" w:name="_Ref4709841"/>
      <w:r>
        <w:rPr>
          <w:rFonts w:hint="eastAsia" w:cs="宋体"/>
          <w:sz w:val="21"/>
        </w:rPr>
        <w:t>13.8.1 主要工程材料、设备、人工价格与招标时基期价相比，波动幅度超过合同约定幅度的，双方按照合同约定的价格调整方式调整。</w:t>
      </w:r>
    </w:p>
    <w:p>
      <w:pPr>
        <w:pStyle w:val="686"/>
        <w:numPr>
          <w:ilvl w:val="0"/>
          <w:numId w:val="0"/>
        </w:numPr>
        <w:spacing w:line="400" w:lineRule="exact"/>
        <w:rPr>
          <w:rFonts w:hint="eastAsia" w:cs="宋体"/>
          <w:sz w:val="21"/>
        </w:rPr>
      </w:pPr>
      <w:r>
        <w:rPr>
          <w:rFonts w:hint="eastAsia" w:cs="宋体"/>
          <w:sz w:val="21"/>
        </w:rPr>
        <w:t>13.8.2 发包人与承包人在专用合同条件中约定采用《价格指数权重表》的，适用本项约定。</w:t>
      </w:r>
    </w:p>
    <w:p>
      <w:pPr>
        <w:pStyle w:val="687"/>
        <w:numPr>
          <w:ilvl w:val="0"/>
          <w:numId w:val="0"/>
        </w:numPr>
        <w:spacing w:line="400" w:lineRule="exact"/>
        <w:rPr>
          <w:rFonts w:hint="eastAsia" w:cs="宋体"/>
          <w:sz w:val="21"/>
        </w:rPr>
      </w:pPr>
      <w:r>
        <w:rPr>
          <w:rFonts w:hint="eastAsia" w:cs="宋体"/>
          <w:sz w:val="21"/>
        </w:rPr>
        <w:t>13.8.2.1 双方当事人可以将部分主要工程材料、工程设备、人工价格及其他双方认为应当根据市场价格调整的费用列入附件5[价格指数权重表]，并根据以下公式计算差额并调整合同价格：</w:t>
      </w:r>
    </w:p>
    <w:bookmarkEnd w:id="1440"/>
    <w:p>
      <w:pPr>
        <w:spacing w:line="400" w:lineRule="exact"/>
        <w:ind w:firstLine="600"/>
        <w:rPr>
          <w:rFonts w:hint="eastAsia" w:ascii="宋体" w:hAnsi="宋体" w:cs="宋体"/>
          <w:szCs w:val="21"/>
        </w:rPr>
      </w:pPr>
      <w:bookmarkStart w:id="1441" w:name="_Ref4616996"/>
      <w:r>
        <w:rPr>
          <w:rFonts w:hint="eastAsia" w:ascii="宋体" w:hAnsi="宋体" w:cs="宋体"/>
          <w:szCs w:val="21"/>
        </w:rPr>
        <w:t>（1） 价格调整公式</w:t>
      </w:r>
      <w:bookmarkEnd w:id="1441"/>
    </w:p>
    <w:p>
      <w:pPr>
        <w:spacing w:line="400" w:lineRule="exact"/>
        <w:rPr>
          <w:rFonts w:hint="eastAsia" w:ascii="宋体" w:hAnsi="宋体" w:cs="宋体"/>
          <w:szCs w:val="21"/>
        </w:rPr>
      </w:pPr>
      <w:r>
        <w:rPr>
          <w:rFonts w:hint="eastAsia" w:ascii="宋体" w:hAnsi="宋体" w:cs="宋体"/>
          <w:szCs w:val="21"/>
        </w:rPr>
        <w:drawing>
          <wp:inline distT="0" distB="0" distL="114300" distR="114300">
            <wp:extent cx="4777740" cy="678815"/>
            <wp:effectExtent l="0" t="0" r="3810" b="6985"/>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11"/>
                    <a:stretch>
                      <a:fillRect/>
                    </a:stretch>
                  </pic:blipFill>
                  <pic:spPr>
                    <a:xfrm>
                      <a:off x="0" y="0"/>
                      <a:ext cx="4777740" cy="678815"/>
                    </a:xfrm>
                    <a:prstGeom prst="rect">
                      <a:avLst/>
                    </a:prstGeom>
                    <a:noFill/>
                    <a:ln>
                      <a:noFill/>
                    </a:ln>
                  </pic:spPr>
                </pic:pic>
              </a:graphicData>
            </a:graphic>
          </wp:inline>
        </w:drawing>
      </w:r>
    </w:p>
    <w:p>
      <w:pPr>
        <w:spacing w:line="400" w:lineRule="exact"/>
        <w:ind w:firstLine="600"/>
        <w:rPr>
          <w:rFonts w:hint="eastAsia" w:ascii="宋体" w:hAnsi="宋体" w:cs="宋体"/>
          <w:szCs w:val="21"/>
        </w:rPr>
      </w:pPr>
      <w:r>
        <w:rPr>
          <w:rFonts w:hint="eastAsia" w:ascii="宋体" w:hAnsi="宋体" w:cs="宋体"/>
          <w:szCs w:val="21"/>
        </w:rPr>
        <w:t>公式中：△P---需调整的价格差额；</w:t>
      </w:r>
    </w:p>
    <w:p>
      <w:pPr>
        <w:spacing w:line="400" w:lineRule="exact"/>
        <w:ind w:firstLine="600"/>
        <w:rPr>
          <w:rFonts w:hint="eastAsia" w:ascii="宋体" w:hAnsi="宋体" w:cs="宋体"/>
          <w:szCs w:val="21"/>
        </w:rPr>
      </w:pPr>
      <w:r>
        <w:rPr>
          <w:rFonts w:hint="eastAsia" w:ascii="宋体" w:hAnsi="宋体" w:cs="宋体"/>
          <w:szCs w:val="21"/>
        </w:rPr>
        <w:t>P</w:t>
      </w:r>
      <w:r>
        <w:rPr>
          <w:rFonts w:hint="eastAsia" w:ascii="宋体" w:hAnsi="宋体" w:cs="宋体"/>
          <w:szCs w:val="21"/>
          <w:vertAlign w:val="subscript"/>
        </w:rPr>
        <w:t>O</w:t>
      </w:r>
      <w:r>
        <w:rPr>
          <w:rFonts w:hint="eastAsia" w:ascii="宋体" w:hAnsi="宋体" w:cs="宋体"/>
          <w:szCs w:val="21"/>
        </w:rPr>
        <w:t>---付款证书中承包人应得到的已完成工作量的金额。此项金额应不包括价格调整、不计质量保证金的预留和支付、预付款的支付和扣回。第13条[变更与调整]约定的变更及其他金额已按当期价格计价的，也不计在内；</w:t>
      </w:r>
    </w:p>
    <w:p>
      <w:pPr>
        <w:spacing w:line="400" w:lineRule="exact"/>
        <w:ind w:firstLine="600"/>
        <w:rPr>
          <w:rFonts w:hint="eastAsia" w:ascii="宋体" w:hAnsi="宋体" w:cs="宋体"/>
          <w:szCs w:val="21"/>
        </w:rPr>
      </w:pPr>
      <w:r>
        <w:rPr>
          <w:rFonts w:hint="eastAsia" w:ascii="宋体" w:hAnsi="宋体" w:cs="宋体"/>
          <w:szCs w:val="21"/>
        </w:rPr>
        <w:t xml:space="preserve">A ---定值权重（即不调部分的权重）； </w:t>
      </w:r>
    </w:p>
    <w:p>
      <w:pPr>
        <w:spacing w:line="400" w:lineRule="exact"/>
        <w:ind w:firstLine="600"/>
        <w:rPr>
          <w:rFonts w:hint="eastAsia" w:ascii="宋体" w:hAnsi="宋体" w:cs="宋体"/>
          <w:szCs w:val="21"/>
        </w:rPr>
      </w:pPr>
      <w:bookmarkStart w:id="1442" w:name="_Hlk24103184"/>
      <w:r>
        <w:rPr>
          <w:rFonts w:hint="eastAsia" w:ascii="宋体" w:hAnsi="宋体" w:cs="宋体"/>
          <w:szCs w:val="21"/>
        </w:rPr>
        <w:t>B</w:t>
      </w:r>
      <w:r>
        <w:rPr>
          <w:rFonts w:hint="eastAsia" w:ascii="宋体" w:hAnsi="宋体" w:cs="宋体"/>
          <w:szCs w:val="21"/>
          <w:vertAlign w:val="subscript"/>
        </w:rPr>
        <w:t>1</w:t>
      </w:r>
      <w:bookmarkEnd w:id="1442"/>
      <w:r>
        <w:rPr>
          <w:rFonts w:hint="eastAsia" w:ascii="宋体" w:hAnsi="宋体" w:cs="宋体"/>
          <w:szCs w:val="21"/>
        </w:rPr>
        <w:t>；</w:t>
      </w:r>
      <w:bookmarkStart w:id="1443" w:name="_Hlk24103205"/>
      <w:r>
        <w:rPr>
          <w:rFonts w:hint="eastAsia" w:ascii="宋体" w:hAnsi="宋体" w:cs="宋体"/>
          <w:szCs w:val="21"/>
        </w:rPr>
        <w:t>B</w:t>
      </w:r>
      <w:r>
        <w:rPr>
          <w:rFonts w:hint="eastAsia" w:ascii="宋体" w:hAnsi="宋体" w:cs="宋体"/>
          <w:szCs w:val="21"/>
          <w:vertAlign w:val="subscript"/>
        </w:rPr>
        <w:t>2</w:t>
      </w:r>
      <w:bookmarkEnd w:id="1443"/>
      <w:r>
        <w:rPr>
          <w:rFonts w:hint="eastAsia" w:ascii="宋体" w:hAnsi="宋体" w:cs="宋体"/>
          <w:szCs w:val="21"/>
        </w:rPr>
        <w:t>；</w:t>
      </w:r>
      <w:bookmarkStart w:id="1444" w:name="_Hlk24103220"/>
      <w:r>
        <w:rPr>
          <w:rFonts w:hint="eastAsia" w:ascii="宋体" w:hAnsi="宋体" w:cs="宋体"/>
          <w:szCs w:val="21"/>
        </w:rPr>
        <w:t>B</w:t>
      </w:r>
      <w:r>
        <w:rPr>
          <w:rFonts w:hint="eastAsia" w:ascii="宋体" w:hAnsi="宋体" w:cs="宋体"/>
          <w:szCs w:val="21"/>
          <w:vertAlign w:val="subscript"/>
        </w:rPr>
        <w:t>3</w:t>
      </w:r>
      <w:bookmarkEnd w:id="1444"/>
      <w:r>
        <w:rPr>
          <w:rFonts w:hint="eastAsia" w:ascii="宋体" w:hAnsi="宋体" w:cs="宋体"/>
          <w:szCs w:val="21"/>
        </w:rPr>
        <w:t>；……</w:t>
      </w:r>
      <w:bookmarkStart w:id="1445" w:name="_Hlk24103245"/>
      <w:r>
        <w:rPr>
          <w:rFonts w:hint="eastAsia" w:ascii="宋体" w:hAnsi="宋体" w:cs="宋体"/>
          <w:szCs w:val="21"/>
        </w:rPr>
        <w:t>B</w:t>
      </w:r>
      <w:r>
        <w:rPr>
          <w:rFonts w:hint="eastAsia" w:ascii="宋体" w:hAnsi="宋体" w:cs="宋体"/>
          <w:szCs w:val="21"/>
          <w:vertAlign w:val="subscript"/>
        </w:rPr>
        <w:t>n</w:t>
      </w:r>
      <w:bookmarkEnd w:id="1445"/>
      <w:r>
        <w:rPr>
          <w:rFonts w:hint="eastAsia" w:ascii="宋体" w:hAnsi="宋体" w:cs="宋体"/>
          <w:szCs w:val="21"/>
        </w:rPr>
        <w:t>---各可调因子的变值权重（即可调部分的权重）为各可调因子在投标函投标总报价中所占的比例，且A+B</w:t>
      </w:r>
      <w:r>
        <w:rPr>
          <w:rFonts w:hint="eastAsia" w:ascii="宋体" w:hAnsi="宋体" w:cs="宋体"/>
          <w:szCs w:val="21"/>
          <w:vertAlign w:val="subscript"/>
        </w:rPr>
        <w:t>1</w:t>
      </w:r>
      <w:r>
        <w:rPr>
          <w:rFonts w:hint="eastAsia" w:ascii="宋体" w:hAnsi="宋体" w:cs="宋体"/>
          <w:szCs w:val="21"/>
        </w:rPr>
        <w:t>+B</w:t>
      </w:r>
      <w:r>
        <w:rPr>
          <w:rFonts w:hint="eastAsia" w:ascii="宋体" w:hAnsi="宋体" w:cs="宋体"/>
          <w:szCs w:val="21"/>
          <w:vertAlign w:val="subscript"/>
        </w:rPr>
        <w:t>2</w:t>
      </w:r>
      <w:r>
        <w:rPr>
          <w:rFonts w:hint="eastAsia" w:ascii="宋体" w:hAnsi="宋体" w:cs="宋体"/>
          <w:szCs w:val="21"/>
        </w:rPr>
        <w:t>+B</w:t>
      </w:r>
      <w:r>
        <w:rPr>
          <w:rFonts w:hint="eastAsia" w:ascii="宋体" w:hAnsi="宋体" w:cs="宋体"/>
          <w:szCs w:val="21"/>
          <w:vertAlign w:val="subscript"/>
        </w:rPr>
        <w:t>3</w:t>
      </w:r>
      <w:r>
        <w:rPr>
          <w:rFonts w:hint="eastAsia" w:ascii="宋体" w:hAnsi="宋体" w:cs="宋体"/>
          <w:szCs w:val="21"/>
        </w:rPr>
        <w:t>+……+B</w:t>
      </w:r>
      <w:r>
        <w:rPr>
          <w:rFonts w:hint="eastAsia" w:ascii="宋体" w:hAnsi="宋体" w:cs="宋体"/>
          <w:szCs w:val="21"/>
          <w:vertAlign w:val="subscript"/>
        </w:rPr>
        <w:t>n</w:t>
      </w:r>
      <w:r>
        <w:rPr>
          <w:rFonts w:hint="eastAsia" w:ascii="宋体" w:hAnsi="宋体" w:cs="宋体"/>
          <w:szCs w:val="21"/>
        </w:rPr>
        <w:t>=1；</w:t>
      </w:r>
    </w:p>
    <w:p>
      <w:pPr>
        <w:spacing w:line="400" w:lineRule="exact"/>
        <w:ind w:firstLine="600"/>
        <w:rPr>
          <w:rFonts w:hint="eastAsia" w:ascii="宋体" w:hAnsi="宋体" w:cs="宋体"/>
          <w:szCs w:val="21"/>
        </w:rPr>
      </w:pPr>
      <w:r>
        <w:rPr>
          <w:rFonts w:hint="eastAsia" w:ascii="宋体" w:hAnsi="宋体" w:cs="宋体"/>
          <w:szCs w:val="21"/>
        </w:rPr>
        <w:t>F</w:t>
      </w:r>
      <w:r>
        <w:rPr>
          <w:rFonts w:hint="eastAsia" w:ascii="宋体" w:hAnsi="宋体" w:cs="宋体"/>
          <w:szCs w:val="21"/>
          <w:vertAlign w:val="subscript"/>
        </w:rPr>
        <w:t>t1</w:t>
      </w:r>
      <w:r>
        <w:rPr>
          <w:rFonts w:hint="eastAsia" w:ascii="宋体" w:hAnsi="宋体" w:cs="宋体"/>
          <w:szCs w:val="21"/>
        </w:rPr>
        <w:t>；F</w:t>
      </w:r>
      <w:r>
        <w:rPr>
          <w:rFonts w:hint="eastAsia" w:ascii="宋体" w:hAnsi="宋体" w:cs="宋体"/>
          <w:szCs w:val="21"/>
          <w:vertAlign w:val="subscript"/>
        </w:rPr>
        <w:t>t2</w:t>
      </w:r>
      <w:r>
        <w:rPr>
          <w:rFonts w:hint="eastAsia" w:ascii="宋体" w:hAnsi="宋体" w:cs="宋体"/>
          <w:szCs w:val="21"/>
        </w:rPr>
        <w:t>；F</w:t>
      </w:r>
      <w:r>
        <w:rPr>
          <w:rFonts w:hint="eastAsia" w:ascii="宋体" w:hAnsi="宋体" w:cs="宋体"/>
          <w:szCs w:val="21"/>
          <w:vertAlign w:val="subscript"/>
        </w:rPr>
        <w:t>t3</w:t>
      </w:r>
      <w:r>
        <w:rPr>
          <w:rFonts w:hint="eastAsia" w:ascii="宋体" w:hAnsi="宋体" w:cs="宋体"/>
          <w:szCs w:val="21"/>
        </w:rPr>
        <w:t>；……F</w:t>
      </w:r>
      <w:r>
        <w:rPr>
          <w:rFonts w:hint="eastAsia" w:ascii="宋体" w:hAnsi="宋体" w:cs="宋体"/>
          <w:szCs w:val="21"/>
          <w:vertAlign w:val="subscript"/>
        </w:rPr>
        <w:t>tn</w:t>
      </w:r>
      <w:r>
        <w:rPr>
          <w:rFonts w:hint="eastAsia" w:ascii="宋体" w:hAnsi="宋体" w:cs="宋体"/>
          <w:szCs w:val="21"/>
        </w:rPr>
        <w:t>---各可调因子的当期价格指数，指付款证书相关周期最后一天的前42天的各可调因子的价格指数；</w:t>
      </w:r>
    </w:p>
    <w:p>
      <w:pPr>
        <w:spacing w:line="400" w:lineRule="exact"/>
        <w:ind w:firstLine="600"/>
        <w:rPr>
          <w:rFonts w:hint="eastAsia" w:ascii="宋体" w:hAnsi="宋体" w:cs="宋体"/>
          <w:szCs w:val="21"/>
        </w:rPr>
      </w:pPr>
      <w:r>
        <w:rPr>
          <w:rFonts w:hint="eastAsia" w:ascii="宋体" w:hAnsi="宋体" w:cs="宋体"/>
          <w:szCs w:val="21"/>
        </w:rPr>
        <w:t>F</w:t>
      </w:r>
      <w:r>
        <w:rPr>
          <w:rFonts w:hint="eastAsia" w:ascii="宋体" w:hAnsi="宋体" w:cs="宋体"/>
          <w:szCs w:val="21"/>
          <w:vertAlign w:val="subscript"/>
        </w:rPr>
        <w:t>01</w:t>
      </w:r>
      <w:r>
        <w:rPr>
          <w:rFonts w:hint="eastAsia" w:ascii="宋体" w:hAnsi="宋体" w:cs="宋体"/>
          <w:szCs w:val="21"/>
        </w:rPr>
        <w:t>；F</w:t>
      </w:r>
      <w:r>
        <w:rPr>
          <w:rFonts w:hint="eastAsia" w:ascii="宋体" w:hAnsi="宋体" w:cs="宋体"/>
          <w:szCs w:val="21"/>
          <w:vertAlign w:val="subscript"/>
        </w:rPr>
        <w:t>02</w:t>
      </w:r>
      <w:r>
        <w:rPr>
          <w:rFonts w:hint="eastAsia" w:ascii="宋体" w:hAnsi="宋体" w:cs="宋体"/>
          <w:szCs w:val="21"/>
        </w:rPr>
        <w:t>；F</w:t>
      </w:r>
      <w:r>
        <w:rPr>
          <w:rFonts w:hint="eastAsia" w:ascii="宋体" w:hAnsi="宋体" w:cs="宋体"/>
          <w:szCs w:val="21"/>
          <w:vertAlign w:val="subscript"/>
        </w:rPr>
        <w:t>03</w:t>
      </w:r>
      <w:r>
        <w:rPr>
          <w:rFonts w:hint="eastAsia" w:ascii="宋体" w:hAnsi="宋体" w:cs="宋体"/>
          <w:szCs w:val="21"/>
        </w:rPr>
        <w:t>；……F</w:t>
      </w:r>
      <w:r>
        <w:rPr>
          <w:rFonts w:hint="eastAsia" w:ascii="宋体" w:hAnsi="宋体" w:cs="宋体"/>
          <w:szCs w:val="21"/>
          <w:vertAlign w:val="subscript"/>
        </w:rPr>
        <w:t>0n</w:t>
      </w:r>
      <w:r>
        <w:rPr>
          <w:rFonts w:hint="eastAsia" w:ascii="宋体" w:hAnsi="宋体" w:cs="宋体"/>
          <w:szCs w:val="21"/>
        </w:rPr>
        <w:t>---各可调因子的基本价格指数，指基准日期的各可调因子的价格指数。</w:t>
      </w:r>
    </w:p>
    <w:p>
      <w:pPr>
        <w:spacing w:line="400" w:lineRule="exact"/>
        <w:ind w:firstLine="600"/>
        <w:rPr>
          <w:rFonts w:hint="eastAsia" w:ascii="宋体" w:hAnsi="宋体" w:cs="宋体"/>
          <w:szCs w:val="21"/>
        </w:rPr>
      </w:pPr>
      <w:r>
        <w:rPr>
          <w:rFonts w:hint="eastAsia" w:ascii="宋体" w:hAnsi="宋体" w:cs="宋体"/>
          <w:szCs w:val="21"/>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pPr>
        <w:spacing w:line="400" w:lineRule="exact"/>
        <w:ind w:firstLine="600"/>
        <w:rPr>
          <w:rFonts w:hint="eastAsia" w:ascii="宋体" w:hAnsi="宋体" w:cs="宋体"/>
          <w:szCs w:val="21"/>
        </w:rPr>
      </w:pPr>
      <w:r>
        <w:rPr>
          <w:rFonts w:hint="eastAsia" w:ascii="宋体" w:hAnsi="宋体" w:cs="宋体"/>
          <w:szCs w:val="21"/>
        </w:rPr>
        <w:t>（2） 暂时确定调整差额</w:t>
      </w:r>
    </w:p>
    <w:p>
      <w:pPr>
        <w:spacing w:line="400" w:lineRule="exact"/>
        <w:ind w:firstLine="600"/>
        <w:rPr>
          <w:rFonts w:hint="eastAsia" w:ascii="宋体" w:hAnsi="宋体" w:cs="宋体"/>
          <w:szCs w:val="21"/>
        </w:rPr>
      </w:pPr>
      <w:r>
        <w:rPr>
          <w:rFonts w:hint="eastAsia" w:ascii="宋体" w:hAnsi="宋体" w:cs="宋体"/>
          <w:szCs w:val="21"/>
        </w:rPr>
        <w:t>在计算调整差额时得不到当期价格指数的，可暂用上一次价格指数计算，并在以后的付款中再按实际价格指数进行调整。</w:t>
      </w:r>
    </w:p>
    <w:p>
      <w:pPr>
        <w:spacing w:line="400" w:lineRule="exact"/>
        <w:ind w:firstLine="600"/>
        <w:rPr>
          <w:rFonts w:hint="eastAsia" w:ascii="宋体" w:hAnsi="宋体" w:cs="宋体"/>
          <w:szCs w:val="21"/>
        </w:rPr>
      </w:pPr>
      <w:r>
        <w:rPr>
          <w:rFonts w:hint="eastAsia" w:ascii="宋体" w:hAnsi="宋体" w:cs="宋体"/>
          <w:szCs w:val="21"/>
        </w:rPr>
        <w:t>（3） 权重的调整</w:t>
      </w:r>
    </w:p>
    <w:p>
      <w:pPr>
        <w:spacing w:line="400" w:lineRule="exact"/>
        <w:ind w:firstLine="600"/>
        <w:rPr>
          <w:rFonts w:hint="eastAsia" w:ascii="宋体" w:hAnsi="宋体" w:cs="宋体"/>
          <w:szCs w:val="21"/>
        </w:rPr>
      </w:pPr>
      <w:r>
        <w:rPr>
          <w:rFonts w:hint="eastAsia" w:ascii="宋体" w:hAnsi="宋体" w:cs="宋体"/>
          <w:szCs w:val="21"/>
        </w:rPr>
        <w:t>按第13.1款[发包人变更权]约定的变更导致原定合同中的权重不合理的，由工程师与承包人和发包人协商后进行调整。</w:t>
      </w:r>
    </w:p>
    <w:p>
      <w:pPr>
        <w:spacing w:line="400" w:lineRule="exact"/>
        <w:ind w:firstLine="600"/>
        <w:rPr>
          <w:rFonts w:hint="eastAsia" w:ascii="宋体" w:hAnsi="宋体" w:cs="宋体"/>
          <w:szCs w:val="21"/>
        </w:rPr>
      </w:pPr>
      <w:r>
        <w:rPr>
          <w:rFonts w:hint="eastAsia" w:ascii="宋体" w:hAnsi="宋体" w:cs="宋体"/>
          <w:szCs w:val="21"/>
        </w:rPr>
        <w:t>（4） 承包人原因工期延误后的价格调整</w:t>
      </w:r>
    </w:p>
    <w:p>
      <w:pPr>
        <w:spacing w:line="400" w:lineRule="exact"/>
        <w:ind w:firstLine="600"/>
        <w:rPr>
          <w:rFonts w:hint="eastAsia" w:ascii="宋体" w:hAnsi="宋体" w:cs="宋体"/>
          <w:szCs w:val="21"/>
        </w:rPr>
      </w:pPr>
      <w:r>
        <w:rPr>
          <w:rFonts w:hint="eastAsia" w:ascii="宋体" w:hAnsi="宋体" w:cs="宋体"/>
          <w:szCs w:val="21"/>
        </w:rPr>
        <w:t>因承包人原因未在约定的工期内竣工的，则对原约定竣工日期后继续施工的工程，在使用本款第(1)项价格调整公式时，应采用原约定竣工日期与实际竣工日期的两个价格指数中较低的一个作为当期价格指数。</w:t>
      </w:r>
    </w:p>
    <w:p>
      <w:pPr>
        <w:spacing w:line="400" w:lineRule="exact"/>
        <w:ind w:firstLine="600"/>
        <w:rPr>
          <w:rFonts w:hint="eastAsia" w:ascii="宋体" w:hAnsi="宋体" w:cs="宋体"/>
          <w:szCs w:val="21"/>
        </w:rPr>
      </w:pPr>
      <w:r>
        <w:rPr>
          <w:rFonts w:hint="eastAsia" w:ascii="宋体" w:hAnsi="宋体" w:cs="宋体"/>
          <w:szCs w:val="21"/>
        </w:rPr>
        <w:t>（5） 发包人引起的工期延误后的价格调整</w:t>
      </w:r>
    </w:p>
    <w:p>
      <w:pPr>
        <w:spacing w:line="400" w:lineRule="exact"/>
        <w:ind w:firstLine="600"/>
        <w:rPr>
          <w:rFonts w:hint="eastAsia" w:ascii="宋体" w:hAnsi="宋体" w:cs="宋体"/>
          <w:szCs w:val="21"/>
        </w:rPr>
      </w:pPr>
      <w:r>
        <w:rPr>
          <w:rFonts w:hint="eastAsia" w:ascii="宋体" w:hAnsi="宋体" w:cs="宋体"/>
          <w:szCs w:val="21"/>
        </w:rPr>
        <w:t>由于发包人原因未在约定的工期内竣工的，则对原约定竣工日期后继续施工的工程，在使用本款第（1）目价格调整公式时，应采用原约定竣工日期与实际竣工日期的两个价格指数中较高的一个作为当期价格指数。</w:t>
      </w:r>
    </w:p>
    <w:p>
      <w:pPr>
        <w:pStyle w:val="687"/>
        <w:numPr>
          <w:ilvl w:val="0"/>
          <w:numId w:val="0"/>
        </w:numPr>
        <w:spacing w:line="400" w:lineRule="exact"/>
        <w:rPr>
          <w:rFonts w:hint="eastAsia" w:cs="宋体"/>
          <w:sz w:val="21"/>
        </w:rPr>
      </w:pPr>
      <w:r>
        <w:rPr>
          <w:rFonts w:hint="eastAsia" w:cs="宋体"/>
          <w:sz w:val="21"/>
        </w:rPr>
        <w:t>13.8.2.2 未列入</w:t>
      </w:r>
      <w:bookmarkStart w:id="1446" w:name="_Hlk24494865"/>
      <w:r>
        <w:rPr>
          <w:rFonts w:hint="eastAsia" w:cs="宋体"/>
          <w:sz w:val="21"/>
        </w:rPr>
        <w:t>《价格指数权重表》</w:t>
      </w:r>
      <w:bookmarkEnd w:id="1446"/>
      <w:r>
        <w:rPr>
          <w:rFonts w:hint="eastAsia" w:cs="宋体"/>
          <w:sz w:val="21"/>
        </w:rPr>
        <w:t>的费用不因市场变化而调整。</w:t>
      </w:r>
    </w:p>
    <w:p>
      <w:pPr>
        <w:pStyle w:val="686"/>
        <w:numPr>
          <w:ilvl w:val="0"/>
          <w:numId w:val="0"/>
        </w:numPr>
        <w:spacing w:line="400" w:lineRule="exact"/>
        <w:rPr>
          <w:rFonts w:hint="eastAsia" w:cs="宋体"/>
          <w:sz w:val="21"/>
        </w:rPr>
      </w:pPr>
      <w:r>
        <w:rPr>
          <w:rFonts w:hint="eastAsia" w:cs="宋体"/>
          <w:sz w:val="21"/>
        </w:rPr>
        <w:t>13.8.3 双方约定采用其他方式调整合同价款的，以专用合同条件约定为准。</w:t>
      </w:r>
    </w:p>
    <w:p>
      <w:pPr>
        <w:pStyle w:val="684"/>
        <w:numPr>
          <w:ilvl w:val="0"/>
          <w:numId w:val="0"/>
        </w:numPr>
        <w:spacing w:line="400" w:lineRule="exact"/>
        <w:rPr>
          <w:rFonts w:hint="eastAsia" w:ascii="宋体" w:hAnsi="宋体" w:eastAsia="宋体" w:cs="宋体"/>
          <w:b w:val="0"/>
          <w:szCs w:val="21"/>
        </w:rPr>
      </w:pPr>
      <w:bookmarkStart w:id="1447" w:name="_Toc59203190"/>
      <w:bookmarkStart w:id="1448" w:name="_Toc54862291"/>
      <w:bookmarkStart w:id="1449" w:name="_Ref531955885"/>
      <w:bookmarkStart w:id="1450" w:name="_Ref531955880"/>
      <w:r>
        <w:rPr>
          <w:rFonts w:hint="eastAsia" w:ascii="宋体" w:hAnsi="宋体" w:eastAsia="宋体" w:cs="宋体"/>
          <w:b w:val="0"/>
          <w:szCs w:val="21"/>
        </w:rPr>
        <w:t>第14条 合同价格与支付</w:t>
      </w:r>
      <w:bookmarkEnd w:id="1447"/>
      <w:bookmarkEnd w:id="1448"/>
      <w:bookmarkEnd w:id="1449"/>
      <w:bookmarkEnd w:id="1450"/>
    </w:p>
    <w:p>
      <w:pPr>
        <w:pStyle w:val="685"/>
        <w:widowControl/>
        <w:numPr>
          <w:ilvl w:val="0"/>
          <w:numId w:val="0"/>
        </w:numPr>
        <w:spacing w:line="400" w:lineRule="exact"/>
        <w:rPr>
          <w:rFonts w:hint="eastAsia" w:ascii="宋体" w:hAnsi="宋体" w:eastAsia="宋体" w:cs="宋体"/>
          <w:b w:val="0"/>
          <w:bCs/>
          <w:sz w:val="21"/>
          <w:szCs w:val="21"/>
        </w:rPr>
      </w:pPr>
      <w:bookmarkStart w:id="1451" w:name="_Ref4431521"/>
      <w:bookmarkStart w:id="1452" w:name="_Toc59203191"/>
      <w:bookmarkStart w:id="1453" w:name="_Toc54862292"/>
      <w:bookmarkStart w:id="1454" w:name="_Ref4431531"/>
      <w:r>
        <w:rPr>
          <w:rFonts w:hint="eastAsia" w:ascii="宋体" w:hAnsi="宋体" w:eastAsia="宋体" w:cs="宋体"/>
          <w:b w:val="0"/>
          <w:bCs/>
          <w:sz w:val="21"/>
          <w:szCs w:val="21"/>
        </w:rPr>
        <w:t>14.1 合同价格形式</w:t>
      </w:r>
      <w:bookmarkEnd w:id="1451"/>
      <w:bookmarkEnd w:id="1452"/>
      <w:bookmarkEnd w:id="1453"/>
      <w:bookmarkEnd w:id="1454"/>
    </w:p>
    <w:p>
      <w:pPr>
        <w:pStyle w:val="686"/>
        <w:numPr>
          <w:ilvl w:val="0"/>
          <w:numId w:val="0"/>
        </w:numPr>
        <w:spacing w:line="400" w:lineRule="exact"/>
        <w:rPr>
          <w:rFonts w:hint="eastAsia" w:cs="宋体"/>
          <w:sz w:val="21"/>
        </w:rPr>
      </w:pPr>
      <w:r>
        <w:rPr>
          <w:rFonts w:hint="eastAsia" w:cs="宋体"/>
          <w:sz w:val="21"/>
        </w:rPr>
        <w:t>14.1.1 除专用合同条件中另有约定外，本合同为总价合同，除根据第13条[变更与调整]，以及合同中其它相关增减金额的约定进行调整外，合同价格不做调整。</w:t>
      </w:r>
    </w:p>
    <w:p>
      <w:pPr>
        <w:pStyle w:val="686"/>
        <w:numPr>
          <w:ilvl w:val="0"/>
          <w:numId w:val="0"/>
        </w:numPr>
        <w:spacing w:line="400" w:lineRule="exact"/>
        <w:rPr>
          <w:rFonts w:hint="eastAsia" w:cs="宋体"/>
          <w:sz w:val="21"/>
        </w:rPr>
      </w:pPr>
      <w:r>
        <w:rPr>
          <w:rFonts w:hint="eastAsia" w:cs="宋体"/>
          <w:sz w:val="21"/>
        </w:rPr>
        <w:t>14.1.2 除专用合同条件另有约定外：</w:t>
      </w:r>
    </w:p>
    <w:p>
      <w:pPr>
        <w:spacing w:line="400" w:lineRule="exact"/>
        <w:ind w:firstLine="600"/>
        <w:rPr>
          <w:rFonts w:hint="eastAsia" w:ascii="宋体" w:hAnsi="宋体" w:cs="宋体"/>
          <w:szCs w:val="21"/>
        </w:rPr>
      </w:pPr>
      <w:r>
        <w:rPr>
          <w:rFonts w:hint="eastAsia" w:ascii="宋体" w:hAnsi="宋体" w:cs="宋体"/>
          <w:szCs w:val="21"/>
        </w:rPr>
        <w:t>（1） 工程款的支付应以合同协议书约定的签约合同价格为基础，按照合同约定进行调整；</w:t>
      </w:r>
    </w:p>
    <w:p>
      <w:pPr>
        <w:spacing w:line="400" w:lineRule="exact"/>
        <w:ind w:firstLine="600"/>
        <w:rPr>
          <w:rFonts w:hint="eastAsia" w:ascii="宋体" w:hAnsi="宋体" w:cs="宋体"/>
          <w:szCs w:val="21"/>
        </w:rPr>
      </w:pPr>
      <w:r>
        <w:rPr>
          <w:rFonts w:hint="eastAsia" w:ascii="宋体" w:hAnsi="宋体" w:cs="宋体"/>
          <w:szCs w:val="21"/>
        </w:rPr>
        <w:t>（2） 承包人应支付根据法律规定或合同约定应由其支付的各项税费，除第13.7款[法律变化引起的调整]约定外，合同价格不应因任何这些税费进行调整；</w:t>
      </w:r>
    </w:p>
    <w:p>
      <w:pPr>
        <w:spacing w:line="400" w:lineRule="exact"/>
        <w:ind w:firstLine="600"/>
        <w:rPr>
          <w:rFonts w:hint="eastAsia" w:ascii="宋体" w:hAnsi="宋体" w:cs="宋体"/>
          <w:szCs w:val="21"/>
        </w:rPr>
      </w:pPr>
      <w:r>
        <w:rPr>
          <w:rFonts w:hint="eastAsia" w:ascii="宋体" w:hAnsi="宋体" w:cs="宋体"/>
          <w:szCs w:val="21"/>
        </w:rPr>
        <w:t>（3） 价格清单列出的任何数量仅为估算的工作量，不得将其视为要求承包人实施的工程的实际或准确的工作量。在价格清单中列出的任何工作量和价格数据应仅限用于变更和支付的参考资料，而不能用于其他目的。</w:t>
      </w:r>
    </w:p>
    <w:p>
      <w:pPr>
        <w:pStyle w:val="686"/>
        <w:numPr>
          <w:ilvl w:val="0"/>
          <w:numId w:val="0"/>
        </w:numPr>
        <w:spacing w:line="400" w:lineRule="exact"/>
        <w:rPr>
          <w:rFonts w:hint="eastAsia" w:cs="宋体"/>
          <w:sz w:val="21"/>
        </w:rPr>
      </w:pPr>
      <w:r>
        <w:rPr>
          <w:rFonts w:hint="eastAsia" w:cs="宋体"/>
          <w:sz w:val="21"/>
        </w:rPr>
        <w:t>14.1.3 合同约定工程的某部分按照实际完成的工程量进行支付的，应按照专用合同条件的约定进行计量和估价，并据此调整合同价格。</w:t>
      </w:r>
    </w:p>
    <w:p>
      <w:pPr>
        <w:pStyle w:val="685"/>
        <w:widowControl/>
        <w:numPr>
          <w:ilvl w:val="0"/>
          <w:numId w:val="0"/>
        </w:numPr>
        <w:spacing w:line="400" w:lineRule="exact"/>
        <w:rPr>
          <w:rFonts w:hint="eastAsia" w:ascii="宋体" w:hAnsi="宋体" w:eastAsia="宋体" w:cs="宋体"/>
          <w:b w:val="0"/>
          <w:bCs/>
          <w:sz w:val="21"/>
          <w:szCs w:val="21"/>
        </w:rPr>
      </w:pPr>
      <w:bookmarkStart w:id="1455" w:name="_Ref531956884"/>
      <w:bookmarkStart w:id="1456" w:name="_Toc59203192"/>
      <w:bookmarkStart w:id="1457" w:name="_Ref531956881"/>
      <w:bookmarkStart w:id="1458" w:name="_Toc54862293"/>
      <w:r>
        <w:rPr>
          <w:rFonts w:hint="eastAsia" w:ascii="宋体" w:hAnsi="宋体" w:eastAsia="宋体" w:cs="宋体"/>
          <w:b w:val="0"/>
          <w:bCs/>
          <w:sz w:val="21"/>
          <w:szCs w:val="21"/>
        </w:rPr>
        <w:t>14.2 预付款</w:t>
      </w:r>
      <w:bookmarkEnd w:id="1455"/>
      <w:bookmarkEnd w:id="1456"/>
      <w:bookmarkEnd w:id="1457"/>
      <w:bookmarkEnd w:id="1458"/>
    </w:p>
    <w:p>
      <w:pPr>
        <w:pStyle w:val="686"/>
        <w:numPr>
          <w:ilvl w:val="0"/>
          <w:numId w:val="0"/>
        </w:numPr>
        <w:spacing w:line="400" w:lineRule="exact"/>
        <w:rPr>
          <w:rFonts w:hint="eastAsia" w:cs="宋体"/>
          <w:sz w:val="21"/>
        </w:rPr>
      </w:pPr>
      <w:r>
        <w:rPr>
          <w:rFonts w:hint="eastAsia" w:cs="宋体"/>
          <w:sz w:val="21"/>
        </w:rPr>
        <w:t>14.2.1 预付款支付</w:t>
      </w:r>
    </w:p>
    <w:p>
      <w:pPr>
        <w:spacing w:line="400" w:lineRule="exact"/>
        <w:ind w:firstLine="600"/>
        <w:rPr>
          <w:rFonts w:hint="eastAsia" w:ascii="宋体" w:hAnsi="宋体" w:cs="宋体"/>
          <w:szCs w:val="21"/>
        </w:rPr>
      </w:pPr>
      <w:r>
        <w:rPr>
          <w:rFonts w:hint="eastAsia" w:ascii="宋体" w:hAnsi="宋体" w:cs="宋体"/>
          <w:szCs w:val="21"/>
        </w:rPr>
        <w:t>预付款的额度和支付按照专用合同条件约定执行。预付款应当专用于承包人为合同工程的设计和工程实施购置材料、工程设备、施工设备、修建临时设施以及组织施工队伍进场等合同工作。</w:t>
      </w:r>
    </w:p>
    <w:p>
      <w:pPr>
        <w:spacing w:line="400" w:lineRule="exact"/>
        <w:ind w:firstLine="600"/>
        <w:rPr>
          <w:rFonts w:hint="eastAsia" w:ascii="宋体" w:hAnsi="宋体" w:cs="宋体"/>
          <w:szCs w:val="21"/>
        </w:rPr>
      </w:pPr>
      <w:r>
        <w:rPr>
          <w:rFonts w:hint="eastAsia" w:ascii="宋体" w:hAnsi="宋体" w:cs="宋体"/>
          <w:szCs w:val="21"/>
        </w:rPr>
        <w:t>除专用合同条件另有约定外，预付款在进度付款中同比例扣回。在颁发工程接收证书前，提前解除合同的，尚未扣完的预付款应与合同价款一并结算。</w:t>
      </w:r>
    </w:p>
    <w:p>
      <w:pPr>
        <w:spacing w:line="400" w:lineRule="exact"/>
        <w:ind w:firstLine="600"/>
        <w:rPr>
          <w:rFonts w:hint="eastAsia" w:ascii="宋体" w:hAnsi="宋体" w:cs="宋体"/>
          <w:szCs w:val="21"/>
        </w:rPr>
      </w:pPr>
      <w:r>
        <w:rPr>
          <w:rFonts w:hint="eastAsia" w:ascii="宋体" w:hAnsi="宋体" w:cs="宋体"/>
          <w:szCs w:val="21"/>
        </w:rPr>
        <w:t>发包人逾期支付预付款超过7天的，承包人有权向发包人发出要求预付的催告通知，发包人收到通知后7天内仍未支付的，承包人有权暂停施工，并按第15.1.1项[发包人违约的情形]执行。</w:t>
      </w:r>
    </w:p>
    <w:p>
      <w:pPr>
        <w:pStyle w:val="686"/>
        <w:numPr>
          <w:ilvl w:val="0"/>
          <w:numId w:val="0"/>
        </w:numPr>
        <w:spacing w:line="400" w:lineRule="exact"/>
        <w:rPr>
          <w:rFonts w:hint="eastAsia" w:cs="宋体"/>
          <w:sz w:val="21"/>
        </w:rPr>
      </w:pPr>
      <w:bookmarkStart w:id="1459" w:name="_Ref531956907"/>
      <w:bookmarkStart w:id="1460" w:name="_Ref4797624"/>
      <w:bookmarkStart w:id="1461" w:name="_Hlk54429963"/>
      <w:r>
        <w:rPr>
          <w:rFonts w:hint="eastAsia" w:cs="宋体"/>
          <w:sz w:val="21"/>
        </w:rPr>
        <w:t>14.2.2 预付款</w:t>
      </w:r>
      <w:bookmarkEnd w:id="1459"/>
      <w:r>
        <w:rPr>
          <w:rFonts w:hint="eastAsia" w:cs="宋体"/>
          <w:sz w:val="21"/>
        </w:rPr>
        <w:t>担保</w:t>
      </w:r>
      <w:bookmarkEnd w:id="1460"/>
    </w:p>
    <w:bookmarkEnd w:id="1461"/>
    <w:p>
      <w:pPr>
        <w:spacing w:line="400" w:lineRule="exact"/>
        <w:ind w:firstLine="600"/>
        <w:rPr>
          <w:rFonts w:hint="eastAsia" w:ascii="宋体" w:hAnsi="宋体" w:cs="宋体"/>
          <w:szCs w:val="21"/>
        </w:rPr>
      </w:pPr>
      <w:r>
        <w:rPr>
          <w:rFonts w:hint="eastAsia" w:ascii="宋体" w:hAnsi="宋体" w:cs="宋体"/>
          <w:szCs w:val="21"/>
        </w:rPr>
        <w:t>发包人指示承包人提供预付款担保的，承包人应在发包人支付预付款7天前提供预付款担保，专用合同条件另有约定除外。预付款担保可采用银行保函、担保公司担保等形式，具体由合同当事人在专用合同条件中约定。在预付款完全扣回之前，承包人应保证预付款担保持续有效。</w:t>
      </w:r>
    </w:p>
    <w:p>
      <w:pPr>
        <w:spacing w:line="400" w:lineRule="exact"/>
        <w:ind w:firstLine="600"/>
        <w:rPr>
          <w:rFonts w:hint="eastAsia" w:ascii="宋体" w:hAnsi="宋体" w:cs="宋体"/>
          <w:szCs w:val="21"/>
        </w:rPr>
      </w:pPr>
      <w:r>
        <w:rPr>
          <w:rFonts w:hint="eastAsia" w:ascii="宋体" w:hAnsi="宋体" w:cs="宋体"/>
          <w:szCs w:val="21"/>
        </w:rPr>
        <w:t>发包人在工程款中逐期扣回预付款后，预付款担保额度应相应减少，但剩余的预付款担保金额不得低于未被扣回的预付款金额。</w:t>
      </w:r>
    </w:p>
    <w:p>
      <w:pPr>
        <w:pStyle w:val="685"/>
        <w:widowControl/>
        <w:numPr>
          <w:ilvl w:val="0"/>
          <w:numId w:val="0"/>
        </w:numPr>
        <w:spacing w:line="400" w:lineRule="exact"/>
        <w:rPr>
          <w:rFonts w:hint="eastAsia" w:ascii="宋体" w:hAnsi="宋体" w:eastAsia="宋体" w:cs="宋体"/>
          <w:b w:val="0"/>
          <w:bCs/>
          <w:sz w:val="21"/>
          <w:szCs w:val="21"/>
        </w:rPr>
      </w:pPr>
      <w:bookmarkStart w:id="1462" w:name="_Ref531956963"/>
      <w:bookmarkStart w:id="1463" w:name="_Ref531956967"/>
      <w:bookmarkStart w:id="1464" w:name="_Toc59203193"/>
      <w:bookmarkStart w:id="1465" w:name="_Toc54862294"/>
      <w:bookmarkStart w:id="1466" w:name="_Ref4623398"/>
      <w:r>
        <w:rPr>
          <w:rFonts w:hint="eastAsia" w:ascii="宋体" w:hAnsi="宋体" w:eastAsia="宋体" w:cs="宋体"/>
          <w:b w:val="0"/>
          <w:bCs/>
          <w:sz w:val="21"/>
          <w:szCs w:val="21"/>
        </w:rPr>
        <w:t>14.3 工程进度款</w:t>
      </w:r>
      <w:bookmarkEnd w:id="1462"/>
      <w:bookmarkEnd w:id="1463"/>
      <w:bookmarkEnd w:id="1464"/>
      <w:bookmarkEnd w:id="1465"/>
      <w:bookmarkEnd w:id="1466"/>
    </w:p>
    <w:p>
      <w:pPr>
        <w:pStyle w:val="686"/>
        <w:numPr>
          <w:ilvl w:val="0"/>
          <w:numId w:val="0"/>
        </w:numPr>
        <w:spacing w:line="400" w:lineRule="exact"/>
        <w:rPr>
          <w:rFonts w:hint="eastAsia" w:cs="宋体"/>
          <w:sz w:val="21"/>
        </w:rPr>
      </w:pPr>
      <w:bookmarkStart w:id="1467" w:name="_Ref531956987"/>
      <w:bookmarkStart w:id="1468" w:name="_Ref532679934"/>
      <w:r>
        <w:rPr>
          <w:rFonts w:hint="eastAsia" w:cs="宋体"/>
          <w:sz w:val="21"/>
        </w:rPr>
        <w:t>14.3.1 工程进度付款申请</w:t>
      </w:r>
      <w:bookmarkEnd w:id="1467"/>
      <w:bookmarkEnd w:id="1468"/>
    </w:p>
    <w:p>
      <w:pPr>
        <w:spacing w:line="400" w:lineRule="exact"/>
        <w:ind w:firstLine="600"/>
        <w:rPr>
          <w:rFonts w:hint="eastAsia" w:ascii="宋体" w:hAnsi="宋体" w:cs="宋体"/>
          <w:szCs w:val="21"/>
        </w:rPr>
      </w:pPr>
      <w:r>
        <w:rPr>
          <w:rFonts w:hint="eastAsia" w:ascii="宋体" w:hAnsi="宋体" w:cs="宋体"/>
          <w:szCs w:val="21"/>
        </w:rPr>
        <w:t>（1）人工费的申请</w:t>
      </w:r>
    </w:p>
    <w:p>
      <w:pPr>
        <w:spacing w:line="400" w:lineRule="exact"/>
        <w:ind w:firstLine="600"/>
        <w:rPr>
          <w:rFonts w:hint="eastAsia" w:ascii="宋体" w:hAnsi="宋体" w:cs="宋体"/>
          <w:szCs w:val="21"/>
        </w:rPr>
      </w:pPr>
      <w:r>
        <w:rPr>
          <w:rFonts w:hint="eastAsia" w:ascii="宋体" w:hAnsi="宋体" w:cs="宋体"/>
          <w:szCs w:val="21"/>
        </w:rPr>
        <w:t>人工费应按月支付，工程师应在收到承包人人工费付款申请单以及相关资料后7天内完成审查并报送发包人，发包人应在收到后7天内完成审批并向承包人签发人工费支付证书，发包人应在人工费支付证书签发后7天内完成支付。已支付的人工费部分，发包人支付进度款时予以相应扣除。</w:t>
      </w:r>
    </w:p>
    <w:p>
      <w:pPr>
        <w:spacing w:line="400" w:lineRule="exact"/>
        <w:ind w:firstLine="600"/>
        <w:rPr>
          <w:rFonts w:hint="eastAsia" w:ascii="宋体" w:hAnsi="宋体" w:cs="宋体"/>
          <w:szCs w:val="21"/>
        </w:rPr>
      </w:pPr>
      <w:r>
        <w:rPr>
          <w:rFonts w:hint="eastAsia" w:ascii="宋体" w:hAnsi="宋体" w:cs="宋体"/>
          <w:szCs w:val="21"/>
        </w:rPr>
        <w:t>（2）除专用合同条件另有约定外，承包人应在每月月末向工程师提交进度付款申请单，该进度付款申请单应包括下列内容：</w:t>
      </w:r>
    </w:p>
    <w:p>
      <w:pPr>
        <w:spacing w:line="400" w:lineRule="exact"/>
        <w:ind w:firstLine="600"/>
        <w:rPr>
          <w:rFonts w:hint="eastAsia" w:ascii="宋体" w:hAnsi="宋体" w:cs="宋体"/>
          <w:szCs w:val="21"/>
        </w:rPr>
      </w:pPr>
      <w:r>
        <w:rPr>
          <w:rFonts w:hint="eastAsia" w:ascii="宋体" w:hAnsi="宋体" w:cs="宋体"/>
          <w:szCs w:val="21"/>
        </w:rPr>
        <w:t>1） 截至本次付款周期内已完成工作对应的金额；</w:t>
      </w:r>
    </w:p>
    <w:p>
      <w:pPr>
        <w:spacing w:line="400" w:lineRule="exact"/>
        <w:ind w:firstLine="600"/>
        <w:rPr>
          <w:rFonts w:hint="eastAsia" w:ascii="宋体" w:hAnsi="宋体" w:cs="宋体"/>
          <w:szCs w:val="21"/>
        </w:rPr>
      </w:pPr>
      <w:r>
        <w:rPr>
          <w:rFonts w:hint="eastAsia" w:ascii="宋体" w:hAnsi="宋体" w:cs="宋体"/>
          <w:szCs w:val="21"/>
        </w:rPr>
        <w:t>2） 扣除依据本款第（1）目约定中已扣除的人工费金额；</w:t>
      </w:r>
    </w:p>
    <w:p>
      <w:pPr>
        <w:spacing w:line="400" w:lineRule="exact"/>
        <w:ind w:firstLine="600"/>
        <w:rPr>
          <w:rFonts w:hint="eastAsia" w:ascii="宋体" w:hAnsi="宋体" w:cs="宋体"/>
          <w:szCs w:val="21"/>
        </w:rPr>
      </w:pPr>
      <w:r>
        <w:rPr>
          <w:rFonts w:hint="eastAsia" w:ascii="宋体" w:hAnsi="宋体" w:cs="宋体"/>
          <w:szCs w:val="21"/>
        </w:rPr>
        <w:t>3） 根据第13条[变更与调整]应增加和扣减的变更金额；</w:t>
      </w:r>
    </w:p>
    <w:p>
      <w:pPr>
        <w:spacing w:line="400" w:lineRule="exact"/>
        <w:ind w:firstLine="600"/>
        <w:rPr>
          <w:rFonts w:hint="eastAsia" w:ascii="宋体" w:hAnsi="宋体" w:cs="宋体"/>
          <w:szCs w:val="21"/>
        </w:rPr>
      </w:pPr>
      <w:r>
        <w:rPr>
          <w:rFonts w:hint="eastAsia" w:ascii="宋体" w:hAnsi="宋体" w:cs="宋体"/>
          <w:szCs w:val="21"/>
        </w:rPr>
        <w:t>4） 根据第14.2款[预付款]约定应支付的预付款和扣减的返还预付款；</w:t>
      </w:r>
    </w:p>
    <w:p>
      <w:pPr>
        <w:spacing w:line="400" w:lineRule="exact"/>
        <w:ind w:firstLine="600"/>
        <w:rPr>
          <w:rFonts w:hint="eastAsia" w:ascii="宋体" w:hAnsi="宋体" w:cs="宋体"/>
          <w:szCs w:val="21"/>
        </w:rPr>
      </w:pPr>
      <w:r>
        <w:rPr>
          <w:rFonts w:hint="eastAsia" w:ascii="宋体" w:hAnsi="宋体" w:cs="宋体"/>
          <w:szCs w:val="21"/>
        </w:rPr>
        <w:t>5） 根据第14.6.2项[质量保证金的预留]约定应预留的质量保证金金额；</w:t>
      </w:r>
    </w:p>
    <w:p>
      <w:pPr>
        <w:spacing w:line="400" w:lineRule="exact"/>
        <w:ind w:firstLine="600"/>
        <w:rPr>
          <w:rFonts w:hint="eastAsia" w:ascii="宋体" w:hAnsi="宋体" w:cs="宋体"/>
          <w:szCs w:val="21"/>
        </w:rPr>
      </w:pPr>
      <w:r>
        <w:rPr>
          <w:rFonts w:hint="eastAsia" w:ascii="宋体" w:hAnsi="宋体" w:cs="宋体"/>
          <w:szCs w:val="21"/>
        </w:rPr>
        <w:t>6） 根据第19条[索赔]应增加和扣减的索赔金额；</w:t>
      </w:r>
    </w:p>
    <w:p>
      <w:pPr>
        <w:spacing w:line="400" w:lineRule="exact"/>
        <w:ind w:firstLine="600"/>
        <w:rPr>
          <w:rFonts w:hint="eastAsia" w:ascii="宋体" w:hAnsi="宋体" w:cs="宋体"/>
          <w:szCs w:val="21"/>
        </w:rPr>
      </w:pPr>
      <w:r>
        <w:rPr>
          <w:rFonts w:hint="eastAsia" w:ascii="宋体" w:hAnsi="宋体" w:cs="宋体"/>
          <w:szCs w:val="21"/>
        </w:rPr>
        <w:t>7） 对已签发的进度款支付证书中出现错误的修正，应在本次进度付款中支付或扣除的金额；</w:t>
      </w:r>
    </w:p>
    <w:p>
      <w:pPr>
        <w:spacing w:line="400" w:lineRule="exact"/>
        <w:ind w:firstLine="600"/>
        <w:rPr>
          <w:rFonts w:hint="eastAsia" w:ascii="宋体" w:hAnsi="宋体" w:cs="宋体"/>
          <w:szCs w:val="21"/>
        </w:rPr>
      </w:pPr>
      <w:r>
        <w:rPr>
          <w:rFonts w:hint="eastAsia" w:ascii="宋体" w:hAnsi="宋体" w:cs="宋体"/>
          <w:szCs w:val="21"/>
        </w:rPr>
        <w:t>8） 根据合同约定应增加和扣减的其他金额。</w:t>
      </w:r>
    </w:p>
    <w:p>
      <w:pPr>
        <w:pStyle w:val="686"/>
        <w:numPr>
          <w:ilvl w:val="0"/>
          <w:numId w:val="0"/>
        </w:numPr>
        <w:spacing w:line="400" w:lineRule="exact"/>
        <w:rPr>
          <w:rFonts w:hint="eastAsia" w:cs="宋体"/>
          <w:sz w:val="21"/>
        </w:rPr>
      </w:pPr>
      <w:bookmarkStart w:id="1469" w:name="_Ref531957608"/>
      <w:r>
        <w:rPr>
          <w:rFonts w:hint="eastAsia" w:cs="宋体"/>
          <w:sz w:val="21"/>
        </w:rPr>
        <w:t>14.3.2 进度付款审核和支付</w:t>
      </w:r>
      <w:bookmarkEnd w:id="1469"/>
    </w:p>
    <w:p>
      <w:pPr>
        <w:pStyle w:val="688"/>
        <w:numPr>
          <w:ilvl w:val="0"/>
          <w:numId w:val="0"/>
        </w:numPr>
        <w:spacing w:line="400" w:lineRule="exact"/>
        <w:ind w:firstLine="420" w:firstLineChars="200"/>
        <w:rPr>
          <w:rFonts w:hint="eastAsia" w:ascii="宋体" w:hAnsi="宋体" w:cs="宋体"/>
          <w:szCs w:val="21"/>
        </w:rPr>
      </w:pPr>
      <w:r>
        <w:rPr>
          <w:rFonts w:hint="eastAsia" w:ascii="宋体" w:hAnsi="宋体" w:cs="宋体"/>
          <w:szCs w:val="21"/>
        </w:rPr>
        <w:t>除专用合同条件另有约定外，工程师应在收到承包人进度付款申请单以及相关资料后7天内完成审查并报送发包人，发包人应在收到后7天内完成审批并向承包人签发进度款支付证书。发包人逾期（包括因工程师原因延误报送的时间）未完成审批且未提出异议的，视为已签发进度款支付证书。</w:t>
      </w:r>
    </w:p>
    <w:p>
      <w:pPr>
        <w:spacing w:line="400" w:lineRule="exact"/>
        <w:ind w:firstLine="600"/>
        <w:rPr>
          <w:rFonts w:hint="eastAsia" w:ascii="宋体" w:hAnsi="宋体" w:cs="宋体"/>
          <w:szCs w:val="21"/>
        </w:rPr>
      </w:pPr>
      <w:r>
        <w:rPr>
          <w:rFonts w:hint="eastAsia" w:ascii="宋体" w:hAnsi="宋体" w:cs="宋体"/>
          <w:szCs w:val="21"/>
        </w:rPr>
        <w:t>工程师对承包人的进度付款申请单有异议的，有权要求承包人修正和提供补充资料，承包人应提交修正后的进度付款申请单。工程师应在收到承包人修正后的进度付款申请单及相关资料后7天内完成审查并报送发包人，发包人应在收到工程师报送的进度付款申请单及相关资料后7天内，向承包人签发无异议部分的进度款支付证书。存在争议的部分，按照第20条[争议解决]的约定处理。</w:t>
      </w:r>
    </w:p>
    <w:p>
      <w:pPr>
        <w:pStyle w:val="688"/>
        <w:numPr>
          <w:ilvl w:val="0"/>
          <w:numId w:val="0"/>
        </w:numPr>
        <w:spacing w:line="400" w:lineRule="exact"/>
        <w:ind w:firstLine="420" w:firstLineChars="200"/>
        <w:rPr>
          <w:rFonts w:hint="eastAsia" w:ascii="宋体" w:hAnsi="宋体" w:cs="宋体"/>
          <w:szCs w:val="21"/>
        </w:rPr>
      </w:pPr>
      <w:r>
        <w:rPr>
          <w:rFonts w:hint="eastAsia" w:ascii="宋体" w:hAnsi="宋体" w:cs="宋体"/>
          <w:szCs w:val="21"/>
        </w:rPr>
        <w:t xml:space="preserve">除专用合同条件另有约定外，发包人应在进度款支付证书签发后14天内完成支付，发包人逾期支付进度款的，按照贷款市场报价利率（LPR）支付利息；逾期支付超过56天的，按照贷款市场报价利率（LPR）的两倍支付利息。 </w:t>
      </w:r>
    </w:p>
    <w:p>
      <w:pPr>
        <w:pStyle w:val="688"/>
        <w:numPr>
          <w:ilvl w:val="0"/>
          <w:numId w:val="0"/>
        </w:numPr>
        <w:spacing w:line="400" w:lineRule="exact"/>
        <w:ind w:firstLine="420" w:firstLineChars="200"/>
        <w:rPr>
          <w:rFonts w:hint="eastAsia" w:ascii="宋体" w:hAnsi="宋体" w:cs="宋体"/>
          <w:szCs w:val="21"/>
        </w:rPr>
      </w:pPr>
      <w:r>
        <w:rPr>
          <w:rFonts w:hint="eastAsia" w:ascii="宋体" w:hAnsi="宋体" w:cs="宋体"/>
          <w:szCs w:val="21"/>
        </w:rPr>
        <w:t>发包人签发进度款支付证书，不表明发包人已同意、批准或接受了承包人完成的相应部分的工作。</w:t>
      </w:r>
    </w:p>
    <w:p>
      <w:pPr>
        <w:pStyle w:val="686"/>
        <w:numPr>
          <w:ilvl w:val="0"/>
          <w:numId w:val="0"/>
        </w:numPr>
        <w:spacing w:line="400" w:lineRule="exact"/>
        <w:rPr>
          <w:rFonts w:hint="eastAsia" w:cs="宋体"/>
          <w:sz w:val="21"/>
        </w:rPr>
      </w:pPr>
      <w:bookmarkStart w:id="1470" w:name="_Ref531957023"/>
      <w:r>
        <w:rPr>
          <w:rFonts w:hint="eastAsia" w:cs="宋体"/>
          <w:sz w:val="21"/>
        </w:rPr>
        <w:t>14.3.3 进度付款的修正</w:t>
      </w:r>
      <w:bookmarkEnd w:id="1470"/>
    </w:p>
    <w:p>
      <w:pPr>
        <w:spacing w:line="400" w:lineRule="exact"/>
        <w:ind w:firstLine="600"/>
        <w:rPr>
          <w:rFonts w:hint="eastAsia" w:ascii="宋体" w:hAnsi="宋体" w:cs="宋体"/>
          <w:szCs w:val="21"/>
        </w:rPr>
      </w:pPr>
      <w:r>
        <w:rPr>
          <w:rFonts w:hint="eastAsia" w:ascii="宋体" w:hAnsi="宋体" w:cs="宋体"/>
          <w:szCs w:val="21"/>
        </w:rPr>
        <w:t>在对已签发的进度款支付证书进行阶段汇总和复核中发现错误、遗漏或重复的，发包人和承包人均有权提出修正申请。经发包人和承包人同意的修正，应在下期进度付款中支付或扣除。</w:t>
      </w:r>
    </w:p>
    <w:p>
      <w:pPr>
        <w:pStyle w:val="685"/>
        <w:widowControl/>
        <w:numPr>
          <w:ilvl w:val="0"/>
          <w:numId w:val="0"/>
        </w:numPr>
        <w:spacing w:line="400" w:lineRule="exact"/>
        <w:rPr>
          <w:rFonts w:hint="eastAsia" w:ascii="宋体" w:hAnsi="宋体" w:eastAsia="宋体" w:cs="宋体"/>
          <w:b w:val="0"/>
          <w:bCs/>
          <w:sz w:val="21"/>
          <w:szCs w:val="21"/>
        </w:rPr>
      </w:pPr>
      <w:bookmarkStart w:id="1471" w:name="_Toc54862295"/>
      <w:bookmarkStart w:id="1472" w:name="_Toc59203194"/>
      <w:bookmarkStart w:id="1473" w:name="_Ref4538578"/>
      <w:bookmarkStart w:id="1474" w:name="_Ref536647822"/>
      <w:bookmarkStart w:id="1475" w:name="_Ref536647814"/>
      <w:r>
        <w:rPr>
          <w:rFonts w:hint="eastAsia" w:ascii="宋体" w:hAnsi="宋体" w:eastAsia="宋体" w:cs="宋体"/>
          <w:b w:val="0"/>
          <w:bCs/>
          <w:sz w:val="21"/>
          <w:szCs w:val="21"/>
        </w:rPr>
        <w:t>14.4 付款计划表</w:t>
      </w:r>
      <w:bookmarkEnd w:id="1471"/>
      <w:bookmarkEnd w:id="1472"/>
      <w:bookmarkEnd w:id="1473"/>
    </w:p>
    <w:p>
      <w:pPr>
        <w:pStyle w:val="686"/>
        <w:numPr>
          <w:ilvl w:val="0"/>
          <w:numId w:val="0"/>
        </w:numPr>
        <w:spacing w:line="400" w:lineRule="exact"/>
        <w:rPr>
          <w:rFonts w:hint="eastAsia" w:cs="宋体"/>
          <w:sz w:val="21"/>
        </w:rPr>
      </w:pPr>
      <w:bookmarkStart w:id="1476" w:name="_Ref4570974"/>
      <w:r>
        <w:rPr>
          <w:rFonts w:hint="eastAsia" w:cs="宋体"/>
          <w:sz w:val="21"/>
        </w:rPr>
        <w:t>14.4.1 付款计划表的编制要求</w:t>
      </w:r>
      <w:bookmarkEnd w:id="1476"/>
    </w:p>
    <w:p>
      <w:pPr>
        <w:spacing w:line="400" w:lineRule="exact"/>
        <w:ind w:firstLine="600"/>
        <w:rPr>
          <w:rFonts w:hint="eastAsia" w:ascii="宋体" w:hAnsi="宋体" w:cs="宋体"/>
          <w:szCs w:val="21"/>
        </w:rPr>
      </w:pPr>
      <w:r>
        <w:rPr>
          <w:rFonts w:hint="eastAsia" w:ascii="宋体" w:hAnsi="宋体" w:cs="宋体"/>
          <w:szCs w:val="21"/>
        </w:rPr>
        <w:t>除专用合同条件另有约定外，付款计划表按如下要求编制：</w:t>
      </w:r>
    </w:p>
    <w:p>
      <w:pPr>
        <w:spacing w:line="400" w:lineRule="exact"/>
        <w:ind w:firstLine="600"/>
        <w:rPr>
          <w:rFonts w:hint="eastAsia" w:ascii="宋体" w:hAnsi="宋体" w:cs="宋体"/>
          <w:szCs w:val="21"/>
        </w:rPr>
      </w:pPr>
      <w:r>
        <w:rPr>
          <w:rFonts w:hint="eastAsia" w:ascii="宋体" w:hAnsi="宋体" w:cs="宋体"/>
          <w:szCs w:val="21"/>
        </w:rPr>
        <w:t>（1） 付款计划表中所列的每期付款金额，应为第14.3.1项[工程进度付款申请]每期进度款的估算金额；</w:t>
      </w:r>
    </w:p>
    <w:p>
      <w:pPr>
        <w:spacing w:line="400" w:lineRule="exact"/>
        <w:ind w:firstLine="600"/>
        <w:rPr>
          <w:rFonts w:hint="eastAsia" w:ascii="宋体" w:hAnsi="宋体" w:cs="宋体"/>
          <w:szCs w:val="21"/>
        </w:rPr>
      </w:pPr>
      <w:r>
        <w:rPr>
          <w:rFonts w:hint="eastAsia" w:ascii="宋体" w:hAnsi="宋体" w:cs="宋体"/>
          <w:szCs w:val="21"/>
        </w:rPr>
        <w:t>（2） 实际进度与项目进度计划不一致的，合同当事人可按照第3.6款[商定或确定]修改付款计划表；</w:t>
      </w:r>
    </w:p>
    <w:p>
      <w:pPr>
        <w:spacing w:line="400" w:lineRule="exact"/>
        <w:ind w:firstLine="600"/>
        <w:rPr>
          <w:rFonts w:hint="eastAsia" w:ascii="宋体" w:hAnsi="宋体" w:cs="宋体"/>
          <w:szCs w:val="21"/>
        </w:rPr>
      </w:pPr>
      <w:r>
        <w:rPr>
          <w:rFonts w:hint="eastAsia" w:ascii="宋体" w:hAnsi="宋体" w:cs="宋体"/>
          <w:szCs w:val="21"/>
        </w:rPr>
        <w:t>（3） 不采用付款计划表的，承包人应向工程师提交按季度编制的支付估算付款计划表，用于支付参考。</w:t>
      </w:r>
    </w:p>
    <w:p>
      <w:pPr>
        <w:pStyle w:val="686"/>
        <w:numPr>
          <w:ilvl w:val="0"/>
          <w:numId w:val="0"/>
        </w:numPr>
        <w:spacing w:line="400" w:lineRule="exact"/>
        <w:rPr>
          <w:rFonts w:hint="eastAsia" w:cs="宋体"/>
          <w:sz w:val="21"/>
        </w:rPr>
      </w:pPr>
      <w:bookmarkStart w:id="1477" w:name="_Ref4571011"/>
      <w:r>
        <w:rPr>
          <w:rFonts w:hint="eastAsia" w:cs="宋体"/>
          <w:sz w:val="21"/>
        </w:rPr>
        <w:t>14.4.2 付款计划表的编制与审批</w:t>
      </w:r>
      <w:bookmarkEnd w:id="1477"/>
    </w:p>
    <w:p>
      <w:pPr>
        <w:spacing w:line="400" w:lineRule="exact"/>
        <w:ind w:firstLine="600"/>
        <w:rPr>
          <w:rFonts w:hint="eastAsia" w:ascii="宋体" w:hAnsi="宋体" w:cs="宋体"/>
          <w:szCs w:val="21"/>
        </w:rPr>
      </w:pPr>
      <w:r>
        <w:rPr>
          <w:rFonts w:hint="eastAsia" w:ascii="宋体" w:hAnsi="宋体" w:cs="宋体"/>
          <w:szCs w:val="21"/>
        </w:rPr>
        <w:t>（1） 除专用合同条件另有约定外，承包人应根据第8.4款[项目进度计划]约定的项目进度计划、签约合同价和工程量等因素对总价合同进行分解，确定付款期数、计划每期达到的主要形象进度和（或）完成的主要计划工程量（含设计、采购、施工、竣工试验和竣工后试验等）等目标任务，编制付款计划表。其中人工费应按月确定付款期和付款计划。承包人应当在收到工程师和发包人批准的项目进度计划后7天内，将付款计划表及编制付款计划表的支持性资料报送工程师。</w:t>
      </w:r>
    </w:p>
    <w:p>
      <w:pPr>
        <w:spacing w:line="400" w:lineRule="exact"/>
        <w:ind w:firstLine="600"/>
        <w:rPr>
          <w:rFonts w:hint="eastAsia" w:ascii="宋体" w:hAnsi="宋体" w:cs="宋体"/>
          <w:szCs w:val="21"/>
        </w:rPr>
      </w:pPr>
      <w:r>
        <w:rPr>
          <w:rFonts w:hint="eastAsia" w:ascii="宋体" w:hAnsi="宋体" w:cs="宋体"/>
          <w:szCs w:val="21"/>
        </w:rPr>
        <w:t>（2） 工程师应在收到付款计划表后7天内完成审核并报送发包人。发包人应在收到经工程师审核的付款计划表后7天内完成审批，经发包人批准的付款计划表为有约束力的付款计划表。</w:t>
      </w:r>
    </w:p>
    <w:p>
      <w:pPr>
        <w:spacing w:line="400" w:lineRule="exact"/>
        <w:ind w:firstLine="600"/>
        <w:rPr>
          <w:rFonts w:hint="eastAsia" w:ascii="宋体" w:hAnsi="宋体" w:cs="宋体"/>
          <w:szCs w:val="21"/>
        </w:rPr>
      </w:pPr>
      <w:r>
        <w:rPr>
          <w:rFonts w:hint="eastAsia" w:ascii="宋体" w:hAnsi="宋体" w:cs="宋体"/>
          <w:szCs w:val="21"/>
        </w:rPr>
        <w:t>（3） 发包人逾期未完成付款计划表审批的，也未及时要求承包人进行修正和提供补充资料的，则承包人提交的付款计划表视为已经获得发包人批准。</w:t>
      </w:r>
    </w:p>
    <w:p>
      <w:pPr>
        <w:pStyle w:val="685"/>
        <w:widowControl/>
        <w:numPr>
          <w:ilvl w:val="0"/>
          <w:numId w:val="0"/>
        </w:numPr>
        <w:spacing w:line="400" w:lineRule="exact"/>
        <w:rPr>
          <w:rFonts w:hint="eastAsia" w:ascii="宋体" w:hAnsi="宋体" w:eastAsia="宋体" w:cs="宋体"/>
          <w:b w:val="0"/>
          <w:bCs/>
          <w:sz w:val="21"/>
          <w:szCs w:val="21"/>
        </w:rPr>
      </w:pPr>
      <w:bookmarkStart w:id="1478" w:name="_Toc54862296"/>
      <w:bookmarkStart w:id="1479" w:name="_Toc59203195"/>
      <w:bookmarkStart w:id="1480" w:name="_Ref4538634"/>
      <w:r>
        <w:rPr>
          <w:rFonts w:hint="eastAsia" w:ascii="宋体" w:hAnsi="宋体" w:eastAsia="宋体" w:cs="宋体"/>
          <w:b w:val="0"/>
          <w:bCs/>
          <w:sz w:val="21"/>
          <w:szCs w:val="21"/>
        </w:rPr>
        <w:t>14.5 竣工结算</w:t>
      </w:r>
      <w:bookmarkEnd w:id="1478"/>
      <w:bookmarkEnd w:id="1479"/>
      <w:bookmarkEnd w:id="1480"/>
    </w:p>
    <w:p>
      <w:pPr>
        <w:pStyle w:val="686"/>
        <w:numPr>
          <w:ilvl w:val="0"/>
          <w:numId w:val="0"/>
        </w:numPr>
        <w:spacing w:line="400" w:lineRule="exact"/>
        <w:rPr>
          <w:rFonts w:hint="eastAsia" w:cs="宋体"/>
          <w:sz w:val="21"/>
        </w:rPr>
      </w:pPr>
      <w:bookmarkStart w:id="1481" w:name="_Ref4571361"/>
      <w:r>
        <w:rPr>
          <w:rFonts w:hint="eastAsia" w:cs="宋体"/>
          <w:sz w:val="21"/>
        </w:rPr>
        <w:t>14.5.1 竣工结算申请</w:t>
      </w:r>
      <w:bookmarkEnd w:id="1481"/>
    </w:p>
    <w:p>
      <w:pPr>
        <w:spacing w:line="400" w:lineRule="exact"/>
        <w:ind w:firstLine="600"/>
        <w:rPr>
          <w:rFonts w:hint="eastAsia" w:ascii="宋体" w:hAnsi="宋体" w:cs="宋体"/>
          <w:szCs w:val="21"/>
        </w:rPr>
      </w:pPr>
      <w:r>
        <w:rPr>
          <w:rFonts w:hint="eastAsia" w:ascii="宋体" w:hAnsi="宋体" w:cs="宋体"/>
          <w:szCs w:val="21"/>
        </w:rPr>
        <w:t>除专用合同条件另有约定外，承包人应在工程竣工验收合格后42天内向工程师提交竣工结算申请单，并提交完整的结算资料，有关竣工结算申请单的资料清单和份数等要求由合同当事人在专用合同条件中约定。</w:t>
      </w:r>
    </w:p>
    <w:p>
      <w:pPr>
        <w:spacing w:line="400" w:lineRule="exact"/>
        <w:ind w:firstLine="600"/>
        <w:rPr>
          <w:rFonts w:hint="eastAsia" w:ascii="宋体" w:hAnsi="宋体" w:cs="宋体"/>
          <w:szCs w:val="21"/>
        </w:rPr>
      </w:pPr>
      <w:r>
        <w:rPr>
          <w:rFonts w:hint="eastAsia" w:ascii="宋体" w:hAnsi="宋体" w:cs="宋体"/>
          <w:szCs w:val="21"/>
        </w:rPr>
        <w:t>除专用合同条件另有约定外，竣工结算申请单应包括以下内容：</w:t>
      </w:r>
    </w:p>
    <w:p>
      <w:pPr>
        <w:spacing w:line="400" w:lineRule="exact"/>
        <w:ind w:firstLine="600"/>
        <w:rPr>
          <w:rFonts w:hint="eastAsia" w:ascii="宋体" w:hAnsi="宋体" w:cs="宋体"/>
          <w:szCs w:val="21"/>
        </w:rPr>
      </w:pPr>
      <w:r>
        <w:rPr>
          <w:rFonts w:hint="eastAsia" w:ascii="宋体" w:hAnsi="宋体" w:cs="宋体"/>
          <w:szCs w:val="21"/>
        </w:rPr>
        <w:t>（1） 竣工结算合同价格；</w:t>
      </w:r>
    </w:p>
    <w:p>
      <w:pPr>
        <w:spacing w:line="400" w:lineRule="exact"/>
        <w:ind w:firstLine="600"/>
        <w:rPr>
          <w:rFonts w:hint="eastAsia" w:ascii="宋体" w:hAnsi="宋体" w:cs="宋体"/>
          <w:szCs w:val="21"/>
        </w:rPr>
      </w:pPr>
      <w:r>
        <w:rPr>
          <w:rFonts w:hint="eastAsia" w:ascii="宋体" w:hAnsi="宋体" w:cs="宋体"/>
          <w:szCs w:val="21"/>
        </w:rPr>
        <w:t>（2） 发包人已支付承包人的款项；</w:t>
      </w:r>
    </w:p>
    <w:p>
      <w:pPr>
        <w:spacing w:line="400" w:lineRule="exact"/>
        <w:ind w:firstLine="600"/>
        <w:rPr>
          <w:rFonts w:hint="eastAsia" w:ascii="宋体" w:hAnsi="宋体" w:cs="宋体"/>
          <w:szCs w:val="21"/>
        </w:rPr>
      </w:pPr>
      <w:r>
        <w:rPr>
          <w:rFonts w:hint="eastAsia" w:ascii="宋体" w:hAnsi="宋体" w:cs="宋体"/>
          <w:szCs w:val="21"/>
        </w:rPr>
        <w:t>（3） 采用第14.6.1项[承包人提供质量保证金的方式]第（2）种方式提供质量保证金的，应当列明应预留的质量保证金金额；采用第14.6.1项[承包人提供质量保证金的方式]中其他方式提供质量保证金的，应当按第14.6款[质量保证金]提供相关文件作为附件；</w:t>
      </w:r>
    </w:p>
    <w:p>
      <w:pPr>
        <w:spacing w:line="400" w:lineRule="exact"/>
        <w:ind w:firstLine="600"/>
        <w:rPr>
          <w:rFonts w:hint="eastAsia" w:ascii="宋体" w:hAnsi="宋体" w:cs="宋体"/>
          <w:szCs w:val="21"/>
        </w:rPr>
      </w:pPr>
      <w:r>
        <w:rPr>
          <w:rFonts w:hint="eastAsia" w:ascii="宋体" w:hAnsi="宋体" w:cs="宋体"/>
          <w:szCs w:val="21"/>
        </w:rPr>
        <w:t>（4） 发包人应支付承包人的合同价款。</w:t>
      </w:r>
    </w:p>
    <w:p>
      <w:pPr>
        <w:pStyle w:val="686"/>
        <w:numPr>
          <w:ilvl w:val="0"/>
          <w:numId w:val="0"/>
        </w:numPr>
        <w:spacing w:line="400" w:lineRule="exact"/>
        <w:rPr>
          <w:rFonts w:hint="eastAsia" w:cs="宋体"/>
          <w:sz w:val="21"/>
        </w:rPr>
      </w:pPr>
      <w:bookmarkStart w:id="1482" w:name="_Ref4571384"/>
      <w:r>
        <w:rPr>
          <w:rFonts w:hint="eastAsia" w:cs="宋体"/>
          <w:sz w:val="21"/>
        </w:rPr>
        <w:t>14.5.2 竣工结算审核</w:t>
      </w:r>
      <w:bookmarkEnd w:id="1482"/>
    </w:p>
    <w:p>
      <w:pPr>
        <w:spacing w:line="400" w:lineRule="exact"/>
        <w:ind w:firstLine="600"/>
        <w:rPr>
          <w:rFonts w:hint="eastAsia" w:ascii="宋体" w:hAnsi="宋体" w:cs="宋体"/>
          <w:szCs w:val="21"/>
        </w:rPr>
      </w:pPr>
      <w:r>
        <w:rPr>
          <w:rFonts w:hint="eastAsia" w:ascii="宋体" w:hAnsi="宋体" w:cs="宋体"/>
          <w:szCs w:val="21"/>
        </w:rPr>
        <w:t>（1） 除专用合同条件另有约定外，工程师应在收到竣工结算申请单后14天内完成核查并报送发包人。发包人应在收到工程师提交的经审核的竣工结算申请单后14天内完成审批，并由工程师向承包人签发经发包人签认的竣工付款证书。工程师或发包人对竣工结算申请单有异议的，有权要求承包人进行修正和提供补充资料，承包人应提交修正后的竣工结算申请单。</w:t>
      </w:r>
    </w:p>
    <w:p>
      <w:pPr>
        <w:spacing w:line="400" w:lineRule="exact"/>
        <w:ind w:firstLine="600"/>
        <w:rPr>
          <w:rFonts w:hint="eastAsia" w:ascii="宋体" w:hAnsi="宋体" w:cs="宋体"/>
          <w:szCs w:val="21"/>
        </w:rPr>
      </w:pPr>
      <w:r>
        <w:rPr>
          <w:rFonts w:hint="eastAsia" w:ascii="宋体" w:hAnsi="宋体" w:cs="宋体"/>
          <w:szCs w:val="21"/>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pPr>
        <w:spacing w:line="400" w:lineRule="exact"/>
        <w:ind w:firstLine="600"/>
        <w:rPr>
          <w:rFonts w:hint="eastAsia" w:ascii="宋体" w:hAnsi="宋体" w:cs="宋体"/>
          <w:szCs w:val="21"/>
        </w:rPr>
      </w:pPr>
      <w:bookmarkStart w:id="1483" w:name="_Ref4618006"/>
      <w:r>
        <w:rPr>
          <w:rFonts w:hint="eastAsia" w:ascii="宋体" w:hAnsi="宋体" w:cs="宋体"/>
          <w:szCs w:val="21"/>
        </w:rPr>
        <w:t>（2） 除专用合同条件另有约定外，发包人应在签发竣工付款证书后的14天内，完成对承包人的竣工付款。发包人逾期支付的，按照贷款市场报价利率（LPR）支付违约金；逾期支付超过56天的，按照贷款市场报价利率（LPR）的两倍支付违约金。</w:t>
      </w:r>
      <w:bookmarkEnd w:id="1483"/>
    </w:p>
    <w:p>
      <w:pPr>
        <w:spacing w:line="400" w:lineRule="exact"/>
        <w:ind w:firstLine="600"/>
        <w:rPr>
          <w:rFonts w:hint="eastAsia" w:ascii="宋体" w:hAnsi="宋体" w:cs="宋体"/>
          <w:szCs w:val="21"/>
        </w:rPr>
      </w:pPr>
      <w:r>
        <w:rPr>
          <w:rFonts w:hint="eastAsia" w:ascii="宋体" w:hAnsi="宋体" w:cs="宋体"/>
          <w:szCs w:val="21"/>
        </w:rPr>
        <w:t>（3） 承包人对发包人签认的竣工付款证书有异议的，对于有异议部分应在收到发包人签认的竣工付款证书后7天内提出异议，并由合同当事人按照专用合同条件约定的方式和程序进行复核，或按照第20条[争议解决]约定处理。对于无异议部分，发包人应签发临时竣工付款证书，并按本款第（2）项完成付款。承包人逾期未提出异议的，视为认可发包人的审批结果。</w:t>
      </w:r>
    </w:p>
    <w:p>
      <w:pPr>
        <w:pStyle w:val="686"/>
        <w:numPr>
          <w:ilvl w:val="0"/>
          <w:numId w:val="0"/>
        </w:numPr>
        <w:spacing w:line="400" w:lineRule="exact"/>
        <w:rPr>
          <w:rFonts w:hint="eastAsia" w:cs="宋体"/>
          <w:sz w:val="21"/>
        </w:rPr>
      </w:pPr>
      <w:bookmarkStart w:id="1484" w:name="_Ref15484305"/>
      <w:r>
        <w:rPr>
          <w:rFonts w:hint="eastAsia" w:cs="宋体"/>
          <w:sz w:val="21"/>
        </w:rPr>
        <w:t>14.5.3 扫尾工作清单</w:t>
      </w:r>
      <w:bookmarkEnd w:id="1484"/>
    </w:p>
    <w:p>
      <w:pPr>
        <w:spacing w:line="400" w:lineRule="exact"/>
        <w:ind w:firstLine="600"/>
        <w:rPr>
          <w:rFonts w:hint="eastAsia" w:ascii="宋体" w:hAnsi="宋体" w:cs="宋体"/>
          <w:szCs w:val="21"/>
        </w:rPr>
      </w:pPr>
      <w:r>
        <w:rPr>
          <w:rFonts w:hint="eastAsia" w:ascii="宋体" w:hAnsi="宋体" w:cs="宋体"/>
          <w:szCs w:val="21"/>
        </w:rPr>
        <w:t>经双方协商，部分工作在工程竣工验收后进行的，承包人应当编制扫尾工作清单，扫尾工作清单中应当列明承包人应当完成的扫尾工作的内容及完成时间。</w:t>
      </w:r>
    </w:p>
    <w:p>
      <w:pPr>
        <w:spacing w:line="400" w:lineRule="exact"/>
        <w:ind w:firstLine="600"/>
        <w:rPr>
          <w:rFonts w:hint="eastAsia" w:ascii="宋体" w:hAnsi="宋体" w:cs="宋体"/>
          <w:szCs w:val="21"/>
        </w:rPr>
      </w:pPr>
      <w:r>
        <w:rPr>
          <w:rFonts w:hint="eastAsia" w:ascii="宋体" w:hAnsi="宋体" w:cs="宋体"/>
          <w:szCs w:val="21"/>
        </w:rPr>
        <w:t>承包人完成扫尾工作清单中的内容应取得的费用包含在第14.5.1项[竣工结算申请]及第14.5.2项[竣工结算审核]中一并结算。</w:t>
      </w:r>
    </w:p>
    <w:p>
      <w:pPr>
        <w:spacing w:line="400" w:lineRule="exact"/>
        <w:ind w:firstLine="600"/>
        <w:rPr>
          <w:rFonts w:hint="eastAsia" w:ascii="宋体" w:hAnsi="宋体" w:cs="宋体"/>
          <w:szCs w:val="21"/>
        </w:rPr>
      </w:pPr>
      <w:r>
        <w:rPr>
          <w:rFonts w:hint="eastAsia" w:ascii="宋体" w:hAnsi="宋体" w:cs="宋体"/>
          <w:szCs w:val="21"/>
        </w:rPr>
        <w:t>扫尾工作的缺陷责任期按第11条[缺陷责任与保修]处理。承包人未能按照扫尾工作清单约定的完成时间完成扫尾工作的，视为承包人原因导致的工程质量缺陷按照第11.3款[缺陷调查]处理。</w:t>
      </w:r>
    </w:p>
    <w:p>
      <w:pPr>
        <w:pStyle w:val="685"/>
        <w:widowControl/>
        <w:numPr>
          <w:ilvl w:val="0"/>
          <w:numId w:val="0"/>
        </w:numPr>
        <w:spacing w:line="400" w:lineRule="exact"/>
        <w:rPr>
          <w:rFonts w:hint="eastAsia" w:ascii="宋体" w:hAnsi="宋体" w:eastAsia="宋体" w:cs="宋体"/>
          <w:b w:val="0"/>
          <w:bCs/>
          <w:sz w:val="21"/>
          <w:szCs w:val="21"/>
        </w:rPr>
      </w:pPr>
      <w:bookmarkStart w:id="1485" w:name="_Ref4582115"/>
      <w:bookmarkStart w:id="1486" w:name="_Toc54862297"/>
      <w:bookmarkStart w:id="1487" w:name="_Ref4571127"/>
      <w:bookmarkStart w:id="1488" w:name="_Ref4617582"/>
      <w:bookmarkStart w:id="1489" w:name="_Ref15395020"/>
      <w:bookmarkStart w:id="1490" w:name="_Toc59203196"/>
      <w:bookmarkStart w:id="1491" w:name="_Ref4617592"/>
      <w:bookmarkStart w:id="1492" w:name="_Ref4571100"/>
      <w:bookmarkStart w:id="1493" w:name="_Hlk15394931"/>
      <w:r>
        <w:rPr>
          <w:rFonts w:hint="eastAsia" w:ascii="宋体" w:hAnsi="宋体" w:eastAsia="宋体" w:cs="宋体"/>
          <w:b w:val="0"/>
          <w:bCs/>
          <w:sz w:val="21"/>
          <w:szCs w:val="21"/>
        </w:rPr>
        <w:t>14.6 质量保证金</w:t>
      </w:r>
      <w:bookmarkEnd w:id="1474"/>
      <w:bookmarkEnd w:id="1475"/>
      <w:bookmarkEnd w:id="1485"/>
      <w:bookmarkEnd w:id="1486"/>
      <w:bookmarkEnd w:id="1487"/>
      <w:bookmarkEnd w:id="1488"/>
      <w:bookmarkEnd w:id="1489"/>
      <w:bookmarkEnd w:id="1490"/>
      <w:bookmarkEnd w:id="1491"/>
      <w:bookmarkEnd w:id="1492"/>
      <w:r>
        <w:rPr>
          <w:rFonts w:hint="eastAsia" w:ascii="宋体" w:hAnsi="宋体" w:eastAsia="宋体" w:cs="宋体"/>
          <w:b w:val="0"/>
          <w:bCs/>
          <w:sz w:val="21"/>
          <w:szCs w:val="21"/>
        </w:rPr>
        <w:t xml:space="preserve"> </w:t>
      </w:r>
    </w:p>
    <w:p>
      <w:pPr>
        <w:spacing w:line="400" w:lineRule="exact"/>
        <w:ind w:firstLine="600"/>
        <w:rPr>
          <w:rFonts w:hint="eastAsia" w:ascii="宋体" w:hAnsi="宋体" w:cs="宋体"/>
          <w:szCs w:val="21"/>
        </w:rPr>
      </w:pPr>
      <w:r>
        <w:rPr>
          <w:rFonts w:hint="eastAsia" w:ascii="宋体" w:hAnsi="宋体" w:cs="宋体"/>
          <w:szCs w:val="21"/>
        </w:rPr>
        <w:t>经合同当事人协商一致提供质量保证金的，应在专用合同条件中予以明确。在工程项目竣工前，承包人已经提供履约担保的，发包人不得同时要求承包人提供质量保证金。</w:t>
      </w:r>
    </w:p>
    <w:bookmarkEnd w:id="1493"/>
    <w:p>
      <w:pPr>
        <w:pStyle w:val="686"/>
        <w:numPr>
          <w:ilvl w:val="0"/>
          <w:numId w:val="0"/>
        </w:numPr>
        <w:spacing w:line="400" w:lineRule="exact"/>
        <w:rPr>
          <w:rFonts w:hint="eastAsia" w:cs="宋体"/>
          <w:sz w:val="21"/>
        </w:rPr>
      </w:pPr>
      <w:bookmarkStart w:id="1494" w:name="_Ref531955069"/>
      <w:bookmarkStart w:id="1495" w:name="_Ref531957153"/>
      <w:r>
        <w:rPr>
          <w:rFonts w:hint="eastAsia" w:cs="宋体"/>
          <w:sz w:val="21"/>
        </w:rPr>
        <w:t>14.6.1 承包人提供质量保证金的方式</w:t>
      </w:r>
      <w:bookmarkEnd w:id="1494"/>
    </w:p>
    <w:p>
      <w:pPr>
        <w:spacing w:line="400" w:lineRule="exact"/>
        <w:ind w:firstLine="600"/>
        <w:rPr>
          <w:rFonts w:hint="eastAsia" w:ascii="宋体" w:hAnsi="宋体" w:cs="宋体"/>
          <w:szCs w:val="21"/>
        </w:rPr>
      </w:pPr>
      <w:r>
        <w:rPr>
          <w:rFonts w:hint="eastAsia" w:ascii="宋体" w:hAnsi="宋体" w:cs="宋体"/>
          <w:szCs w:val="21"/>
        </w:rPr>
        <w:t>承包人提供质量保证金有以下三种方式：</w:t>
      </w:r>
    </w:p>
    <w:p>
      <w:pPr>
        <w:spacing w:line="400" w:lineRule="exact"/>
        <w:ind w:firstLine="600"/>
        <w:rPr>
          <w:rFonts w:hint="eastAsia" w:ascii="宋体" w:hAnsi="宋体" w:cs="宋体"/>
          <w:szCs w:val="21"/>
        </w:rPr>
      </w:pPr>
      <w:bookmarkStart w:id="1496" w:name="_Ref531955096"/>
      <w:r>
        <w:rPr>
          <w:rFonts w:hint="eastAsia" w:ascii="宋体" w:hAnsi="宋体" w:cs="宋体"/>
          <w:szCs w:val="21"/>
        </w:rPr>
        <w:t>（1） 提交工程质量保证担保；</w:t>
      </w:r>
      <w:bookmarkEnd w:id="1496"/>
    </w:p>
    <w:p>
      <w:pPr>
        <w:spacing w:line="400" w:lineRule="exact"/>
        <w:ind w:firstLine="600"/>
        <w:rPr>
          <w:rFonts w:hint="eastAsia" w:ascii="宋体" w:hAnsi="宋体" w:cs="宋体"/>
          <w:szCs w:val="21"/>
        </w:rPr>
      </w:pPr>
      <w:bookmarkStart w:id="1497" w:name="_Ref531955107"/>
      <w:r>
        <w:rPr>
          <w:rFonts w:hint="eastAsia" w:ascii="宋体" w:hAnsi="宋体" w:cs="宋体"/>
          <w:szCs w:val="21"/>
        </w:rPr>
        <w:t>（2） 预留相应比例的工程款；</w:t>
      </w:r>
      <w:bookmarkEnd w:id="1497"/>
    </w:p>
    <w:p>
      <w:pPr>
        <w:spacing w:line="400" w:lineRule="exact"/>
        <w:ind w:firstLine="600"/>
        <w:rPr>
          <w:rFonts w:hint="eastAsia" w:ascii="宋体" w:hAnsi="宋体" w:cs="宋体"/>
          <w:szCs w:val="21"/>
        </w:rPr>
      </w:pPr>
      <w:bookmarkStart w:id="1498" w:name="_Ref531955117"/>
      <w:r>
        <w:rPr>
          <w:rFonts w:hint="eastAsia" w:ascii="宋体" w:hAnsi="宋体" w:cs="宋体"/>
          <w:szCs w:val="21"/>
        </w:rPr>
        <w:t>（3） 双方约定的其他方式。</w:t>
      </w:r>
      <w:bookmarkEnd w:id="1498"/>
    </w:p>
    <w:p>
      <w:pPr>
        <w:spacing w:line="400" w:lineRule="exact"/>
        <w:ind w:firstLine="600"/>
        <w:rPr>
          <w:rFonts w:hint="eastAsia" w:ascii="宋体" w:hAnsi="宋体" w:cs="宋体"/>
          <w:szCs w:val="21"/>
        </w:rPr>
      </w:pPr>
      <w:r>
        <w:rPr>
          <w:rFonts w:hint="eastAsia" w:ascii="宋体" w:hAnsi="宋体" w:cs="宋体"/>
          <w:szCs w:val="21"/>
        </w:rPr>
        <w:t>除专用合同条件另有约定外，质量保证金原则上采用上述第（1）种方式，且承包人应在工程竣工验收合格后7天内，向发包人提交工程质量保证担保。不论承包人以何种方式提供质量保证金，累计金额均不得高于工程价款结算总额的3%。</w:t>
      </w:r>
    </w:p>
    <w:p>
      <w:pPr>
        <w:pStyle w:val="686"/>
        <w:numPr>
          <w:ilvl w:val="0"/>
          <w:numId w:val="0"/>
        </w:numPr>
        <w:spacing w:line="400" w:lineRule="exact"/>
        <w:rPr>
          <w:rFonts w:hint="eastAsia" w:cs="宋体"/>
          <w:sz w:val="21"/>
        </w:rPr>
      </w:pPr>
      <w:bookmarkStart w:id="1499" w:name="_Ref15419738"/>
      <w:bookmarkStart w:id="1500" w:name="_Ref18931667"/>
      <w:r>
        <w:rPr>
          <w:rFonts w:hint="eastAsia" w:cs="宋体"/>
          <w:sz w:val="21"/>
        </w:rPr>
        <w:t>14.6.2 质量保证金的预留</w:t>
      </w:r>
      <w:bookmarkEnd w:id="1499"/>
      <w:bookmarkEnd w:id="1500"/>
    </w:p>
    <w:p>
      <w:pPr>
        <w:spacing w:line="400" w:lineRule="exact"/>
        <w:ind w:firstLine="600"/>
        <w:rPr>
          <w:rFonts w:hint="eastAsia" w:ascii="宋体" w:hAnsi="宋体" w:cs="宋体"/>
          <w:szCs w:val="21"/>
        </w:rPr>
      </w:pPr>
      <w:r>
        <w:rPr>
          <w:rFonts w:hint="eastAsia" w:ascii="宋体" w:hAnsi="宋体" w:cs="宋体"/>
          <w:szCs w:val="21"/>
        </w:rPr>
        <w:t>双方约定采用预留相应比例的工程款方式提供质量保证金的，质量保证金的预留有以下三种方式：</w:t>
      </w:r>
    </w:p>
    <w:p>
      <w:pPr>
        <w:spacing w:line="400" w:lineRule="exact"/>
        <w:ind w:firstLine="600"/>
        <w:rPr>
          <w:rFonts w:hint="eastAsia" w:ascii="宋体" w:hAnsi="宋体" w:cs="宋体"/>
          <w:szCs w:val="21"/>
        </w:rPr>
      </w:pPr>
      <w:bookmarkStart w:id="1501" w:name="_Hlk18840714"/>
      <w:bookmarkStart w:id="1502" w:name="_Ref531955143"/>
      <w:r>
        <w:rPr>
          <w:rFonts w:hint="eastAsia" w:ascii="宋体" w:hAnsi="宋体" w:cs="宋体"/>
          <w:szCs w:val="21"/>
        </w:rPr>
        <w:t>（1） 按专用合同条件的约定在支付工程进度款时逐次预留，直至预留的质量保证金总额达到专用合同条件约定的金额或比例为止</w:t>
      </w:r>
      <w:bookmarkEnd w:id="1501"/>
      <w:r>
        <w:rPr>
          <w:rFonts w:hint="eastAsia" w:ascii="宋体" w:hAnsi="宋体" w:cs="宋体"/>
          <w:szCs w:val="21"/>
        </w:rPr>
        <w:t>。在此情形下，质量保证金的计算基数不包括预付款的支付、扣回以及价格调整的金额；</w:t>
      </w:r>
      <w:bookmarkEnd w:id="1502"/>
    </w:p>
    <w:p>
      <w:pPr>
        <w:spacing w:line="400" w:lineRule="exact"/>
        <w:ind w:firstLine="600"/>
        <w:rPr>
          <w:rFonts w:hint="eastAsia" w:ascii="宋体" w:hAnsi="宋体" w:cs="宋体"/>
          <w:szCs w:val="21"/>
        </w:rPr>
      </w:pPr>
      <w:bookmarkStart w:id="1503" w:name="_Ref531955151"/>
      <w:r>
        <w:rPr>
          <w:rFonts w:hint="eastAsia" w:ascii="宋体" w:hAnsi="宋体" w:cs="宋体"/>
          <w:szCs w:val="21"/>
        </w:rPr>
        <w:t>（2） 工程竣工结算时一次性预留质量保证金；</w:t>
      </w:r>
      <w:bookmarkEnd w:id="1503"/>
    </w:p>
    <w:p>
      <w:pPr>
        <w:spacing w:line="400" w:lineRule="exact"/>
        <w:ind w:firstLine="600"/>
        <w:rPr>
          <w:rFonts w:hint="eastAsia" w:ascii="宋体" w:hAnsi="宋体" w:cs="宋体"/>
          <w:szCs w:val="21"/>
        </w:rPr>
      </w:pPr>
      <w:bookmarkStart w:id="1504" w:name="_Ref531955161"/>
      <w:r>
        <w:rPr>
          <w:rFonts w:hint="eastAsia" w:ascii="宋体" w:hAnsi="宋体" w:cs="宋体"/>
          <w:szCs w:val="21"/>
        </w:rPr>
        <w:t>（3） 双方约定的其他预留方式。</w:t>
      </w:r>
      <w:bookmarkEnd w:id="1504"/>
    </w:p>
    <w:p>
      <w:pPr>
        <w:spacing w:line="400" w:lineRule="exact"/>
        <w:ind w:firstLine="600"/>
        <w:rPr>
          <w:rFonts w:hint="eastAsia" w:ascii="宋体" w:hAnsi="宋体" w:cs="宋体"/>
          <w:szCs w:val="21"/>
        </w:rPr>
      </w:pPr>
      <w:r>
        <w:rPr>
          <w:rFonts w:hint="eastAsia" w:ascii="宋体" w:hAnsi="宋体" w:cs="宋体"/>
          <w:szCs w:val="21"/>
        </w:rPr>
        <w:t>除专用合同条件另有约定外，质量保证金的预留原则上采用上述第（1）种方式。如承包人在发包人签发竣工付款证书后28天内提交工程质量保证担保，发包人应同时返还预留的作为质量保证金的工程价款。发包人在返还本条款项下的质量保证金的同时，按照中国人民银行同期同类存款基准利率支付利息。</w:t>
      </w:r>
    </w:p>
    <w:p>
      <w:pPr>
        <w:pStyle w:val="686"/>
        <w:numPr>
          <w:ilvl w:val="0"/>
          <w:numId w:val="0"/>
        </w:numPr>
        <w:spacing w:line="400" w:lineRule="exact"/>
        <w:rPr>
          <w:rFonts w:hint="eastAsia" w:cs="宋体"/>
          <w:sz w:val="21"/>
        </w:rPr>
      </w:pPr>
      <w:bookmarkStart w:id="1505" w:name="_Ref532690096"/>
      <w:bookmarkStart w:id="1506" w:name="_Ref4571243"/>
      <w:r>
        <w:rPr>
          <w:rFonts w:hint="eastAsia" w:cs="宋体"/>
          <w:sz w:val="21"/>
        </w:rPr>
        <w:t>14.6.3 质量保证金的</w:t>
      </w:r>
      <w:bookmarkEnd w:id="1505"/>
      <w:r>
        <w:rPr>
          <w:rFonts w:hint="eastAsia" w:cs="宋体"/>
          <w:sz w:val="21"/>
        </w:rPr>
        <w:t>返还</w:t>
      </w:r>
      <w:bookmarkEnd w:id="1506"/>
    </w:p>
    <w:p>
      <w:pPr>
        <w:spacing w:line="400" w:lineRule="exact"/>
        <w:ind w:firstLine="600"/>
        <w:rPr>
          <w:rFonts w:hint="eastAsia" w:ascii="宋体" w:hAnsi="宋体" w:cs="宋体"/>
          <w:szCs w:val="21"/>
        </w:rPr>
      </w:pPr>
      <w:r>
        <w:rPr>
          <w:rFonts w:hint="eastAsia" w:ascii="宋体" w:hAnsi="宋体" w:cs="宋体"/>
          <w:szCs w:val="21"/>
        </w:rPr>
        <w:t>缺陷责任期内，承包人认真履行合同约定的责任，缺陷责任期满，发包人根据第11.6款[缺陷责任期终止证书]向承包人颁发缺陷责任期终止证书后，承包人可向发包人申请返还质量保证金。</w:t>
      </w:r>
    </w:p>
    <w:p>
      <w:pPr>
        <w:spacing w:line="400" w:lineRule="exact"/>
        <w:ind w:firstLine="600"/>
        <w:rPr>
          <w:rFonts w:hint="eastAsia" w:ascii="宋体" w:hAnsi="宋体" w:cs="宋体"/>
          <w:szCs w:val="21"/>
        </w:rPr>
      </w:pPr>
      <w:r>
        <w:rPr>
          <w:rFonts w:hint="eastAsia" w:ascii="宋体" w:hAnsi="宋体" w:cs="宋体"/>
          <w:szCs w:val="21"/>
        </w:rPr>
        <w:t>发包人在接到承包人返还质量保证金申请后，应于7天内将质量保证金返还承包人，逾期未返还的，应承担违约责任。发包人在接到承包人返还质量保证金申请后7天内不予答复，视同认可承包人的返还质量保证金申请。</w:t>
      </w:r>
    </w:p>
    <w:p>
      <w:pPr>
        <w:spacing w:line="400" w:lineRule="exact"/>
        <w:ind w:firstLine="600"/>
        <w:rPr>
          <w:rFonts w:hint="eastAsia" w:ascii="宋体" w:hAnsi="宋体" w:cs="宋体"/>
          <w:szCs w:val="21"/>
        </w:rPr>
      </w:pPr>
      <w:r>
        <w:rPr>
          <w:rFonts w:hint="eastAsia" w:ascii="宋体" w:hAnsi="宋体" w:cs="宋体"/>
          <w:szCs w:val="21"/>
        </w:rPr>
        <w:t>发包人和承包人对质量保证金预留、返还以及工程维修质量、费用有争议的，按本合同第20条[争议解决]约定的争议和纠纷解决程序处理。</w:t>
      </w:r>
    </w:p>
    <w:bookmarkEnd w:id="1495"/>
    <w:p>
      <w:pPr>
        <w:pStyle w:val="685"/>
        <w:widowControl/>
        <w:numPr>
          <w:ilvl w:val="0"/>
          <w:numId w:val="0"/>
        </w:numPr>
        <w:spacing w:line="400" w:lineRule="exact"/>
        <w:rPr>
          <w:rFonts w:hint="eastAsia" w:ascii="宋体" w:hAnsi="宋体" w:eastAsia="宋体" w:cs="宋体"/>
          <w:b w:val="0"/>
          <w:bCs/>
          <w:sz w:val="21"/>
          <w:szCs w:val="21"/>
        </w:rPr>
      </w:pPr>
      <w:bookmarkStart w:id="1507" w:name="_Ref531957339"/>
      <w:bookmarkStart w:id="1508" w:name="_Toc59203197"/>
      <w:bookmarkStart w:id="1509" w:name="_Toc54862298"/>
      <w:bookmarkStart w:id="1510" w:name="_Ref531957341"/>
      <w:r>
        <w:rPr>
          <w:rFonts w:hint="eastAsia" w:ascii="宋体" w:hAnsi="宋体" w:eastAsia="宋体" w:cs="宋体"/>
          <w:b w:val="0"/>
          <w:bCs/>
          <w:sz w:val="21"/>
          <w:szCs w:val="21"/>
        </w:rPr>
        <w:t>14.7 最终结清</w:t>
      </w:r>
      <w:bookmarkEnd w:id="1507"/>
      <w:bookmarkEnd w:id="1508"/>
      <w:bookmarkEnd w:id="1509"/>
      <w:bookmarkEnd w:id="1510"/>
      <w:r>
        <w:rPr>
          <w:rFonts w:hint="eastAsia" w:ascii="宋体" w:hAnsi="宋体" w:eastAsia="宋体" w:cs="宋体"/>
          <w:b w:val="0"/>
          <w:bCs/>
          <w:sz w:val="21"/>
          <w:szCs w:val="21"/>
        </w:rPr>
        <w:t xml:space="preserve"> </w:t>
      </w:r>
    </w:p>
    <w:p>
      <w:pPr>
        <w:pStyle w:val="686"/>
        <w:numPr>
          <w:ilvl w:val="0"/>
          <w:numId w:val="0"/>
        </w:numPr>
        <w:spacing w:line="400" w:lineRule="exact"/>
        <w:rPr>
          <w:rFonts w:hint="eastAsia" w:cs="宋体"/>
          <w:sz w:val="21"/>
        </w:rPr>
      </w:pPr>
      <w:bookmarkStart w:id="1511" w:name="_Ref531957350"/>
      <w:r>
        <w:rPr>
          <w:rFonts w:hint="eastAsia" w:cs="宋体"/>
          <w:sz w:val="21"/>
        </w:rPr>
        <w:t>14.7.1 最终结清申请</w:t>
      </w:r>
      <w:bookmarkEnd w:id="1511"/>
      <w:r>
        <w:rPr>
          <w:rFonts w:hint="eastAsia" w:cs="宋体"/>
          <w:sz w:val="21"/>
        </w:rPr>
        <w:t>单</w:t>
      </w:r>
    </w:p>
    <w:p>
      <w:pPr>
        <w:spacing w:line="400" w:lineRule="exact"/>
        <w:ind w:firstLine="600"/>
        <w:rPr>
          <w:rFonts w:hint="eastAsia" w:ascii="宋体" w:hAnsi="宋体" w:cs="宋体"/>
          <w:szCs w:val="21"/>
        </w:rPr>
      </w:pPr>
      <w:r>
        <w:rPr>
          <w:rFonts w:hint="eastAsia" w:ascii="宋体" w:hAnsi="宋体" w:cs="宋体"/>
          <w:szCs w:val="21"/>
        </w:rPr>
        <w:t>（1） 除专用合同条件另有约定外，承包人应在缺陷责任期终止证书颁发后7天内，按专用合同条件约定的份数向发包人提交最终结清申请单，并提供相关证明材料。</w:t>
      </w:r>
    </w:p>
    <w:p>
      <w:pPr>
        <w:spacing w:line="400" w:lineRule="exact"/>
        <w:ind w:firstLine="600"/>
        <w:rPr>
          <w:rFonts w:hint="eastAsia" w:ascii="宋体" w:hAnsi="宋体" w:cs="宋体"/>
          <w:szCs w:val="21"/>
        </w:rPr>
      </w:pPr>
      <w:r>
        <w:rPr>
          <w:rFonts w:hint="eastAsia" w:ascii="宋体" w:hAnsi="宋体" w:cs="宋体"/>
          <w:szCs w:val="21"/>
        </w:rPr>
        <w:t>除专用合同条件另有约定外，最终结清申请单应列明质量保证金、应扣除的质量保证金、缺陷责任期内发生的增减费用。</w:t>
      </w:r>
    </w:p>
    <w:p>
      <w:pPr>
        <w:spacing w:line="400" w:lineRule="exact"/>
        <w:ind w:firstLine="600"/>
        <w:rPr>
          <w:rFonts w:hint="eastAsia" w:ascii="宋体" w:hAnsi="宋体" w:cs="宋体"/>
          <w:szCs w:val="21"/>
        </w:rPr>
      </w:pPr>
      <w:r>
        <w:rPr>
          <w:rFonts w:hint="eastAsia" w:ascii="宋体" w:hAnsi="宋体" w:cs="宋体"/>
          <w:szCs w:val="21"/>
        </w:rPr>
        <w:t>（2） 发包人对最终结清申请单内容有异议的，有权要求承包人进行修正和提供补充资料，承包人应向发包人提交修正后的最终结清申请单。</w:t>
      </w:r>
    </w:p>
    <w:p>
      <w:pPr>
        <w:pStyle w:val="686"/>
        <w:numPr>
          <w:ilvl w:val="0"/>
          <w:numId w:val="0"/>
        </w:numPr>
        <w:spacing w:line="400" w:lineRule="exact"/>
        <w:rPr>
          <w:rFonts w:hint="eastAsia" w:cs="宋体"/>
          <w:sz w:val="21"/>
        </w:rPr>
      </w:pPr>
      <w:bookmarkStart w:id="1512" w:name="_Ref531957369"/>
      <w:bookmarkStart w:id="1513" w:name="_Ref4624099"/>
      <w:r>
        <w:rPr>
          <w:rFonts w:hint="eastAsia" w:cs="宋体"/>
          <w:sz w:val="21"/>
        </w:rPr>
        <w:t>14.7.2 最终结清证书</w:t>
      </w:r>
      <w:bookmarkEnd w:id="1512"/>
      <w:r>
        <w:rPr>
          <w:rFonts w:hint="eastAsia" w:cs="宋体"/>
          <w:sz w:val="21"/>
        </w:rPr>
        <w:t>和支付</w:t>
      </w:r>
      <w:bookmarkEnd w:id="1513"/>
    </w:p>
    <w:p>
      <w:pPr>
        <w:spacing w:line="400" w:lineRule="exact"/>
        <w:ind w:firstLine="600"/>
        <w:rPr>
          <w:rFonts w:hint="eastAsia" w:ascii="宋体" w:hAnsi="宋体" w:cs="宋体"/>
          <w:szCs w:val="21"/>
        </w:rPr>
      </w:pPr>
      <w:r>
        <w:rPr>
          <w:rFonts w:hint="eastAsia" w:ascii="宋体" w:hAnsi="宋体" w:cs="宋体"/>
          <w:szCs w:val="21"/>
        </w:rPr>
        <w:t>（1） 除专用合同条件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pPr>
        <w:spacing w:line="400" w:lineRule="exact"/>
        <w:ind w:firstLine="600"/>
        <w:rPr>
          <w:rFonts w:hint="eastAsia" w:ascii="宋体" w:hAnsi="宋体" w:cs="宋体"/>
          <w:szCs w:val="21"/>
        </w:rPr>
      </w:pPr>
      <w:r>
        <w:rPr>
          <w:rFonts w:hint="eastAsia" w:ascii="宋体" w:hAnsi="宋体" w:cs="宋体"/>
          <w:szCs w:val="21"/>
        </w:rPr>
        <w:t>（2） 除专用合同条件另有约定外，发包人应在颁发最终结清证书后7天内完成支付。发包人逾期支付的，按照贷款市场报价利率（LPR）支付利息；逾期支付超过56天的，按照贷款市场报价利率（LPR）的两倍支付利息。</w:t>
      </w:r>
    </w:p>
    <w:p>
      <w:pPr>
        <w:spacing w:line="400" w:lineRule="exact"/>
        <w:ind w:firstLine="600"/>
        <w:rPr>
          <w:rFonts w:hint="eastAsia" w:ascii="宋体" w:hAnsi="宋体" w:cs="宋体"/>
          <w:szCs w:val="21"/>
        </w:rPr>
      </w:pPr>
      <w:r>
        <w:rPr>
          <w:rFonts w:hint="eastAsia" w:ascii="宋体" w:hAnsi="宋体" w:cs="宋体"/>
          <w:szCs w:val="21"/>
        </w:rPr>
        <w:t>（3） 承包人对发包人颁发的最终结清证书有异议的，按第20条[争议解决]的约定办理。</w:t>
      </w:r>
    </w:p>
    <w:p>
      <w:pPr>
        <w:pStyle w:val="684"/>
        <w:numPr>
          <w:ilvl w:val="0"/>
          <w:numId w:val="0"/>
        </w:numPr>
        <w:spacing w:line="400" w:lineRule="exact"/>
        <w:rPr>
          <w:rFonts w:hint="eastAsia" w:ascii="宋体" w:hAnsi="宋体" w:eastAsia="宋体" w:cs="宋体"/>
          <w:b w:val="0"/>
          <w:szCs w:val="21"/>
        </w:rPr>
      </w:pPr>
      <w:bookmarkStart w:id="1514" w:name="_Ref11874957"/>
      <w:bookmarkStart w:id="1515" w:name="_Ref11920407"/>
      <w:bookmarkStart w:id="1516" w:name="_Toc59203198"/>
      <w:bookmarkStart w:id="1517" w:name="_Toc54862299"/>
      <w:bookmarkStart w:id="1518" w:name="_Ref11920396"/>
      <w:r>
        <w:rPr>
          <w:rFonts w:hint="eastAsia" w:ascii="宋体" w:hAnsi="宋体" w:eastAsia="宋体" w:cs="宋体"/>
          <w:b w:val="0"/>
          <w:szCs w:val="21"/>
        </w:rPr>
        <w:t>第15条 违约</w:t>
      </w:r>
      <w:bookmarkEnd w:id="1354"/>
      <w:bookmarkEnd w:id="1359"/>
      <w:bookmarkEnd w:id="1360"/>
      <w:bookmarkEnd w:id="1514"/>
      <w:bookmarkEnd w:id="1515"/>
      <w:bookmarkEnd w:id="1516"/>
      <w:bookmarkEnd w:id="1517"/>
      <w:bookmarkEnd w:id="1518"/>
    </w:p>
    <w:p>
      <w:pPr>
        <w:pStyle w:val="685"/>
        <w:widowControl/>
        <w:numPr>
          <w:ilvl w:val="0"/>
          <w:numId w:val="0"/>
        </w:numPr>
        <w:spacing w:line="400" w:lineRule="exact"/>
        <w:rPr>
          <w:rFonts w:hint="eastAsia" w:ascii="宋体" w:hAnsi="宋体" w:eastAsia="宋体" w:cs="宋体"/>
          <w:b w:val="0"/>
          <w:bCs/>
          <w:sz w:val="21"/>
          <w:szCs w:val="21"/>
        </w:rPr>
      </w:pPr>
      <w:bookmarkStart w:id="1519" w:name="_Ref4534376"/>
      <w:bookmarkStart w:id="1520" w:name="_Ref4534384"/>
      <w:bookmarkStart w:id="1521" w:name="_Toc59203199"/>
      <w:bookmarkStart w:id="1522" w:name="_Toc54862300"/>
      <w:bookmarkStart w:id="1523" w:name="_Ref4534399"/>
      <w:bookmarkStart w:id="1524" w:name="_Ref4534411"/>
      <w:r>
        <w:rPr>
          <w:rFonts w:hint="eastAsia" w:ascii="宋体" w:hAnsi="宋体" w:eastAsia="宋体" w:cs="宋体"/>
          <w:b w:val="0"/>
          <w:bCs/>
          <w:sz w:val="21"/>
          <w:szCs w:val="21"/>
        </w:rPr>
        <w:t>15.1 发包人违约</w:t>
      </w:r>
      <w:bookmarkEnd w:id="1519"/>
      <w:bookmarkEnd w:id="1520"/>
      <w:bookmarkEnd w:id="1521"/>
      <w:bookmarkEnd w:id="1522"/>
      <w:bookmarkEnd w:id="1523"/>
      <w:bookmarkEnd w:id="1524"/>
    </w:p>
    <w:p>
      <w:pPr>
        <w:pStyle w:val="686"/>
        <w:numPr>
          <w:ilvl w:val="0"/>
          <w:numId w:val="0"/>
        </w:numPr>
        <w:spacing w:line="400" w:lineRule="exact"/>
        <w:rPr>
          <w:rFonts w:hint="eastAsia" w:cs="宋体"/>
          <w:sz w:val="21"/>
        </w:rPr>
      </w:pPr>
      <w:bookmarkStart w:id="1525" w:name="_Ref3841087"/>
      <w:r>
        <w:rPr>
          <w:rFonts w:hint="eastAsia" w:cs="宋体"/>
          <w:sz w:val="21"/>
        </w:rPr>
        <w:t>15.1.1 发包人违约的情形</w:t>
      </w:r>
      <w:bookmarkEnd w:id="1525"/>
    </w:p>
    <w:p>
      <w:pPr>
        <w:spacing w:line="400" w:lineRule="exact"/>
        <w:ind w:firstLine="600"/>
        <w:rPr>
          <w:rFonts w:hint="eastAsia" w:ascii="宋体" w:hAnsi="宋体" w:cs="宋体"/>
          <w:szCs w:val="21"/>
        </w:rPr>
      </w:pPr>
      <w:r>
        <w:rPr>
          <w:rFonts w:hint="eastAsia" w:ascii="宋体" w:hAnsi="宋体" w:cs="宋体"/>
          <w:szCs w:val="21"/>
        </w:rPr>
        <w:t>除专用合同条件另有约定外，在合同履行过程中发生的下列情形，属于发包人违约：</w:t>
      </w:r>
    </w:p>
    <w:p>
      <w:pPr>
        <w:spacing w:line="400" w:lineRule="exact"/>
        <w:ind w:firstLine="600"/>
        <w:rPr>
          <w:rFonts w:hint="eastAsia" w:ascii="宋体" w:hAnsi="宋体" w:cs="宋体"/>
          <w:szCs w:val="21"/>
        </w:rPr>
      </w:pPr>
      <w:r>
        <w:rPr>
          <w:rFonts w:hint="eastAsia" w:ascii="宋体" w:hAnsi="宋体" w:cs="宋体"/>
          <w:szCs w:val="21"/>
        </w:rPr>
        <w:t xml:space="preserve">（1） 因发包人原因导致开始工作日期延误的； </w:t>
      </w:r>
    </w:p>
    <w:p>
      <w:pPr>
        <w:spacing w:line="400" w:lineRule="exact"/>
        <w:ind w:firstLine="600"/>
        <w:rPr>
          <w:rFonts w:hint="eastAsia" w:ascii="宋体" w:hAnsi="宋体" w:cs="宋体"/>
          <w:szCs w:val="21"/>
        </w:rPr>
      </w:pPr>
      <w:r>
        <w:rPr>
          <w:rFonts w:hint="eastAsia" w:ascii="宋体" w:hAnsi="宋体" w:cs="宋体"/>
          <w:szCs w:val="21"/>
        </w:rPr>
        <w:t>（2） 因发包人原因未能按合同约定支付合同价款的；</w:t>
      </w:r>
    </w:p>
    <w:p>
      <w:pPr>
        <w:spacing w:line="400" w:lineRule="exact"/>
        <w:ind w:firstLine="600"/>
        <w:rPr>
          <w:rFonts w:hint="eastAsia" w:ascii="宋体" w:hAnsi="宋体" w:cs="宋体"/>
          <w:szCs w:val="21"/>
        </w:rPr>
      </w:pPr>
      <w:r>
        <w:rPr>
          <w:rFonts w:hint="eastAsia" w:ascii="宋体" w:hAnsi="宋体" w:cs="宋体"/>
          <w:szCs w:val="21"/>
        </w:rPr>
        <w:t>（3） 发包人违反第13.1.1项约定，自行实施被取消的工作或转由他人实施的；</w:t>
      </w:r>
    </w:p>
    <w:p>
      <w:pPr>
        <w:spacing w:line="400" w:lineRule="exact"/>
        <w:ind w:firstLine="600"/>
        <w:rPr>
          <w:rFonts w:hint="eastAsia" w:ascii="宋体" w:hAnsi="宋体" w:cs="宋体"/>
          <w:szCs w:val="21"/>
        </w:rPr>
      </w:pPr>
      <w:r>
        <w:rPr>
          <w:rFonts w:hint="eastAsia" w:ascii="宋体" w:hAnsi="宋体" w:cs="宋体"/>
          <w:szCs w:val="21"/>
        </w:rPr>
        <w:t>（4） 因发包人违反合同约定造成工程暂停施工的；</w:t>
      </w:r>
    </w:p>
    <w:p>
      <w:pPr>
        <w:spacing w:line="400" w:lineRule="exact"/>
        <w:ind w:firstLine="600"/>
        <w:rPr>
          <w:rFonts w:hint="eastAsia" w:ascii="宋体" w:hAnsi="宋体" w:cs="宋体"/>
          <w:szCs w:val="21"/>
        </w:rPr>
      </w:pPr>
      <w:r>
        <w:rPr>
          <w:rFonts w:hint="eastAsia" w:ascii="宋体" w:hAnsi="宋体" w:cs="宋体"/>
          <w:szCs w:val="21"/>
        </w:rPr>
        <w:t>（5） 工程师无正当理由没有在约定期限内发出复工指示，导致承包人无法复工的；</w:t>
      </w:r>
    </w:p>
    <w:p>
      <w:pPr>
        <w:spacing w:line="400" w:lineRule="exact"/>
        <w:ind w:firstLine="600"/>
        <w:rPr>
          <w:rFonts w:hint="eastAsia" w:ascii="宋体" w:hAnsi="宋体" w:cs="宋体"/>
          <w:szCs w:val="21"/>
        </w:rPr>
      </w:pPr>
      <w:r>
        <w:rPr>
          <w:rFonts w:hint="eastAsia" w:ascii="宋体" w:hAnsi="宋体" w:cs="宋体"/>
          <w:szCs w:val="21"/>
        </w:rPr>
        <w:t>（6） 发包人明确表示或者以其行为表明不履行合同主要义务的；</w:t>
      </w:r>
    </w:p>
    <w:p>
      <w:pPr>
        <w:spacing w:line="400" w:lineRule="exact"/>
        <w:ind w:firstLine="600"/>
        <w:rPr>
          <w:rFonts w:hint="eastAsia" w:ascii="宋体" w:hAnsi="宋体" w:cs="宋体"/>
          <w:szCs w:val="21"/>
        </w:rPr>
      </w:pPr>
      <w:r>
        <w:rPr>
          <w:rFonts w:hint="eastAsia" w:ascii="宋体" w:hAnsi="宋体" w:cs="宋体"/>
          <w:szCs w:val="21"/>
        </w:rPr>
        <w:t>（7） 发包人未能按照合同约定履行其他义务的。</w:t>
      </w:r>
    </w:p>
    <w:p>
      <w:pPr>
        <w:pStyle w:val="686"/>
        <w:numPr>
          <w:ilvl w:val="0"/>
          <w:numId w:val="0"/>
        </w:numPr>
        <w:spacing w:line="400" w:lineRule="exact"/>
        <w:rPr>
          <w:rFonts w:hint="eastAsia" w:cs="宋体"/>
          <w:sz w:val="21"/>
        </w:rPr>
      </w:pPr>
      <w:bookmarkStart w:id="1526" w:name="_Ref4535692"/>
      <w:r>
        <w:rPr>
          <w:rFonts w:hint="eastAsia" w:cs="宋体"/>
          <w:sz w:val="21"/>
        </w:rPr>
        <w:t>15.1.2 通知改正</w:t>
      </w:r>
      <w:bookmarkEnd w:id="1526"/>
    </w:p>
    <w:p>
      <w:pPr>
        <w:spacing w:line="400" w:lineRule="exact"/>
        <w:ind w:firstLine="600"/>
        <w:rPr>
          <w:rFonts w:hint="eastAsia" w:ascii="宋体" w:hAnsi="宋体" w:cs="宋体"/>
          <w:szCs w:val="21"/>
        </w:rPr>
      </w:pPr>
      <w:bookmarkStart w:id="1527" w:name="_Hlk16248297"/>
      <w:r>
        <w:rPr>
          <w:rFonts w:hint="eastAsia" w:ascii="宋体" w:hAnsi="宋体" w:cs="宋体"/>
          <w:szCs w:val="21"/>
        </w:rPr>
        <w:t>发包人发生除第15.1.1项第(6)目以外的违约情况时，承包人可向发包人发出通知，要求发包人采取有效措施纠正违约行为。发包人收到承包人通知后28天内仍不纠正违约行为的，承包人有权暂停相应部位工程实施，并通知工程师。</w:t>
      </w:r>
      <w:bookmarkEnd w:id="1527"/>
    </w:p>
    <w:p>
      <w:pPr>
        <w:pStyle w:val="686"/>
        <w:numPr>
          <w:ilvl w:val="0"/>
          <w:numId w:val="0"/>
        </w:numPr>
        <w:spacing w:line="400" w:lineRule="exact"/>
        <w:rPr>
          <w:rFonts w:hint="eastAsia" w:cs="宋体"/>
          <w:sz w:val="21"/>
        </w:rPr>
      </w:pPr>
      <w:bookmarkStart w:id="1528" w:name="_Ref3841132"/>
      <w:r>
        <w:rPr>
          <w:rFonts w:hint="eastAsia" w:cs="宋体"/>
          <w:sz w:val="21"/>
        </w:rPr>
        <w:t>15.1.3 发包人违约的责任</w:t>
      </w:r>
      <w:bookmarkEnd w:id="1528"/>
    </w:p>
    <w:p>
      <w:pPr>
        <w:spacing w:line="400" w:lineRule="exact"/>
        <w:ind w:firstLine="600"/>
        <w:rPr>
          <w:rFonts w:hint="eastAsia" w:ascii="宋体" w:hAnsi="宋体" w:cs="宋体"/>
          <w:szCs w:val="21"/>
        </w:rPr>
      </w:pPr>
      <w:bookmarkStart w:id="1529" w:name="_Hlk16247984"/>
      <w:r>
        <w:rPr>
          <w:rFonts w:hint="eastAsia" w:ascii="宋体" w:hAnsi="宋体" w:cs="宋体"/>
          <w:szCs w:val="21"/>
        </w:rPr>
        <w:t>发包人应承担因其违约给承包人增加的费用和（或）延误的工期，并支付承包人合理的利润。此外，合同当事人可在专用合同条件中另行约定发包人违约责任的承担方式和计算方法。</w:t>
      </w:r>
      <w:bookmarkEnd w:id="1529"/>
    </w:p>
    <w:p>
      <w:pPr>
        <w:pStyle w:val="685"/>
        <w:widowControl/>
        <w:numPr>
          <w:ilvl w:val="0"/>
          <w:numId w:val="0"/>
        </w:numPr>
        <w:spacing w:line="400" w:lineRule="exact"/>
        <w:rPr>
          <w:rFonts w:hint="eastAsia" w:ascii="宋体" w:hAnsi="宋体" w:eastAsia="宋体" w:cs="宋体"/>
          <w:b w:val="0"/>
          <w:bCs/>
          <w:sz w:val="21"/>
          <w:szCs w:val="21"/>
        </w:rPr>
      </w:pPr>
      <w:bookmarkStart w:id="1530" w:name="_Toc54862301"/>
      <w:bookmarkStart w:id="1531" w:name="_Ref11958660"/>
      <w:bookmarkStart w:id="1532" w:name="_Toc59203200"/>
      <w:bookmarkStart w:id="1533" w:name="_Ref11958663"/>
      <w:r>
        <w:rPr>
          <w:rFonts w:hint="eastAsia" w:ascii="宋体" w:hAnsi="宋体" w:eastAsia="宋体" w:cs="宋体"/>
          <w:b w:val="0"/>
          <w:bCs/>
          <w:sz w:val="21"/>
          <w:szCs w:val="21"/>
        </w:rPr>
        <w:t>15.2 承包人违约</w:t>
      </w:r>
      <w:bookmarkEnd w:id="1530"/>
      <w:bookmarkEnd w:id="1531"/>
      <w:bookmarkEnd w:id="1532"/>
      <w:bookmarkEnd w:id="1533"/>
    </w:p>
    <w:p>
      <w:pPr>
        <w:pStyle w:val="686"/>
        <w:numPr>
          <w:ilvl w:val="0"/>
          <w:numId w:val="0"/>
        </w:numPr>
        <w:spacing w:line="400" w:lineRule="exact"/>
        <w:rPr>
          <w:rFonts w:hint="eastAsia" w:cs="宋体"/>
          <w:sz w:val="21"/>
        </w:rPr>
      </w:pPr>
      <w:bookmarkStart w:id="1534" w:name="_Ref3841153"/>
      <w:r>
        <w:rPr>
          <w:rFonts w:hint="eastAsia" w:cs="宋体"/>
          <w:sz w:val="21"/>
        </w:rPr>
        <w:t>15.2.1 承包人违约的情形</w:t>
      </w:r>
      <w:bookmarkEnd w:id="1534"/>
    </w:p>
    <w:p>
      <w:pPr>
        <w:spacing w:line="400" w:lineRule="exact"/>
        <w:ind w:firstLine="600"/>
        <w:rPr>
          <w:rFonts w:hint="eastAsia" w:ascii="宋体" w:hAnsi="宋体" w:cs="宋体"/>
          <w:szCs w:val="21"/>
        </w:rPr>
      </w:pPr>
      <w:r>
        <w:rPr>
          <w:rFonts w:hint="eastAsia" w:ascii="宋体" w:hAnsi="宋体" w:cs="宋体"/>
          <w:szCs w:val="21"/>
        </w:rPr>
        <w:t>除专用合同条件另有约定外，在履行合同过程中发生的下列情况之一的，属于承包人违约：</w:t>
      </w:r>
    </w:p>
    <w:p>
      <w:pPr>
        <w:spacing w:line="400" w:lineRule="exact"/>
        <w:ind w:firstLine="600"/>
        <w:rPr>
          <w:rFonts w:hint="eastAsia" w:ascii="宋体" w:hAnsi="宋体" w:cs="宋体"/>
          <w:szCs w:val="21"/>
        </w:rPr>
      </w:pPr>
      <w:r>
        <w:rPr>
          <w:rFonts w:hint="eastAsia" w:ascii="宋体" w:hAnsi="宋体" w:cs="宋体"/>
          <w:szCs w:val="21"/>
        </w:rPr>
        <w:t>（1） 承包人的原因导致的承包人文件、实施和竣工的工程不符合法律法规、工程质量验收标准以及合同约定；</w:t>
      </w:r>
    </w:p>
    <w:p>
      <w:pPr>
        <w:spacing w:line="400" w:lineRule="exact"/>
        <w:ind w:firstLine="600"/>
        <w:rPr>
          <w:rFonts w:hint="eastAsia" w:ascii="宋体" w:hAnsi="宋体" w:cs="宋体"/>
          <w:szCs w:val="21"/>
        </w:rPr>
      </w:pPr>
      <w:r>
        <w:rPr>
          <w:rFonts w:hint="eastAsia" w:ascii="宋体" w:hAnsi="宋体" w:cs="宋体"/>
          <w:szCs w:val="21"/>
        </w:rPr>
        <w:t>（2） 承包人违反合同约定进行转包或违法分包的；</w:t>
      </w:r>
    </w:p>
    <w:p>
      <w:pPr>
        <w:spacing w:line="400" w:lineRule="exact"/>
        <w:ind w:firstLine="600"/>
        <w:rPr>
          <w:rFonts w:hint="eastAsia" w:ascii="宋体" w:hAnsi="宋体" w:cs="宋体"/>
          <w:szCs w:val="21"/>
        </w:rPr>
      </w:pPr>
      <w:r>
        <w:rPr>
          <w:rFonts w:hint="eastAsia" w:ascii="宋体" w:hAnsi="宋体" w:cs="宋体"/>
          <w:szCs w:val="21"/>
        </w:rPr>
        <w:t>（3） 承包人违反约定采购和使用不合格材料或工程设备；</w:t>
      </w:r>
    </w:p>
    <w:p>
      <w:pPr>
        <w:spacing w:line="400" w:lineRule="exact"/>
        <w:ind w:firstLine="600"/>
        <w:rPr>
          <w:rFonts w:hint="eastAsia" w:ascii="宋体" w:hAnsi="宋体" w:cs="宋体"/>
          <w:szCs w:val="21"/>
        </w:rPr>
      </w:pPr>
      <w:r>
        <w:rPr>
          <w:rFonts w:hint="eastAsia" w:ascii="宋体" w:hAnsi="宋体" w:cs="宋体"/>
          <w:szCs w:val="21"/>
        </w:rPr>
        <w:t>（4） 因承包人原因导致工程质量不符合合同要求的；</w:t>
      </w:r>
    </w:p>
    <w:p>
      <w:pPr>
        <w:spacing w:line="400" w:lineRule="exact"/>
        <w:ind w:firstLine="600"/>
        <w:rPr>
          <w:rFonts w:hint="eastAsia" w:ascii="宋体" w:hAnsi="宋体" w:cs="宋体"/>
          <w:szCs w:val="21"/>
        </w:rPr>
      </w:pPr>
      <w:r>
        <w:rPr>
          <w:rFonts w:hint="eastAsia" w:ascii="宋体" w:hAnsi="宋体" w:cs="宋体"/>
          <w:szCs w:val="21"/>
        </w:rPr>
        <w:t>（5） 承包人未经工程师批准，擅自将已按合同约定进入施工现场的施工设备、临时设施或材料撤离施工现场；</w:t>
      </w:r>
    </w:p>
    <w:p>
      <w:pPr>
        <w:spacing w:line="400" w:lineRule="exact"/>
        <w:ind w:firstLine="600"/>
        <w:rPr>
          <w:rFonts w:hint="eastAsia" w:ascii="宋体" w:hAnsi="宋体" w:cs="宋体"/>
          <w:szCs w:val="21"/>
        </w:rPr>
      </w:pPr>
      <w:r>
        <w:rPr>
          <w:rFonts w:hint="eastAsia" w:ascii="宋体" w:hAnsi="宋体" w:cs="宋体"/>
          <w:szCs w:val="21"/>
        </w:rPr>
        <w:t>（6） 承包人未能按项目进度计划及时完成合同约定的工作，造成工期延误；</w:t>
      </w:r>
    </w:p>
    <w:p>
      <w:pPr>
        <w:spacing w:line="400" w:lineRule="exact"/>
        <w:ind w:firstLine="600"/>
        <w:rPr>
          <w:rFonts w:hint="eastAsia" w:ascii="宋体" w:hAnsi="宋体" w:cs="宋体"/>
          <w:szCs w:val="21"/>
        </w:rPr>
      </w:pPr>
      <w:r>
        <w:rPr>
          <w:rFonts w:hint="eastAsia" w:ascii="宋体" w:hAnsi="宋体" w:cs="宋体"/>
          <w:szCs w:val="21"/>
        </w:rPr>
        <w:t>（7） 由于承包人原因未能通过竣工试验或竣工后试验的；</w:t>
      </w:r>
    </w:p>
    <w:p>
      <w:pPr>
        <w:spacing w:line="400" w:lineRule="exact"/>
        <w:ind w:firstLine="600"/>
        <w:rPr>
          <w:rFonts w:hint="eastAsia" w:ascii="宋体" w:hAnsi="宋体" w:cs="宋体"/>
          <w:szCs w:val="21"/>
        </w:rPr>
      </w:pPr>
      <w:r>
        <w:rPr>
          <w:rFonts w:hint="eastAsia" w:ascii="宋体" w:hAnsi="宋体" w:cs="宋体"/>
          <w:szCs w:val="21"/>
        </w:rPr>
        <w:t>（8） 承包人在缺陷责任期及保修期内，未能在合理期限对工程缺陷进行修复，或拒绝按发包人指示进行修复的；</w:t>
      </w:r>
    </w:p>
    <w:p>
      <w:pPr>
        <w:spacing w:line="400" w:lineRule="exact"/>
        <w:ind w:firstLine="600"/>
        <w:rPr>
          <w:rFonts w:hint="eastAsia" w:ascii="宋体" w:hAnsi="宋体" w:cs="宋体"/>
          <w:szCs w:val="21"/>
        </w:rPr>
      </w:pPr>
      <w:r>
        <w:rPr>
          <w:rFonts w:hint="eastAsia" w:ascii="宋体" w:hAnsi="宋体" w:cs="宋体"/>
          <w:szCs w:val="21"/>
        </w:rPr>
        <w:t>（9） 承包人明确表示或者以其行为表明不履行合同主要义务的；</w:t>
      </w:r>
    </w:p>
    <w:p>
      <w:pPr>
        <w:spacing w:line="400" w:lineRule="exact"/>
        <w:ind w:firstLine="600"/>
        <w:rPr>
          <w:rFonts w:hint="eastAsia" w:ascii="宋体" w:hAnsi="宋体" w:cs="宋体"/>
          <w:szCs w:val="21"/>
        </w:rPr>
      </w:pPr>
      <w:r>
        <w:rPr>
          <w:rFonts w:hint="eastAsia" w:ascii="宋体" w:hAnsi="宋体" w:cs="宋体"/>
          <w:szCs w:val="21"/>
        </w:rPr>
        <w:t>（10） 承包人未能按照合同约定履行其他义务的。</w:t>
      </w:r>
    </w:p>
    <w:p>
      <w:pPr>
        <w:pStyle w:val="686"/>
        <w:numPr>
          <w:ilvl w:val="0"/>
          <w:numId w:val="0"/>
        </w:numPr>
        <w:spacing w:line="400" w:lineRule="exact"/>
        <w:rPr>
          <w:rFonts w:hint="eastAsia" w:cs="宋体"/>
          <w:sz w:val="21"/>
        </w:rPr>
      </w:pPr>
      <w:bookmarkStart w:id="1535" w:name="_Ref531958512"/>
      <w:r>
        <w:rPr>
          <w:rFonts w:hint="eastAsia" w:cs="宋体"/>
          <w:sz w:val="21"/>
        </w:rPr>
        <w:t>15.2.2 通知改正</w:t>
      </w:r>
      <w:bookmarkEnd w:id="1535"/>
    </w:p>
    <w:p>
      <w:pPr>
        <w:spacing w:line="400" w:lineRule="exact"/>
        <w:ind w:firstLine="600"/>
        <w:rPr>
          <w:rFonts w:hint="eastAsia" w:ascii="宋体" w:hAnsi="宋体" w:cs="宋体"/>
          <w:szCs w:val="21"/>
        </w:rPr>
      </w:pPr>
      <w:r>
        <w:rPr>
          <w:rFonts w:hint="eastAsia" w:ascii="宋体" w:hAnsi="宋体" w:cs="宋体"/>
          <w:szCs w:val="21"/>
        </w:rPr>
        <w:t>承包人发生除第15.2.1项第(7)目、第(9)目约定以外的其他违约情况时，工程师可在专用合同条件约定的合理期限内向承包人发出整改通知，要求其在指定的期限内改正。</w:t>
      </w:r>
    </w:p>
    <w:p>
      <w:pPr>
        <w:pStyle w:val="686"/>
        <w:numPr>
          <w:ilvl w:val="0"/>
          <w:numId w:val="0"/>
        </w:numPr>
        <w:spacing w:line="400" w:lineRule="exact"/>
        <w:rPr>
          <w:rFonts w:hint="eastAsia" w:cs="宋体"/>
          <w:sz w:val="21"/>
        </w:rPr>
      </w:pPr>
      <w:bookmarkStart w:id="1536" w:name="_Ref3841166"/>
      <w:r>
        <w:rPr>
          <w:rFonts w:hint="eastAsia" w:cs="宋体"/>
          <w:sz w:val="21"/>
        </w:rPr>
        <w:t>15.2.3 承包人违约的责任</w:t>
      </w:r>
      <w:bookmarkEnd w:id="1536"/>
    </w:p>
    <w:p>
      <w:pPr>
        <w:spacing w:line="400" w:lineRule="exact"/>
        <w:ind w:firstLine="600"/>
        <w:rPr>
          <w:rFonts w:hint="eastAsia" w:ascii="宋体" w:hAnsi="宋体" w:cs="宋体"/>
          <w:szCs w:val="21"/>
        </w:rPr>
      </w:pPr>
      <w:r>
        <w:rPr>
          <w:rFonts w:hint="eastAsia" w:ascii="宋体" w:hAnsi="宋体" w:cs="宋体"/>
          <w:szCs w:val="21"/>
        </w:rPr>
        <w:t>承包人应承担因其违约行为而增加的费用和（或）延误的工期。此外，合同当事人可在专用合同条件中另行约定承包人违约责任的承担方式和计算方法。</w:t>
      </w:r>
    </w:p>
    <w:p>
      <w:pPr>
        <w:pStyle w:val="685"/>
        <w:widowControl/>
        <w:numPr>
          <w:ilvl w:val="0"/>
          <w:numId w:val="0"/>
        </w:numPr>
        <w:spacing w:line="400" w:lineRule="exact"/>
        <w:rPr>
          <w:rFonts w:hint="eastAsia" w:ascii="宋体" w:hAnsi="宋体" w:eastAsia="宋体" w:cs="宋体"/>
          <w:b w:val="0"/>
          <w:bCs/>
          <w:sz w:val="21"/>
          <w:szCs w:val="21"/>
        </w:rPr>
      </w:pPr>
      <w:bookmarkStart w:id="1537" w:name="_Toc54862302"/>
      <w:bookmarkStart w:id="1538" w:name="_Toc59203201"/>
      <w:r>
        <w:rPr>
          <w:rFonts w:hint="eastAsia" w:ascii="宋体" w:hAnsi="宋体" w:eastAsia="宋体" w:cs="宋体"/>
          <w:b w:val="0"/>
          <w:bCs/>
          <w:sz w:val="21"/>
          <w:szCs w:val="21"/>
        </w:rPr>
        <w:t>15.3 第三人造成的违约</w:t>
      </w:r>
      <w:bookmarkEnd w:id="1537"/>
      <w:bookmarkEnd w:id="1538"/>
    </w:p>
    <w:p>
      <w:pPr>
        <w:spacing w:line="400" w:lineRule="exact"/>
        <w:ind w:firstLine="600"/>
        <w:rPr>
          <w:rFonts w:hint="eastAsia" w:ascii="宋体" w:hAnsi="宋体" w:cs="宋体"/>
          <w:szCs w:val="21"/>
        </w:rPr>
      </w:pPr>
      <w:r>
        <w:rPr>
          <w:rFonts w:hint="eastAsia" w:ascii="宋体" w:hAnsi="宋体" w:cs="宋体"/>
          <w:szCs w:val="21"/>
        </w:rPr>
        <w:t>在履行合同过程中，一方当事人因第三人的原因造成违约的，应当向对方当事人承担违约责任。一方当事人和第三人之间的纠纷，依照法律规定或者按照约定解决。</w:t>
      </w:r>
    </w:p>
    <w:p>
      <w:pPr>
        <w:pStyle w:val="684"/>
        <w:numPr>
          <w:ilvl w:val="0"/>
          <w:numId w:val="0"/>
        </w:numPr>
        <w:spacing w:line="400" w:lineRule="exact"/>
        <w:rPr>
          <w:rFonts w:hint="eastAsia" w:ascii="宋体" w:hAnsi="宋体" w:eastAsia="宋体" w:cs="宋体"/>
          <w:b w:val="0"/>
          <w:szCs w:val="21"/>
        </w:rPr>
      </w:pPr>
      <w:bookmarkStart w:id="1539" w:name="_Toc59203202"/>
      <w:bookmarkStart w:id="1540" w:name="_Ref4510572"/>
      <w:bookmarkStart w:id="1541" w:name="_Toc54862303"/>
      <w:bookmarkStart w:id="1542" w:name="_Ref3840457"/>
      <w:bookmarkStart w:id="1543" w:name="_Ref532142069"/>
      <w:r>
        <w:rPr>
          <w:rFonts w:hint="eastAsia" w:ascii="宋体" w:hAnsi="宋体" w:eastAsia="宋体" w:cs="宋体"/>
          <w:b w:val="0"/>
          <w:szCs w:val="21"/>
        </w:rPr>
        <w:t>第16条 合同解除</w:t>
      </w:r>
      <w:bookmarkEnd w:id="1539"/>
      <w:bookmarkEnd w:id="1540"/>
      <w:bookmarkEnd w:id="1541"/>
    </w:p>
    <w:p>
      <w:pPr>
        <w:pStyle w:val="685"/>
        <w:widowControl/>
        <w:numPr>
          <w:ilvl w:val="0"/>
          <w:numId w:val="0"/>
        </w:numPr>
        <w:spacing w:line="400" w:lineRule="exact"/>
        <w:rPr>
          <w:rFonts w:hint="eastAsia" w:ascii="宋体" w:hAnsi="宋体" w:eastAsia="宋体" w:cs="宋体"/>
          <w:b w:val="0"/>
          <w:bCs/>
          <w:sz w:val="21"/>
          <w:szCs w:val="21"/>
        </w:rPr>
      </w:pPr>
      <w:bookmarkStart w:id="1544" w:name="_Ref531958499"/>
      <w:bookmarkStart w:id="1545" w:name="_Ref531958502"/>
      <w:bookmarkStart w:id="1546" w:name="_Toc54862304"/>
      <w:bookmarkStart w:id="1547" w:name="_Toc59203203"/>
      <w:r>
        <w:rPr>
          <w:rFonts w:hint="eastAsia" w:ascii="宋体" w:hAnsi="宋体" w:eastAsia="宋体" w:cs="宋体"/>
          <w:b w:val="0"/>
          <w:bCs/>
          <w:sz w:val="21"/>
          <w:szCs w:val="21"/>
        </w:rPr>
        <w:t>16.1 由发包人解除合同</w:t>
      </w:r>
      <w:bookmarkEnd w:id="1544"/>
      <w:bookmarkEnd w:id="1545"/>
      <w:bookmarkEnd w:id="1546"/>
      <w:bookmarkEnd w:id="1547"/>
    </w:p>
    <w:p>
      <w:pPr>
        <w:pStyle w:val="686"/>
        <w:numPr>
          <w:ilvl w:val="0"/>
          <w:numId w:val="0"/>
        </w:numPr>
        <w:spacing w:line="400" w:lineRule="exact"/>
        <w:rPr>
          <w:rFonts w:hint="eastAsia" w:cs="宋体"/>
          <w:sz w:val="21"/>
        </w:rPr>
      </w:pPr>
      <w:bookmarkStart w:id="1548" w:name="_Ref4535422"/>
      <w:r>
        <w:rPr>
          <w:rFonts w:hint="eastAsia" w:cs="宋体"/>
          <w:sz w:val="21"/>
        </w:rPr>
        <w:t>16.1.1 因承包人违约解除合同</w:t>
      </w:r>
      <w:bookmarkEnd w:id="1548"/>
    </w:p>
    <w:p>
      <w:pPr>
        <w:spacing w:line="400" w:lineRule="exact"/>
        <w:ind w:firstLine="600"/>
        <w:rPr>
          <w:rFonts w:hint="eastAsia" w:ascii="宋体" w:hAnsi="宋体" w:cs="宋体"/>
          <w:szCs w:val="21"/>
        </w:rPr>
      </w:pPr>
      <w:r>
        <w:rPr>
          <w:rFonts w:hint="eastAsia" w:ascii="宋体" w:hAnsi="宋体" w:cs="宋体"/>
          <w:szCs w:val="21"/>
        </w:rPr>
        <w:t>除专用合同条件另有约定外，发包人有权基于下列原因，以书面形式通知承包人解除合同，解除通知中应注明是根据第16.1.1项发出的，发包人应在发出正式解除合同通知14天前告知承包人其解除合同意向，除非承包人在收到该解除合同意向通知后14天内采取了补救措施，否则发包人可向承包人发出正式解除合同通知立即解除合同。解除日期应为承包人收到正式解除合同通知的日期，但在第(5)目的情况下，发包人无须提前告知承包人其解除合同意向，可直接发出正式解除合同通知立即解除合同：</w:t>
      </w:r>
    </w:p>
    <w:p>
      <w:pPr>
        <w:spacing w:line="400" w:lineRule="exact"/>
        <w:ind w:firstLine="600"/>
        <w:rPr>
          <w:rFonts w:hint="eastAsia" w:ascii="宋体" w:hAnsi="宋体" w:cs="宋体"/>
          <w:szCs w:val="21"/>
        </w:rPr>
      </w:pPr>
      <w:bookmarkStart w:id="1549" w:name="_Ref531958536"/>
      <w:r>
        <w:rPr>
          <w:rFonts w:hint="eastAsia" w:ascii="宋体" w:hAnsi="宋体" w:cs="宋体"/>
          <w:szCs w:val="21"/>
        </w:rPr>
        <w:t>（1） 承包人未能遵守第4.2款</w:t>
      </w:r>
      <w:bookmarkStart w:id="1550" w:name="_Hlk18839947"/>
      <w:r>
        <w:rPr>
          <w:rFonts w:hint="eastAsia" w:ascii="宋体" w:hAnsi="宋体" w:cs="宋体"/>
          <w:szCs w:val="21"/>
        </w:rPr>
        <w:t>[履约担保]</w:t>
      </w:r>
      <w:bookmarkEnd w:id="1550"/>
      <w:r>
        <w:rPr>
          <w:rFonts w:hint="eastAsia" w:ascii="宋体" w:hAnsi="宋体" w:cs="宋体"/>
          <w:szCs w:val="21"/>
        </w:rPr>
        <w:t>的约定；</w:t>
      </w:r>
    </w:p>
    <w:p>
      <w:pPr>
        <w:spacing w:line="400" w:lineRule="exact"/>
        <w:ind w:firstLine="600"/>
        <w:rPr>
          <w:rFonts w:hint="eastAsia" w:ascii="宋体" w:hAnsi="宋体" w:cs="宋体"/>
          <w:szCs w:val="21"/>
        </w:rPr>
      </w:pPr>
      <w:r>
        <w:rPr>
          <w:rFonts w:hint="eastAsia" w:ascii="宋体" w:hAnsi="宋体" w:cs="宋体"/>
          <w:szCs w:val="21"/>
        </w:rPr>
        <w:t>（2） 承包人未能遵守第4.5款[分包]有关分包和转包的约定；</w:t>
      </w:r>
    </w:p>
    <w:p>
      <w:pPr>
        <w:spacing w:line="400" w:lineRule="exact"/>
        <w:ind w:firstLine="600"/>
        <w:rPr>
          <w:rFonts w:hint="eastAsia" w:ascii="宋体" w:hAnsi="宋体" w:cs="宋体"/>
          <w:szCs w:val="21"/>
        </w:rPr>
      </w:pPr>
      <w:r>
        <w:rPr>
          <w:rFonts w:hint="eastAsia" w:ascii="宋体" w:hAnsi="宋体" w:cs="宋体"/>
          <w:szCs w:val="21"/>
        </w:rPr>
        <w:t>（3） 承包人实际进度明显落后于进度计划，并且未按发包人的指令采取措施并修正进度计划；</w:t>
      </w:r>
    </w:p>
    <w:p>
      <w:pPr>
        <w:spacing w:line="400" w:lineRule="exact"/>
        <w:ind w:firstLine="600"/>
        <w:rPr>
          <w:rFonts w:hint="eastAsia" w:ascii="宋体" w:hAnsi="宋体" w:cs="宋体"/>
          <w:szCs w:val="21"/>
        </w:rPr>
      </w:pPr>
      <w:r>
        <w:rPr>
          <w:rFonts w:hint="eastAsia" w:ascii="宋体" w:hAnsi="宋体" w:cs="宋体"/>
          <w:szCs w:val="21"/>
        </w:rPr>
        <w:t>（4） 工程质量有严重缺陷，承包人无正当理由使修复开始日期拖延达28天以上；</w:t>
      </w:r>
    </w:p>
    <w:p>
      <w:pPr>
        <w:spacing w:line="400" w:lineRule="exact"/>
        <w:ind w:firstLine="600"/>
        <w:rPr>
          <w:rFonts w:hint="eastAsia" w:ascii="宋体" w:hAnsi="宋体" w:cs="宋体"/>
          <w:szCs w:val="21"/>
        </w:rPr>
      </w:pPr>
      <w:r>
        <w:rPr>
          <w:rFonts w:hint="eastAsia" w:ascii="宋体" w:hAnsi="宋体" w:cs="宋体"/>
          <w:szCs w:val="21"/>
        </w:rPr>
        <w:t>（5） 承包人破产、停业清理或进入清算程序，或情况表明承包人将进入破产和（或）清算程序，已有对其财产的接管令或管理令，与债权人达成和解，或为其债权人的利益在财产接管人、受托人或管理人的监督下营业，或采取了任何行动或发生任何事件（根据有关适用法律）具有与前述行动或事件相似的效果；</w:t>
      </w:r>
    </w:p>
    <w:p>
      <w:pPr>
        <w:spacing w:line="400" w:lineRule="exact"/>
        <w:ind w:firstLine="600"/>
        <w:rPr>
          <w:rFonts w:hint="eastAsia" w:ascii="宋体" w:hAnsi="宋体" w:cs="宋体"/>
          <w:szCs w:val="21"/>
        </w:rPr>
      </w:pPr>
      <w:r>
        <w:rPr>
          <w:rFonts w:hint="eastAsia" w:ascii="宋体" w:hAnsi="宋体" w:cs="宋体"/>
          <w:szCs w:val="21"/>
        </w:rPr>
        <w:t>（6） 承包人明确表示或以自己的行为表明不履行合同、或经发包人以书面形式通知其履约后仍未能依约履行合同、或以不适当的方式履行合同；</w:t>
      </w:r>
    </w:p>
    <w:p>
      <w:pPr>
        <w:spacing w:line="400" w:lineRule="exact"/>
        <w:ind w:firstLine="600"/>
        <w:rPr>
          <w:rFonts w:hint="eastAsia" w:ascii="宋体" w:hAnsi="宋体" w:cs="宋体"/>
          <w:szCs w:val="21"/>
        </w:rPr>
      </w:pPr>
      <w:r>
        <w:rPr>
          <w:rFonts w:hint="eastAsia" w:ascii="宋体" w:hAnsi="宋体" w:cs="宋体"/>
          <w:szCs w:val="21"/>
        </w:rPr>
        <w:t>（7） 未能通过的竣工试验、未能通过的竣工后试验，使工程的任何部分和（或）整个工程丧失了主要使用功能、生产功能；</w:t>
      </w:r>
    </w:p>
    <w:p>
      <w:pPr>
        <w:spacing w:line="400" w:lineRule="exact"/>
        <w:ind w:firstLine="600"/>
        <w:rPr>
          <w:rFonts w:hint="eastAsia" w:ascii="宋体" w:hAnsi="宋体" w:cs="宋体"/>
          <w:szCs w:val="21"/>
        </w:rPr>
      </w:pPr>
      <w:r>
        <w:rPr>
          <w:rFonts w:hint="eastAsia" w:ascii="宋体" w:hAnsi="宋体" w:cs="宋体"/>
          <w:szCs w:val="21"/>
        </w:rPr>
        <w:t>（8） 因承包人的原因暂停工作超过56天且暂停影响到整个工程，或因承包人的原因暂停工作超过182天；</w:t>
      </w:r>
    </w:p>
    <w:p>
      <w:pPr>
        <w:spacing w:line="400" w:lineRule="exact"/>
        <w:ind w:firstLine="600"/>
        <w:rPr>
          <w:rFonts w:hint="eastAsia" w:ascii="宋体" w:hAnsi="宋体" w:cs="宋体"/>
          <w:szCs w:val="21"/>
        </w:rPr>
      </w:pPr>
      <w:r>
        <w:rPr>
          <w:rFonts w:hint="eastAsia" w:ascii="宋体" w:hAnsi="宋体" w:cs="宋体"/>
          <w:szCs w:val="21"/>
        </w:rPr>
        <w:t>（9） 承包人未能遵守第8.2款[竣工日期]规定，延误超过182天；</w:t>
      </w:r>
    </w:p>
    <w:p>
      <w:pPr>
        <w:spacing w:line="400" w:lineRule="exact"/>
        <w:ind w:firstLine="600"/>
        <w:rPr>
          <w:rFonts w:hint="eastAsia" w:ascii="宋体" w:hAnsi="宋体" w:cs="宋体"/>
          <w:szCs w:val="21"/>
        </w:rPr>
      </w:pPr>
      <w:r>
        <w:rPr>
          <w:rFonts w:hint="eastAsia" w:ascii="宋体" w:hAnsi="宋体" w:cs="宋体"/>
          <w:szCs w:val="21"/>
        </w:rPr>
        <w:t>（10） 工程师根据第15.2.2项[通知改正]发出整改通知后，承包人在指定的合理期限内仍不纠正违约行为并致使合同目的不能实现的。</w:t>
      </w:r>
    </w:p>
    <w:bookmarkEnd w:id="1549"/>
    <w:p>
      <w:pPr>
        <w:pStyle w:val="686"/>
        <w:numPr>
          <w:ilvl w:val="0"/>
          <w:numId w:val="0"/>
        </w:numPr>
        <w:spacing w:line="400" w:lineRule="exact"/>
        <w:rPr>
          <w:rFonts w:hint="eastAsia" w:cs="宋体"/>
          <w:sz w:val="21"/>
        </w:rPr>
      </w:pPr>
      <w:bookmarkStart w:id="1551" w:name="_Ref3841839"/>
      <w:bookmarkStart w:id="1552" w:name="_Ref4624315"/>
      <w:r>
        <w:rPr>
          <w:rFonts w:hint="eastAsia" w:cs="宋体"/>
          <w:sz w:val="21"/>
        </w:rPr>
        <w:t>16.1.2 因承包人违约解除合同后</w:t>
      </w:r>
      <w:bookmarkEnd w:id="1551"/>
      <w:r>
        <w:rPr>
          <w:rFonts w:hint="eastAsia" w:cs="宋体"/>
          <w:sz w:val="21"/>
        </w:rPr>
        <w:t>承包人的义务</w:t>
      </w:r>
      <w:bookmarkEnd w:id="1552"/>
    </w:p>
    <w:p>
      <w:pPr>
        <w:spacing w:line="400" w:lineRule="exact"/>
        <w:ind w:firstLine="600"/>
        <w:rPr>
          <w:rFonts w:hint="eastAsia" w:ascii="宋体" w:hAnsi="宋体" w:cs="宋体"/>
          <w:szCs w:val="21"/>
        </w:rPr>
      </w:pPr>
      <w:r>
        <w:rPr>
          <w:rFonts w:hint="eastAsia" w:ascii="宋体" w:hAnsi="宋体" w:cs="宋体"/>
          <w:szCs w:val="21"/>
        </w:rPr>
        <w:t>合同解除后，承包人应按以下约定执行：</w:t>
      </w:r>
    </w:p>
    <w:p>
      <w:pPr>
        <w:spacing w:line="400" w:lineRule="exact"/>
        <w:ind w:firstLine="600"/>
        <w:rPr>
          <w:rFonts w:hint="eastAsia" w:ascii="宋体" w:hAnsi="宋体" w:cs="宋体"/>
          <w:szCs w:val="21"/>
        </w:rPr>
      </w:pPr>
      <w:r>
        <w:rPr>
          <w:rFonts w:hint="eastAsia" w:ascii="宋体" w:hAnsi="宋体" w:cs="宋体"/>
          <w:szCs w:val="21"/>
        </w:rPr>
        <w:t>（1） 除了为保护生命、财产或工程安全、清理和必须执行的工作外，停止执行所有被通知解除的工作，并将相关人员撤离现场；</w:t>
      </w:r>
    </w:p>
    <w:p>
      <w:pPr>
        <w:spacing w:line="400" w:lineRule="exact"/>
        <w:ind w:firstLine="600"/>
        <w:rPr>
          <w:rFonts w:hint="eastAsia" w:ascii="宋体" w:hAnsi="宋体" w:cs="宋体"/>
          <w:szCs w:val="21"/>
        </w:rPr>
      </w:pPr>
      <w:r>
        <w:rPr>
          <w:rFonts w:hint="eastAsia" w:ascii="宋体" w:hAnsi="宋体" w:cs="宋体"/>
          <w:szCs w:val="21"/>
        </w:rPr>
        <w:t>（2） 经发包人批准，承包人应将与被解除合同相关的和正在执行的分包合同及相关的责任和义务转让至发包人和（或）发包人指定方的名下，包括永久性工程及工程物资，以及相关工作；</w:t>
      </w:r>
    </w:p>
    <w:p>
      <w:pPr>
        <w:spacing w:line="400" w:lineRule="exact"/>
        <w:ind w:firstLine="600"/>
        <w:rPr>
          <w:rFonts w:hint="eastAsia" w:ascii="宋体" w:hAnsi="宋体" w:cs="宋体"/>
          <w:szCs w:val="21"/>
        </w:rPr>
      </w:pPr>
      <w:r>
        <w:rPr>
          <w:rFonts w:hint="eastAsia" w:ascii="宋体" w:hAnsi="宋体" w:cs="宋体"/>
          <w:szCs w:val="21"/>
        </w:rPr>
        <w:t>（3） 移交已完成的永久性工程及负责已运抵现场的工程物资。在移交前，妥善做好己完工程和已运抵现场的工程物资的保管、维护和保养；</w:t>
      </w:r>
    </w:p>
    <w:p>
      <w:pPr>
        <w:spacing w:line="400" w:lineRule="exact"/>
        <w:ind w:firstLine="600"/>
        <w:rPr>
          <w:rFonts w:hint="eastAsia" w:ascii="宋体" w:hAnsi="宋体" w:cs="宋体"/>
          <w:szCs w:val="21"/>
        </w:rPr>
      </w:pPr>
      <w:r>
        <w:rPr>
          <w:rFonts w:hint="eastAsia" w:ascii="宋体" w:hAnsi="宋体" w:cs="宋体"/>
          <w:szCs w:val="21"/>
        </w:rPr>
        <w:t>（4） 将发包人提供的所有信息及承包人为本工程编制的设计文件、技术资料及其它文件移交给发包人。在承包人留有的资料文件中，销毁与发包人提供的所有信息相关的数据及资料的备份；</w:t>
      </w:r>
    </w:p>
    <w:p>
      <w:pPr>
        <w:spacing w:line="400" w:lineRule="exact"/>
        <w:ind w:firstLine="600"/>
        <w:rPr>
          <w:rFonts w:hint="eastAsia" w:ascii="宋体" w:hAnsi="宋体" w:cs="宋体"/>
          <w:szCs w:val="21"/>
        </w:rPr>
      </w:pPr>
      <w:r>
        <w:rPr>
          <w:rFonts w:hint="eastAsia" w:ascii="宋体" w:hAnsi="宋体" w:cs="宋体"/>
          <w:szCs w:val="21"/>
        </w:rPr>
        <w:t>（5） 移交相应实施阶段已经付款的并已完成的和尚待完成的设计文件、图纸、资料、操作维修手册、施工组织设计、质检资料、竣工资料等；</w:t>
      </w:r>
    </w:p>
    <w:p>
      <w:pPr>
        <w:pStyle w:val="686"/>
        <w:numPr>
          <w:ilvl w:val="0"/>
          <w:numId w:val="0"/>
        </w:numPr>
        <w:spacing w:line="400" w:lineRule="exact"/>
        <w:rPr>
          <w:rFonts w:hint="eastAsia" w:cs="宋体"/>
          <w:sz w:val="21"/>
        </w:rPr>
      </w:pPr>
      <w:r>
        <w:rPr>
          <w:rFonts w:hint="eastAsia" w:cs="宋体"/>
          <w:sz w:val="21"/>
        </w:rPr>
        <w:t>16.1.3 因承包人违约解除合同后的估价、付款和结算</w:t>
      </w:r>
    </w:p>
    <w:p>
      <w:pPr>
        <w:spacing w:line="400" w:lineRule="exact"/>
        <w:ind w:firstLine="600"/>
        <w:rPr>
          <w:rFonts w:hint="eastAsia" w:ascii="宋体" w:hAnsi="宋体" w:cs="宋体"/>
          <w:szCs w:val="21"/>
        </w:rPr>
      </w:pPr>
      <w:r>
        <w:rPr>
          <w:rFonts w:hint="eastAsia" w:ascii="宋体" w:hAnsi="宋体" w:cs="宋体"/>
          <w:szCs w:val="21"/>
        </w:rPr>
        <w:t>因承包人原因导致合同解除的，则合同当事人应在合同解除后28天内完成估价、付款和清算，并按以下约定执行：</w:t>
      </w:r>
    </w:p>
    <w:p>
      <w:pPr>
        <w:spacing w:line="400" w:lineRule="exact"/>
        <w:ind w:firstLine="600"/>
        <w:rPr>
          <w:rFonts w:hint="eastAsia" w:ascii="宋体" w:hAnsi="宋体" w:cs="宋体"/>
          <w:szCs w:val="21"/>
        </w:rPr>
      </w:pPr>
      <w:r>
        <w:rPr>
          <w:rFonts w:hint="eastAsia" w:ascii="宋体" w:hAnsi="宋体" w:cs="宋体"/>
          <w:szCs w:val="21"/>
        </w:rPr>
        <w:t>（1） 合同解除后，按第3.6款[商定或确定]商定或确定承包人实际完成工作对应的合同价款，以及承包人已提供的材料、工程设备、施工设备和临时工程等的价值；</w:t>
      </w:r>
    </w:p>
    <w:p>
      <w:pPr>
        <w:spacing w:line="400" w:lineRule="exact"/>
        <w:ind w:firstLine="600"/>
        <w:rPr>
          <w:rFonts w:hint="eastAsia" w:ascii="宋体" w:hAnsi="宋体" w:cs="宋体"/>
          <w:szCs w:val="21"/>
        </w:rPr>
      </w:pPr>
      <w:r>
        <w:rPr>
          <w:rFonts w:hint="eastAsia" w:ascii="宋体" w:hAnsi="宋体" w:cs="宋体"/>
          <w:szCs w:val="21"/>
        </w:rPr>
        <w:t>（2） 合同解除后，承包人应支付的违约金；</w:t>
      </w:r>
    </w:p>
    <w:p>
      <w:pPr>
        <w:spacing w:line="400" w:lineRule="exact"/>
        <w:ind w:firstLine="600"/>
        <w:rPr>
          <w:rFonts w:hint="eastAsia" w:ascii="宋体" w:hAnsi="宋体" w:cs="宋体"/>
          <w:szCs w:val="21"/>
        </w:rPr>
      </w:pPr>
      <w:r>
        <w:rPr>
          <w:rFonts w:hint="eastAsia" w:ascii="宋体" w:hAnsi="宋体" w:cs="宋体"/>
          <w:szCs w:val="21"/>
        </w:rPr>
        <w:t>（3） 合同解除后，因解除合同给发包人造成的损失；</w:t>
      </w:r>
    </w:p>
    <w:p>
      <w:pPr>
        <w:spacing w:line="400" w:lineRule="exact"/>
        <w:ind w:firstLine="600"/>
        <w:rPr>
          <w:rFonts w:hint="eastAsia" w:ascii="宋体" w:hAnsi="宋体" w:cs="宋体"/>
          <w:szCs w:val="21"/>
        </w:rPr>
      </w:pPr>
      <w:r>
        <w:rPr>
          <w:rFonts w:hint="eastAsia" w:ascii="宋体" w:hAnsi="宋体" w:cs="宋体"/>
          <w:szCs w:val="21"/>
        </w:rPr>
        <w:t>（4） 合同解除后，承包人应按照发包人的指示完成现场的清理和撤离；</w:t>
      </w:r>
    </w:p>
    <w:p>
      <w:pPr>
        <w:spacing w:line="400" w:lineRule="exact"/>
        <w:ind w:firstLine="600"/>
        <w:rPr>
          <w:rFonts w:hint="eastAsia" w:ascii="宋体" w:hAnsi="宋体" w:cs="宋体"/>
          <w:szCs w:val="21"/>
        </w:rPr>
      </w:pPr>
      <w:r>
        <w:rPr>
          <w:rFonts w:hint="eastAsia" w:ascii="宋体" w:hAnsi="宋体" w:cs="宋体"/>
          <w:szCs w:val="21"/>
        </w:rPr>
        <w:t>（5） 发包人和承包人应在合同解除后进行清算，出具最终结清付款证书，结清全部款项。</w:t>
      </w:r>
    </w:p>
    <w:p>
      <w:pPr>
        <w:spacing w:line="400" w:lineRule="exact"/>
        <w:ind w:firstLine="600"/>
        <w:rPr>
          <w:rFonts w:hint="eastAsia" w:ascii="宋体" w:hAnsi="宋体" w:cs="宋体"/>
          <w:szCs w:val="21"/>
        </w:rPr>
      </w:pPr>
      <w:r>
        <w:rPr>
          <w:rFonts w:hint="eastAsia" w:ascii="宋体" w:hAnsi="宋体" w:cs="宋体"/>
          <w:szCs w:val="21"/>
        </w:rPr>
        <w:t>因承包人违约解除合同的，发包人有权暂停对承包人的付款，查清各项付款和已扣款项，发包人和承包人未能就合同解除后的清算和款项支付达成一致的，按照第20条[争议解决]的约定处理。</w:t>
      </w:r>
    </w:p>
    <w:p>
      <w:pPr>
        <w:pStyle w:val="686"/>
        <w:numPr>
          <w:ilvl w:val="0"/>
          <w:numId w:val="0"/>
        </w:numPr>
        <w:spacing w:line="400" w:lineRule="exact"/>
        <w:rPr>
          <w:rFonts w:hint="eastAsia" w:cs="宋体"/>
          <w:sz w:val="21"/>
        </w:rPr>
      </w:pPr>
      <w:r>
        <w:rPr>
          <w:rFonts w:hint="eastAsia" w:cs="宋体"/>
          <w:sz w:val="21"/>
        </w:rPr>
        <w:t>16.1.4 因承包人违约解除合同的合同权益转让</w:t>
      </w:r>
    </w:p>
    <w:p>
      <w:pPr>
        <w:spacing w:line="400" w:lineRule="exact"/>
        <w:ind w:firstLine="600"/>
        <w:rPr>
          <w:rFonts w:hint="eastAsia" w:ascii="宋体" w:hAnsi="宋体" w:cs="宋体"/>
          <w:szCs w:val="21"/>
        </w:rPr>
      </w:pPr>
      <w:r>
        <w:rPr>
          <w:rFonts w:hint="eastAsia" w:ascii="宋体" w:hAnsi="宋体" w:cs="宋体"/>
          <w:szCs w:val="21"/>
        </w:rPr>
        <w:t>合同解除后，发包人可以继续完成工程，和（或）安排第三人完成。发包人有权要求承包人将其为实施合同而订立的材料和设备的订货合同或任何服务合同利益转让给发包人，并在承包人收到解除合同通知后的14天内，依法办理转让手续。发包人和（或）第三人有权使用承包人在施工现场的材料、设备、临时工程、承包人文件和由承包人或以其名义编制的其他文件。</w:t>
      </w:r>
    </w:p>
    <w:p>
      <w:pPr>
        <w:pStyle w:val="685"/>
        <w:widowControl/>
        <w:numPr>
          <w:ilvl w:val="0"/>
          <w:numId w:val="0"/>
        </w:numPr>
        <w:spacing w:line="400" w:lineRule="exact"/>
        <w:rPr>
          <w:rFonts w:hint="eastAsia" w:ascii="宋体" w:hAnsi="宋体" w:eastAsia="宋体" w:cs="宋体"/>
          <w:b w:val="0"/>
          <w:bCs/>
          <w:sz w:val="21"/>
          <w:szCs w:val="21"/>
        </w:rPr>
      </w:pPr>
      <w:bookmarkStart w:id="1553" w:name="_Ref531958549"/>
      <w:bookmarkStart w:id="1554" w:name="_Toc54862305"/>
      <w:bookmarkStart w:id="1555" w:name="_Toc59203204"/>
      <w:bookmarkStart w:id="1556" w:name="_Ref531958554"/>
      <w:r>
        <w:rPr>
          <w:rFonts w:hint="eastAsia" w:ascii="宋体" w:hAnsi="宋体" w:eastAsia="宋体" w:cs="宋体"/>
          <w:b w:val="0"/>
          <w:bCs/>
          <w:sz w:val="21"/>
          <w:szCs w:val="21"/>
        </w:rPr>
        <w:t>16.2 由承包人解除合同</w:t>
      </w:r>
      <w:bookmarkEnd w:id="1553"/>
      <w:bookmarkEnd w:id="1554"/>
      <w:bookmarkEnd w:id="1555"/>
      <w:bookmarkEnd w:id="1556"/>
    </w:p>
    <w:p>
      <w:pPr>
        <w:pStyle w:val="686"/>
        <w:numPr>
          <w:ilvl w:val="0"/>
          <w:numId w:val="0"/>
        </w:numPr>
        <w:spacing w:line="400" w:lineRule="exact"/>
        <w:rPr>
          <w:rFonts w:hint="eastAsia" w:cs="宋体"/>
          <w:sz w:val="21"/>
        </w:rPr>
      </w:pPr>
      <w:bookmarkStart w:id="1557" w:name="_Ref3841758"/>
      <w:r>
        <w:rPr>
          <w:rFonts w:hint="eastAsia" w:cs="宋体"/>
          <w:sz w:val="21"/>
        </w:rPr>
        <w:t>16.2.1 因发包人违约解除合同</w:t>
      </w:r>
      <w:bookmarkEnd w:id="1557"/>
    </w:p>
    <w:p>
      <w:pPr>
        <w:spacing w:line="400" w:lineRule="exact"/>
        <w:ind w:firstLine="600"/>
        <w:rPr>
          <w:rFonts w:hint="eastAsia" w:ascii="宋体" w:hAnsi="宋体" w:cs="宋体"/>
          <w:szCs w:val="21"/>
        </w:rPr>
      </w:pPr>
      <w:r>
        <w:rPr>
          <w:rFonts w:hint="eastAsia" w:ascii="宋体" w:hAnsi="宋体" w:cs="宋体"/>
          <w:szCs w:val="21"/>
        </w:rPr>
        <w:t>除专用合同条件另有约定外，承包人有权基于下列原因，以书面形式通知发包人解除合同，解除通知中应注明是根据第16.2.1项发出的，承包人应在发出正式解除合同通知14天前告知发包人其解除合同意向，除非发包人在收到该解除合同意向通知后14天内采取了补救措施，否则承包人可向发包人发出正式解除合同通知立即解除合同。解除日期应为发包人收到正式解除合同通知的日期，但在第(5)目的情况下，承包人无须提前告知发包人其解除合同意向，可直接发出正式解除合同通知立即解除合同：</w:t>
      </w:r>
    </w:p>
    <w:p>
      <w:pPr>
        <w:spacing w:line="400" w:lineRule="exact"/>
        <w:ind w:firstLine="600"/>
        <w:rPr>
          <w:rFonts w:hint="eastAsia" w:ascii="宋体" w:hAnsi="宋体" w:cs="宋体"/>
          <w:szCs w:val="21"/>
        </w:rPr>
      </w:pPr>
      <w:r>
        <w:rPr>
          <w:rFonts w:hint="eastAsia" w:ascii="宋体" w:hAnsi="宋体" w:cs="宋体"/>
          <w:szCs w:val="21"/>
        </w:rPr>
        <w:t>（1） 承包人就发包人未能遵守第2.5.2项关于发包人的资金安排发出通知后42天内，仍未收到合理的证明；</w:t>
      </w:r>
    </w:p>
    <w:p>
      <w:pPr>
        <w:spacing w:line="400" w:lineRule="exact"/>
        <w:ind w:firstLine="600"/>
        <w:rPr>
          <w:rFonts w:hint="eastAsia" w:ascii="宋体" w:hAnsi="宋体" w:cs="宋体"/>
          <w:szCs w:val="21"/>
        </w:rPr>
      </w:pPr>
      <w:r>
        <w:rPr>
          <w:rFonts w:hint="eastAsia" w:ascii="宋体" w:hAnsi="宋体" w:cs="宋体"/>
          <w:szCs w:val="21"/>
        </w:rPr>
        <w:t xml:space="preserve">（2） 在第14条规定的付款时间到期后42天内，承包人仍未收到应付款项； </w:t>
      </w:r>
    </w:p>
    <w:p>
      <w:pPr>
        <w:spacing w:line="400" w:lineRule="exact"/>
        <w:ind w:firstLine="600"/>
        <w:rPr>
          <w:rFonts w:hint="eastAsia" w:ascii="宋体" w:hAnsi="宋体" w:cs="宋体"/>
          <w:szCs w:val="21"/>
        </w:rPr>
      </w:pPr>
      <w:r>
        <w:rPr>
          <w:rFonts w:hint="eastAsia" w:ascii="宋体" w:hAnsi="宋体" w:cs="宋体"/>
          <w:szCs w:val="21"/>
        </w:rPr>
        <w:t>（3） 发包人实质上未能根据合同约定履行其义务，构成根本性违约；</w:t>
      </w:r>
    </w:p>
    <w:p>
      <w:pPr>
        <w:spacing w:line="400" w:lineRule="exact"/>
        <w:ind w:firstLine="600"/>
        <w:rPr>
          <w:rFonts w:hint="eastAsia" w:ascii="宋体" w:hAnsi="宋体" w:cs="宋体"/>
          <w:szCs w:val="21"/>
        </w:rPr>
      </w:pPr>
      <w:r>
        <w:rPr>
          <w:rFonts w:hint="eastAsia" w:ascii="宋体" w:hAnsi="宋体" w:cs="宋体"/>
          <w:szCs w:val="21"/>
        </w:rPr>
        <w:t>（4） 发承包双方订立本合同协议书后的84天内，承包人未收到根据第8.1款[开始工作]的开始工作通知；</w:t>
      </w:r>
    </w:p>
    <w:p>
      <w:pPr>
        <w:spacing w:line="400" w:lineRule="exact"/>
        <w:ind w:firstLine="600"/>
        <w:rPr>
          <w:rFonts w:hint="eastAsia" w:ascii="宋体" w:hAnsi="宋体" w:cs="宋体"/>
          <w:szCs w:val="21"/>
        </w:rPr>
      </w:pPr>
      <w:r>
        <w:rPr>
          <w:rFonts w:hint="eastAsia" w:ascii="宋体" w:hAnsi="宋体" w:cs="宋体"/>
          <w:szCs w:val="21"/>
        </w:rPr>
        <w:t>（5） 发包人破产、停业清理或进入清算程序，或情况表明发包人将进入破产和（或）清算程序或发包人资信严重恶化，已有对其财产的接管令或管理令，与债权人达成和解，或为其债权人的利益在财产接管人、受托人或管理人的监督下营业，或采取了任何行动或发生任何事件（根据有关适用法律）具有与前述行动或事件相似的效果；</w:t>
      </w:r>
    </w:p>
    <w:p>
      <w:pPr>
        <w:spacing w:line="400" w:lineRule="exact"/>
        <w:ind w:firstLine="600"/>
        <w:rPr>
          <w:rFonts w:hint="eastAsia" w:ascii="宋体" w:hAnsi="宋体" w:cs="宋体"/>
          <w:szCs w:val="21"/>
        </w:rPr>
      </w:pPr>
      <w:r>
        <w:rPr>
          <w:rFonts w:hint="eastAsia" w:ascii="宋体" w:hAnsi="宋体" w:cs="宋体"/>
          <w:szCs w:val="21"/>
        </w:rPr>
        <w:t>（6） 发包人未能遵守第2.5.3项的约定提交支付担保；</w:t>
      </w:r>
    </w:p>
    <w:p>
      <w:pPr>
        <w:spacing w:line="400" w:lineRule="exact"/>
        <w:ind w:firstLine="600"/>
        <w:rPr>
          <w:rFonts w:hint="eastAsia" w:ascii="宋体" w:hAnsi="宋体" w:cs="宋体"/>
          <w:szCs w:val="21"/>
        </w:rPr>
      </w:pPr>
      <w:r>
        <w:rPr>
          <w:rFonts w:hint="eastAsia" w:ascii="宋体" w:hAnsi="宋体" w:cs="宋体"/>
          <w:szCs w:val="21"/>
        </w:rPr>
        <w:t>（7） 发包人未能执行第15.1.2项[通知改正]的约定，致使合同目的不能实现的；</w:t>
      </w:r>
    </w:p>
    <w:p>
      <w:pPr>
        <w:spacing w:line="400" w:lineRule="exact"/>
        <w:ind w:firstLine="600"/>
        <w:rPr>
          <w:rFonts w:hint="eastAsia" w:ascii="宋体" w:hAnsi="宋体" w:cs="宋体"/>
          <w:szCs w:val="21"/>
        </w:rPr>
      </w:pPr>
      <w:r>
        <w:rPr>
          <w:rFonts w:hint="eastAsia" w:ascii="宋体" w:hAnsi="宋体" w:cs="宋体"/>
          <w:szCs w:val="21"/>
        </w:rPr>
        <w:t>（8） 因发包人的原因暂停工作超过56天且暂停影响到整个工程，或因发包人的原因暂停工作超过182天的；</w:t>
      </w:r>
    </w:p>
    <w:p>
      <w:pPr>
        <w:spacing w:line="400" w:lineRule="exact"/>
        <w:ind w:firstLine="600"/>
        <w:rPr>
          <w:rFonts w:hint="eastAsia" w:ascii="宋体" w:hAnsi="宋体" w:cs="宋体"/>
          <w:szCs w:val="21"/>
        </w:rPr>
      </w:pPr>
      <w:r>
        <w:rPr>
          <w:rFonts w:hint="eastAsia" w:ascii="宋体" w:hAnsi="宋体" w:cs="宋体"/>
          <w:szCs w:val="21"/>
        </w:rPr>
        <w:t>（9） 因发包人原因造成开始工作日期迟于承包人收到中标通知书（或在无中标通知书的情况下，订立本合同之日）后第84天的。</w:t>
      </w:r>
    </w:p>
    <w:p>
      <w:pPr>
        <w:spacing w:line="400" w:lineRule="exact"/>
        <w:ind w:firstLine="600"/>
        <w:rPr>
          <w:rFonts w:hint="eastAsia" w:ascii="宋体" w:hAnsi="宋体" w:cs="宋体"/>
          <w:szCs w:val="21"/>
        </w:rPr>
      </w:pPr>
      <w:r>
        <w:rPr>
          <w:rFonts w:hint="eastAsia" w:ascii="宋体" w:hAnsi="宋体" w:cs="宋体"/>
          <w:szCs w:val="21"/>
        </w:rPr>
        <w:t>发包人接到承包人解除合同意向通知后14天内，发包人随后给予了付款，或同意复工、或继续履行其义务、或提供了支付担保等，承包人应尽快安排并恢复正常工作；因此造成工期延误的，竣工日期顺延；承包人因此增加的费用，由发包人承担。</w:t>
      </w:r>
    </w:p>
    <w:p>
      <w:pPr>
        <w:pStyle w:val="686"/>
        <w:numPr>
          <w:ilvl w:val="0"/>
          <w:numId w:val="0"/>
        </w:numPr>
        <w:spacing w:line="400" w:lineRule="exact"/>
        <w:rPr>
          <w:rFonts w:hint="eastAsia" w:cs="宋体"/>
          <w:sz w:val="21"/>
        </w:rPr>
      </w:pPr>
      <w:bookmarkStart w:id="1558" w:name="_Ref3842018"/>
      <w:bookmarkStart w:id="1559" w:name="_Ref4624336"/>
      <w:r>
        <w:rPr>
          <w:rFonts w:hint="eastAsia" w:cs="宋体"/>
          <w:sz w:val="21"/>
        </w:rPr>
        <w:t>16.2.2 因发包人违约解除合同后</w:t>
      </w:r>
      <w:bookmarkEnd w:id="1558"/>
      <w:r>
        <w:rPr>
          <w:rFonts w:hint="eastAsia" w:cs="宋体"/>
          <w:sz w:val="21"/>
        </w:rPr>
        <w:t>承包人的义务</w:t>
      </w:r>
      <w:bookmarkEnd w:id="1559"/>
    </w:p>
    <w:p>
      <w:pPr>
        <w:pStyle w:val="688"/>
        <w:numPr>
          <w:ilvl w:val="0"/>
          <w:numId w:val="0"/>
        </w:numPr>
        <w:spacing w:line="400" w:lineRule="exact"/>
        <w:ind w:left="400" w:firstLine="425"/>
        <w:rPr>
          <w:rFonts w:hint="eastAsia" w:ascii="宋体" w:hAnsi="宋体" w:cs="宋体"/>
          <w:szCs w:val="21"/>
        </w:rPr>
      </w:pPr>
      <w:r>
        <w:rPr>
          <w:rFonts w:hint="eastAsia" w:ascii="宋体" w:hAnsi="宋体" w:cs="宋体"/>
          <w:szCs w:val="21"/>
        </w:rPr>
        <w:t>合同解除后，承包人应按以下约定执行：</w:t>
      </w:r>
    </w:p>
    <w:p>
      <w:pPr>
        <w:spacing w:line="400" w:lineRule="exact"/>
        <w:ind w:firstLine="600"/>
        <w:rPr>
          <w:rFonts w:hint="eastAsia" w:ascii="宋体" w:hAnsi="宋体" w:cs="宋体"/>
          <w:szCs w:val="21"/>
        </w:rPr>
      </w:pPr>
      <w:r>
        <w:rPr>
          <w:rFonts w:hint="eastAsia" w:ascii="宋体" w:hAnsi="宋体" w:cs="宋体"/>
          <w:szCs w:val="21"/>
        </w:rPr>
        <w:t>（1） 除为保护生命、财产、工程安全的工作外，停止所有进一步的工作；承包人因执行该保护工作而产生费用的，由发包人承担；</w:t>
      </w:r>
    </w:p>
    <w:p>
      <w:pPr>
        <w:spacing w:line="400" w:lineRule="exact"/>
        <w:ind w:firstLine="600"/>
        <w:rPr>
          <w:rFonts w:hint="eastAsia" w:ascii="宋体" w:hAnsi="宋体" w:cs="宋体"/>
          <w:szCs w:val="21"/>
        </w:rPr>
      </w:pPr>
      <w:r>
        <w:rPr>
          <w:rFonts w:hint="eastAsia" w:ascii="宋体" w:hAnsi="宋体" w:cs="宋体"/>
          <w:szCs w:val="21"/>
        </w:rPr>
        <w:t>（2） 向发包人移交承包人已获得支付的承包人文件、生产设备、材料和其他工作；</w:t>
      </w:r>
    </w:p>
    <w:p>
      <w:pPr>
        <w:spacing w:line="400" w:lineRule="exact"/>
        <w:ind w:firstLine="600"/>
        <w:rPr>
          <w:rFonts w:hint="eastAsia" w:ascii="宋体" w:hAnsi="宋体" w:cs="宋体"/>
          <w:szCs w:val="21"/>
        </w:rPr>
      </w:pPr>
      <w:r>
        <w:rPr>
          <w:rFonts w:hint="eastAsia" w:ascii="宋体" w:hAnsi="宋体" w:cs="宋体"/>
          <w:szCs w:val="21"/>
        </w:rPr>
        <w:t>（3） 从现场运走除为了安全需要以外的所有属于承包人的其他货物，并撤离现场。</w:t>
      </w:r>
    </w:p>
    <w:p>
      <w:pPr>
        <w:pStyle w:val="686"/>
        <w:numPr>
          <w:ilvl w:val="0"/>
          <w:numId w:val="0"/>
        </w:numPr>
        <w:spacing w:line="400" w:lineRule="exact"/>
        <w:rPr>
          <w:rFonts w:hint="eastAsia" w:cs="宋体"/>
          <w:sz w:val="21"/>
        </w:rPr>
      </w:pPr>
      <w:r>
        <w:rPr>
          <w:rFonts w:hint="eastAsia" w:cs="宋体"/>
          <w:sz w:val="21"/>
        </w:rPr>
        <w:t>16.2.3 因发包人违约解除合同后的付款</w:t>
      </w:r>
    </w:p>
    <w:p>
      <w:pPr>
        <w:spacing w:line="400" w:lineRule="exact"/>
        <w:ind w:firstLine="600"/>
        <w:rPr>
          <w:rFonts w:hint="eastAsia" w:ascii="宋体" w:hAnsi="宋体" w:cs="宋体"/>
          <w:szCs w:val="21"/>
        </w:rPr>
      </w:pPr>
      <w:r>
        <w:rPr>
          <w:rFonts w:hint="eastAsia" w:ascii="宋体" w:hAnsi="宋体" w:cs="宋体"/>
          <w:szCs w:val="21"/>
        </w:rPr>
        <w:t>承包人按照本款约定解除合同的，发包人应在解除合同后28天内支付下列款项，并退还履约担保：</w:t>
      </w:r>
    </w:p>
    <w:p>
      <w:pPr>
        <w:spacing w:line="400" w:lineRule="exact"/>
        <w:ind w:firstLine="600"/>
        <w:rPr>
          <w:rFonts w:hint="eastAsia" w:ascii="宋体" w:hAnsi="宋体" w:cs="宋体"/>
          <w:szCs w:val="21"/>
        </w:rPr>
      </w:pPr>
      <w:r>
        <w:rPr>
          <w:rFonts w:hint="eastAsia" w:ascii="宋体" w:hAnsi="宋体" w:cs="宋体"/>
          <w:szCs w:val="21"/>
        </w:rPr>
        <w:t>（1） 合同解除前所完成工作的价款；</w:t>
      </w:r>
    </w:p>
    <w:p>
      <w:pPr>
        <w:spacing w:line="400" w:lineRule="exact"/>
        <w:ind w:firstLine="600"/>
        <w:rPr>
          <w:rFonts w:hint="eastAsia" w:ascii="宋体" w:hAnsi="宋体" w:cs="宋体"/>
          <w:szCs w:val="21"/>
        </w:rPr>
      </w:pPr>
      <w:r>
        <w:rPr>
          <w:rFonts w:hint="eastAsia" w:ascii="宋体" w:hAnsi="宋体" w:cs="宋体"/>
          <w:szCs w:val="21"/>
        </w:rPr>
        <w:t>（2） 承包人为工程施工订购并已付款的材料、工程设备和其他物品的价款；发包人付款后，该材料、工程设备和其他物品归发包人所有；</w:t>
      </w:r>
    </w:p>
    <w:p>
      <w:pPr>
        <w:spacing w:line="400" w:lineRule="exact"/>
        <w:ind w:firstLine="600"/>
        <w:rPr>
          <w:rFonts w:hint="eastAsia" w:ascii="宋体" w:hAnsi="宋体" w:cs="宋体"/>
          <w:szCs w:val="21"/>
        </w:rPr>
      </w:pPr>
      <w:r>
        <w:rPr>
          <w:rFonts w:hint="eastAsia" w:ascii="宋体" w:hAnsi="宋体" w:cs="宋体"/>
          <w:szCs w:val="21"/>
        </w:rPr>
        <w:t>（3） 承包人为完成工程所发生的，而发包人未支付的金额；</w:t>
      </w:r>
    </w:p>
    <w:p>
      <w:pPr>
        <w:spacing w:line="400" w:lineRule="exact"/>
        <w:ind w:firstLine="600"/>
        <w:rPr>
          <w:rFonts w:hint="eastAsia" w:ascii="宋体" w:hAnsi="宋体" w:cs="宋体"/>
          <w:szCs w:val="21"/>
        </w:rPr>
      </w:pPr>
      <w:r>
        <w:rPr>
          <w:rFonts w:hint="eastAsia" w:ascii="宋体" w:hAnsi="宋体" w:cs="宋体"/>
          <w:szCs w:val="21"/>
        </w:rPr>
        <w:t>（4） 承包人撤离施工现场以及遣散承包人人员的款项；</w:t>
      </w:r>
    </w:p>
    <w:p>
      <w:pPr>
        <w:spacing w:line="400" w:lineRule="exact"/>
        <w:ind w:firstLine="600"/>
        <w:rPr>
          <w:rFonts w:hint="eastAsia" w:ascii="宋体" w:hAnsi="宋体" w:cs="宋体"/>
          <w:szCs w:val="21"/>
        </w:rPr>
      </w:pPr>
      <w:r>
        <w:rPr>
          <w:rFonts w:hint="eastAsia" w:ascii="宋体" w:hAnsi="宋体" w:cs="宋体"/>
          <w:szCs w:val="21"/>
        </w:rPr>
        <w:t>（5） 按照合同约定在合同解除前应支付的违约金；</w:t>
      </w:r>
    </w:p>
    <w:p>
      <w:pPr>
        <w:spacing w:line="400" w:lineRule="exact"/>
        <w:ind w:firstLine="600"/>
        <w:rPr>
          <w:rFonts w:hint="eastAsia" w:ascii="宋体" w:hAnsi="宋体" w:cs="宋体"/>
          <w:szCs w:val="21"/>
        </w:rPr>
      </w:pPr>
      <w:r>
        <w:rPr>
          <w:rFonts w:hint="eastAsia" w:ascii="宋体" w:hAnsi="宋体" w:cs="宋体"/>
          <w:szCs w:val="21"/>
        </w:rPr>
        <w:t>（6） 按照合同约定应当支付给承包人的其他款项；</w:t>
      </w:r>
    </w:p>
    <w:p>
      <w:pPr>
        <w:spacing w:line="400" w:lineRule="exact"/>
        <w:ind w:firstLine="600"/>
        <w:rPr>
          <w:rFonts w:hint="eastAsia" w:ascii="宋体" w:hAnsi="宋体" w:cs="宋体"/>
          <w:szCs w:val="21"/>
        </w:rPr>
      </w:pPr>
      <w:r>
        <w:rPr>
          <w:rFonts w:hint="eastAsia" w:ascii="宋体" w:hAnsi="宋体" w:cs="宋体"/>
          <w:szCs w:val="21"/>
        </w:rPr>
        <w:t>（7） 按照合同约定应返还的质量保证金；</w:t>
      </w:r>
    </w:p>
    <w:p>
      <w:pPr>
        <w:spacing w:line="400" w:lineRule="exact"/>
        <w:ind w:firstLine="600"/>
        <w:rPr>
          <w:rFonts w:hint="eastAsia" w:ascii="宋体" w:hAnsi="宋体" w:cs="宋体"/>
          <w:szCs w:val="21"/>
        </w:rPr>
      </w:pPr>
      <w:r>
        <w:rPr>
          <w:rFonts w:hint="eastAsia" w:ascii="宋体" w:hAnsi="宋体" w:cs="宋体"/>
          <w:szCs w:val="21"/>
        </w:rPr>
        <w:t>（8） 因解除合同给承包人造成的损失。</w:t>
      </w:r>
    </w:p>
    <w:p>
      <w:pPr>
        <w:spacing w:line="400" w:lineRule="exact"/>
        <w:ind w:firstLine="600"/>
        <w:rPr>
          <w:rFonts w:hint="eastAsia" w:ascii="宋体" w:hAnsi="宋体" w:cs="宋体"/>
          <w:szCs w:val="21"/>
        </w:rPr>
      </w:pPr>
      <w:r>
        <w:rPr>
          <w:rFonts w:hint="eastAsia" w:ascii="宋体" w:hAnsi="宋体" w:cs="宋体"/>
          <w:szCs w:val="21"/>
        </w:rPr>
        <w:t>承包人应妥善做好已完工程和与工程有关的已购材料、工程设备的保护和移交工作，并将施工设备和人员撤出施工现场，发包人应为承包人撤出提供必要条件。</w:t>
      </w:r>
    </w:p>
    <w:p>
      <w:pPr>
        <w:pStyle w:val="685"/>
        <w:widowControl/>
        <w:numPr>
          <w:ilvl w:val="0"/>
          <w:numId w:val="0"/>
        </w:numPr>
        <w:spacing w:line="400" w:lineRule="exact"/>
        <w:rPr>
          <w:rFonts w:hint="eastAsia" w:ascii="宋体" w:hAnsi="宋体" w:eastAsia="宋体" w:cs="宋体"/>
          <w:b w:val="0"/>
          <w:bCs/>
          <w:sz w:val="21"/>
          <w:szCs w:val="21"/>
        </w:rPr>
      </w:pPr>
      <w:bookmarkStart w:id="1560" w:name="_Toc54862306"/>
      <w:bookmarkStart w:id="1561" w:name="_Toc59203205"/>
      <w:bookmarkStart w:id="1562" w:name="_Ref3841966"/>
      <w:r>
        <w:rPr>
          <w:rFonts w:hint="eastAsia" w:ascii="宋体" w:hAnsi="宋体" w:eastAsia="宋体" w:cs="宋体"/>
          <w:b w:val="0"/>
          <w:bCs/>
          <w:sz w:val="21"/>
          <w:szCs w:val="21"/>
        </w:rPr>
        <w:t>16.3 合同解除后的事项</w:t>
      </w:r>
      <w:bookmarkEnd w:id="1560"/>
      <w:bookmarkEnd w:id="1561"/>
      <w:bookmarkEnd w:id="1562"/>
    </w:p>
    <w:p>
      <w:pPr>
        <w:pStyle w:val="686"/>
        <w:numPr>
          <w:ilvl w:val="0"/>
          <w:numId w:val="0"/>
        </w:numPr>
        <w:spacing w:line="400" w:lineRule="exact"/>
        <w:rPr>
          <w:rFonts w:hint="eastAsia" w:cs="宋体"/>
          <w:sz w:val="21"/>
        </w:rPr>
      </w:pPr>
      <w:r>
        <w:rPr>
          <w:rFonts w:hint="eastAsia" w:cs="宋体"/>
          <w:sz w:val="21"/>
        </w:rPr>
        <w:t>16.3.1 结算约定依然有效</w:t>
      </w:r>
    </w:p>
    <w:p>
      <w:pPr>
        <w:spacing w:line="400" w:lineRule="exact"/>
        <w:ind w:firstLine="600"/>
        <w:rPr>
          <w:rFonts w:hint="eastAsia" w:ascii="宋体" w:hAnsi="宋体" w:cs="宋体"/>
          <w:szCs w:val="21"/>
        </w:rPr>
      </w:pPr>
      <w:r>
        <w:rPr>
          <w:rFonts w:hint="eastAsia" w:ascii="宋体" w:hAnsi="宋体" w:cs="宋体"/>
          <w:szCs w:val="21"/>
        </w:rPr>
        <w:t>合同解除后，由发包人或由承包人解除合同的结算及结算后的付款约定仍然有效，直至解除合同的结算工作结清。</w:t>
      </w:r>
    </w:p>
    <w:p>
      <w:pPr>
        <w:pStyle w:val="686"/>
        <w:numPr>
          <w:ilvl w:val="0"/>
          <w:numId w:val="0"/>
        </w:numPr>
        <w:spacing w:line="400" w:lineRule="exact"/>
        <w:rPr>
          <w:rFonts w:hint="eastAsia" w:cs="宋体"/>
          <w:sz w:val="21"/>
        </w:rPr>
      </w:pPr>
      <w:r>
        <w:rPr>
          <w:rFonts w:hint="eastAsia" w:cs="宋体"/>
          <w:sz w:val="21"/>
        </w:rPr>
        <w:t>16.3.2 解除合同的争议</w:t>
      </w:r>
    </w:p>
    <w:p>
      <w:pPr>
        <w:spacing w:line="400" w:lineRule="exact"/>
        <w:ind w:firstLine="600"/>
        <w:rPr>
          <w:rFonts w:hint="eastAsia" w:ascii="宋体" w:hAnsi="宋体" w:cs="宋体"/>
          <w:szCs w:val="21"/>
        </w:rPr>
      </w:pPr>
      <w:bookmarkStart w:id="1563" w:name="_Hlk18988355"/>
      <w:r>
        <w:rPr>
          <w:rFonts w:hint="eastAsia" w:ascii="宋体" w:hAnsi="宋体" w:cs="宋体"/>
          <w:szCs w:val="21"/>
        </w:rPr>
        <w:t>双方对解除合同或解除合同后的结算有争议的，按照第20条[争议解决]的约定处理。</w:t>
      </w:r>
      <w:bookmarkEnd w:id="1563"/>
    </w:p>
    <w:p>
      <w:pPr>
        <w:pStyle w:val="684"/>
        <w:numPr>
          <w:ilvl w:val="0"/>
          <w:numId w:val="0"/>
        </w:numPr>
        <w:spacing w:line="400" w:lineRule="exact"/>
        <w:rPr>
          <w:rFonts w:hint="eastAsia" w:ascii="宋体" w:hAnsi="宋体" w:eastAsia="宋体" w:cs="宋体"/>
          <w:b w:val="0"/>
          <w:szCs w:val="21"/>
        </w:rPr>
      </w:pPr>
      <w:bookmarkStart w:id="1564" w:name="_Toc54862307"/>
      <w:bookmarkStart w:id="1565" w:name="_Toc59203206"/>
      <w:bookmarkStart w:id="1566" w:name="_Ref3840974"/>
      <w:bookmarkStart w:id="1567" w:name="_Ref3840605"/>
      <w:r>
        <w:rPr>
          <w:rFonts w:hint="eastAsia" w:ascii="宋体" w:hAnsi="宋体" w:eastAsia="宋体" w:cs="宋体"/>
          <w:b w:val="0"/>
          <w:szCs w:val="21"/>
        </w:rPr>
        <w:t>第17条 不可抗力</w:t>
      </w:r>
      <w:bookmarkEnd w:id="1564"/>
      <w:bookmarkEnd w:id="1565"/>
      <w:bookmarkEnd w:id="1566"/>
    </w:p>
    <w:p>
      <w:pPr>
        <w:pStyle w:val="685"/>
        <w:widowControl/>
        <w:numPr>
          <w:ilvl w:val="0"/>
          <w:numId w:val="0"/>
        </w:numPr>
        <w:spacing w:line="400" w:lineRule="exact"/>
        <w:rPr>
          <w:rFonts w:hint="eastAsia" w:ascii="宋体" w:hAnsi="宋体" w:eastAsia="宋体" w:cs="宋体"/>
          <w:b w:val="0"/>
          <w:bCs/>
          <w:sz w:val="21"/>
          <w:szCs w:val="21"/>
        </w:rPr>
      </w:pPr>
      <w:bookmarkStart w:id="1568" w:name="_Ref531958158"/>
      <w:bookmarkStart w:id="1569" w:name="_Ref531958161"/>
      <w:bookmarkStart w:id="1570" w:name="_Toc54862308"/>
      <w:bookmarkStart w:id="1571" w:name="_Toc59203207"/>
      <w:r>
        <w:rPr>
          <w:rFonts w:hint="eastAsia" w:ascii="宋体" w:hAnsi="宋体" w:eastAsia="宋体" w:cs="宋体"/>
          <w:b w:val="0"/>
          <w:bCs/>
          <w:sz w:val="21"/>
          <w:szCs w:val="21"/>
        </w:rPr>
        <w:t>17.1 不可抗力的</w:t>
      </w:r>
      <w:bookmarkEnd w:id="1568"/>
      <w:bookmarkEnd w:id="1569"/>
      <w:r>
        <w:rPr>
          <w:rFonts w:hint="eastAsia" w:ascii="宋体" w:hAnsi="宋体" w:eastAsia="宋体" w:cs="宋体"/>
          <w:b w:val="0"/>
          <w:bCs/>
          <w:sz w:val="21"/>
          <w:szCs w:val="21"/>
        </w:rPr>
        <w:t>定义</w:t>
      </w:r>
      <w:bookmarkEnd w:id="1570"/>
      <w:bookmarkEnd w:id="1571"/>
    </w:p>
    <w:p>
      <w:pPr>
        <w:spacing w:line="400" w:lineRule="exact"/>
        <w:ind w:firstLine="600"/>
        <w:rPr>
          <w:rFonts w:hint="eastAsia" w:ascii="宋体" w:hAnsi="宋体" w:cs="宋体"/>
          <w:szCs w:val="21"/>
        </w:rPr>
      </w:pPr>
      <w:r>
        <w:rPr>
          <w:rFonts w:hint="eastAsia" w:ascii="宋体" w:hAnsi="宋体" w:cs="宋体"/>
          <w:szCs w:val="21"/>
        </w:rPr>
        <w:t>不可抗力是指合同当事人在订立合同时不可预见，在合同履行过程中不可避免、不能克服且不能提前防备的自然灾害和社会性突发事件，如地震、海啸、瘟疫、骚乱、戒严、暴动、战争和专用合同条件中约定的其他情形。</w:t>
      </w:r>
    </w:p>
    <w:p>
      <w:pPr>
        <w:pStyle w:val="685"/>
        <w:widowControl/>
        <w:numPr>
          <w:ilvl w:val="0"/>
          <w:numId w:val="0"/>
        </w:numPr>
        <w:spacing w:line="400" w:lineRule="exact"/>
        <w:rPr>
          <w:rFonts w:hint="eastAsia" w:ascii="宋体" w:hAnsi="宋体" w:eastAsia="宋体" w:cs="宋体"/>
          <w:b w:val="0"/>
          <w:bCs/>
          <w:sz w:val="21"/>
          <w:szCs w:val="21"/>
        </w:rPr>
      </w:pPr>
      <w:bookmarkStart w:id="1572" w:name="_Toc54862309"/>
      <w:bookmarkStart w:id="1573" w:name="_Toc59203208"/>
      <w:r>
        <w:rPr>
          <w:rFonts w:hint="eastAsia" w:ascii="宋体" w:hAnsi="宋体" w:eastAsia="宋体" w:cs="宋体"/>
          <w:b w:val="0"/>
          <w:bCs/>
          <w:sz w:val="21"/>
          <w:szCs w:val="21"/>
        </w:rPr>
        <w:t>17.2 不可抗力的通知</w:t>
      </w:r>
      <w:bookmarkEnd w:id="1572"/>
      <w:bookmarkEnd w:id="1573"/>
      <w:r>
        <w:rPr>
          <w:rFonts w:hint="eastAsia" w:ascii="宋体" w:hAnsi="宋体" w:eastAsia="宋体" w:cs="宋体"/>
          <w:b w:val="0"/>
          <w:bCs/>
          <w:sz w:val="21"/>
          <w:szCs w:val="21"/>
        </w:rPr>
        <w:t xml:space="preserve"> </w:t>
      </w:r>
    </w:p>
    <w:p>
      <w:pPr>
        <w:spacing w:line="400" w:lineRule="exact"/>
        <w:ind w:firstLine="600"/>
        <w:rPr>
          <w:rFonts w:hint="eastAsia" w:ascii="宋体" w:hAnsi="宋体" w:cs="宋体"/>
          <w:szCs w:val="21"/>
        </w:rPr>
      </w:pPr>
      <w:r>
        <w:rPr>
          <w:rFonts w:hint="eastAsia" w:ascii="宋体" w:hAnsi="宋体" w:cs="宋体"/>
          <w:szCs w:val="21"/>
        </w:rPr>
        <w:t>合同一方当事人觉察或发现不可抗力事件发生，使其履行合同义务受到阻碍时，有义务立即通知合同另一方当事人和工程师，书面说明不可抗力和受阻碍的详细情况，并提供必要的证明。</w:t>
      </w:r>
    </w:p>
    <w:p>
      <w:pPr>
        <w:spacing w:line="400" w:lineRule="exact"/>
        <w:ind w:firstLine="600"/>
        <w:rPr>
          <w:rFonts w:hint="eastAsia" w:ascii="宋体" w:hAnsi="宋体" w:cs="宋体"/>
          <w:szCs w:val="21"/>
        </w:rPr>
      </w:pPr>
      <w:r>
        <w:rPr>
          <w:rFonts w:hint="eastAsia" w:ascii="宋体" w:hAnsi="宋体" w:cs="宋体"/>
          <w:szCs w:val="21"/>
        </w:rPr>
        <w:t>不可抗力持续发生的，合同一方当事人应每隔28天向合同另一方当事人和工程师提交中间报告，说明不可抗力和履行合同受阻的情况，并于不可抗力事件结束后28天内提交最终报告及有关资料。</w:t>
      </w:r>
    </w:p>
    <w:p>
      <w:pPr>
        <w:pStyle w:val="685"/>
        <w:widowControl/>
        <w:numPr>
          <w:ilvl w:val="0"/>
          <w:numId w:val="0"/>
        </w:numPr>
        <w:spacing w:line="400" w:lineRule="exact"/>
        <w:rPr>
          <w:rFonts w:hint="eastAsia" w:ascii="宋体" w:hAnsi="宋体" w:eastAsia="宋体" w:cs="宋体"/>
          <w:b w:val="0"/>
          <w:bCs/>
          <w:sz w:val="21"/>
          <w:szCs w:val="21"/>
        </w:rPr>
      </w:pPr>
      <w:bookmarkStart w:id="1574" w:name="_Toc59203209"/>
      <w:bookmarkStart w:id="1575" w:name="_Toc54862310"/>
      <w:r>
        <w:rPr>
          <w:rFonts w:hint="eastAsia" w:ascii="宋体" w:hAnsi="宋体" w:eastAsia="宋体" w:cs="宋体"/>
          <w:b w:val="0"/>
          <w:bCs/>
          <w:sz w:val="21"/>
          <w:szCs w:val="21"/>
        </w:rPr>
        <w:t>17.3 将损失减至最小的义务</w:t>
      </w:r>
      <w:bookmarkEnd w:id="1574"/>
      <w:bookmarkEnd w:id="1575"/>
    </w:p>
    <w:p>
      <w:pPr>
        <w:spacing w:line="400" w:lineRule="exact"/>
        <w:ind w:firstLine="600"/>
        <w:rPr>
          <w:rFonts w:hint="eastAsia" w:ascii="宋体" w:hAnsi="宋体" w:cs="宋体"/>
          <w:szCs w:val="21"/>
        </w:rPr>
      </w:pPr>
      <w:r>
        <w:rPr>
          <w:rFonts w:hint="eastAsia" w:ascii="宋体" w:hAnsi="宋体" w:cs="宋体"/>
          <w:szCs w:val="21"/>
        </w:rPr>
        <w:t>不可抗力发生后，合同当事人均应采取措施尽量避免和减少损失的扩大，使不可抗力对履行合同造成的损失减至最小。另一方全力协助并采取措施，需暂停实施的工作，立即停止。任何一方当事人没有采取有效措施导致损失扩大的，应对扩大的损失承担责任。</w:t>
      </w:r>
    </w:p>
    <w:p>
      <w:pPr>
        <w:pStyle w:val="685"/>
        <w:widowControl/>
        <w:numPr>
          <w:ilvl w:val="0"/>
          <w:numId w:val="0"/>
        </w:numPr>
        <w:spacing w:line="400" w:lineRule="exact"/>
        <w:rPr>
          <w:rFonts w:hint="eastAsia" w:ascii="宋体" w:hAnsi="宋体" w:eastAsia="宋体" w:cs="宋体"/>
          <w:b w:val="0"/>
          <w:bCs/>
          <w:sz w:val="21"/>
          <w:szCs w:val="21"/>
        </w:rPr>
      </w:pPr>
      <w:bookmarkStart w:id="1576" w:name="_Ref531958172"/>
      <w:bookmarkStart w:id="1577" w:name="_Ref531958170"/>
      <w:bookmarkStart w:id="1578" w:name="_Ref3840916"/>
      <w:bookmarkStart w:id="1579" w:name="_Toc54862311"/>
      <w:bookmarkStart w:id="1580" w:name="_Toc59203210"/>
      <w:r>
        <w:rPr>
          <w:rFonts w:hint="eastAsia" w:ascii="宋体" w:hAnsi="宋体" w:eastAsia="宋体" w:cs="宋体"/>
          <w:b w:val="0"/>
          <w:bCs/>
          <w:sz w:val="21"/>
          <w:szCs w:val="21"/>
        </w:rPr>
        <w:t>17.4 不可抗力后果</w:t>
      </w:r>
      <w:bookmarkEnd w:id="1576"/>
      <w:bookmarkEnd w:id="1577"/>
      <w:r>
        <w:rPr>
          <w:rFonts w:hint="eastAsia" w:ascii="宋体" w:hAnsi="宋体" w:eastAsia="宋体" w:cs="宋体"/>
          <w:b w:val="0"/>
          <w:bCs/>
          <w:sz w:val="21"/>
          <w:szCs w:val="21"/>
        </w:rPr>
        <w:t>的承担</w:t>
      </w:r>
      <w:bookmarkEnd w:id="1578"/>
      <w:bookmarkEnd w:id="1579"/>
      <w:bookmarkEnd w:id="1580"/>
      <w:r>
        <w:rPr>
          <w:rFonts w:hint="eastAsia" w:ascii="宋体" w:hAnsi="宋体" w:eastAsia="宋体" w:cs="宋体"/>
          <w:b w:val="0"/>
          <w:bCs/>
          <w:sz w:val="21"/>
          <w:szCs w:val="21"/>
        </w:rPr>
        <w:t xml:space="preserve"> </w:t>
      </w:r>
    </w:p>
    <w:p>
      <w:pPr>
        <w:spacing w:line="400" w:lineRule="exact"/>
        <w:ind w:firstLine="600"/>
        <w:rPr>
          <w:rFonts w:hint="eastAsia" w:ascii="宋体" w:hAnsi="宋体" w:cs="宋体"/>
          <w:szCs w:val="21"/>
        </w:rPr>
      </w:pPr>
      <w:r>
        <w:rPr>
          <w:rFonts w:hint="eastAsia" w:ascii="宋体" w:hAnsi="宋体" w:cs="宋体"/>
          <w:szCs w:val="21"/>
        </w:rPr>
        <w:t>不可抗力导致的人员伤亡、财产损失、费用增加和（或）工期延误等后果，由合同当事人按以下原则承担：</w:t>
      </w:r>
    </w:p>
    <w:p>
      <w:pPr>
        <w:spacing w:line="400" w:lineRule="exact"/>
        <w:ind w:firstLine="600"/>
        <w:rPr>
          <w:rFonts w:hint="eastAsia" w:ascii="宋体" w:hAnsi="宋体" w:cs="宋体"/>
          <w:szCs w:val="21"/>
        </w:rPr>
      </w:pPr>
      <w:r>
        <w:rPr>
          <w:rFonts w:hint="eastAsia" w:ascii="宋体" w:hAnsi="宋体" w:cs="宋体"/>
          <w:szCs w:val="21"/>
        </w:rPr>
        <w:t>（1） 永久工程，包括已运至施工现场的材料和工程设备的损害，以及因工程损害造成的第三人人员伤亡和财产损失由发包人承担；</w:t>
      </w:r>
    </w:p>
    <w:p>
      <w:pPr>
        <w:spacing w:line="400" w:lineRule="exact"/>
        <w:ind w:firstLine="600"/>
        <w:rPr>
          <w:rFonts w:hint="eastAsia" w:ascii="宋体" w:hAnsi="宋体" w:cs="宋体"/>
          <w:szCs w:val="21"/>
        </w:rPr>
      </w:pPr>
      <w:r>
        <w:rPr>
          <w:rFonts w:hint="eastAsia" w:ascii="宋体" w:hAnsi="宋体" w:cs="宋体"/>
          <w:szCs w:val="21"/>
        </w:rPr>
        <w:t>（2） 承包人提供的施工设备的损坏由承包人承担；</w:t>
      </w:r>
    </w:p>
    <w:p>
      <w:pPr>
        <w:spacing w:line="400" w:lineRule="exact"/>
        <w:ind w:firstLine="600"/>
        <w:rPr>
          <w:rFonts w:hint="eastAsia" w:ascii="宋体" w:hAnsi="宋体" w:cs="宋体"/>
          <w:szCs w:val="21"/>
        </w:rPr>
      </w:pPr>
      <w:r>
        <w:rPr>
          <w:rFonts w:hint="eastAsia" w:ascii="宋体" w:hAnsi="宋体" w:cs="宋体"/>
          <w:szCs w:val="21"/>
        </w:rPr>
        <w:t>（3） 发包人和承包人各自承担其人员伤亡及其他财产损失；</w:t>
      </w:r>
    </w:p>
    <w:p>
      <w:pPr>
        <w:spacing w:line="400" w:lineRule="exact"/>
        <w:ind w:firstLine="600"/>
        <w:rPr>
          <w:rFonts w:hint="eastAsia" w:ascii="宋体" w:hAnsi="宋体" w:cs="宋体"/>
          <w:szCs w:val="21"/>
        </w:rPr>
      </w:pPr>
      <w:r>
        <w:rPr>
          <w:rFonts w:hint="eastAsia" w:ascii="宋体" w:hAnsi="宋体" w:cs="宋体"/>
          <w:szCs w:val="21"/>
        </w:rPr>
        <w:t>（4） 因不可抗力影响承包人履行合同约定的义务，已经引起或将引起工期延误的，应当顺延工期，由此导致承包人停工的费用损失由发包人和承包人合理分担，</w:t>
      </w:r>
      <w:bookmarkStart w:id="1581" w:name="_Hlk51507024"/>
      <w:r>
        <w:rPr>
          <w:rFonts w:hint="eastAsia" w:ascii="宋体" w:hAnsi="宋体" w:cs="宋体"/>
          <w:szCs w:val="21"/>
        </w:rPr>
        <w:t>停工期间必须支付的现场必要的工人工资</w:t>
      </w:r>
      <w:bookmarkEnd w:id="1581"/>
      <w:r>
        <w:rPr>
          <w:rFonts w:hint="eastAsia" w:ascii="宋体" w:hAnsi="宋体" w:cs="宋体"/>
          <w:szCs w:val="21"/>
        </w:rPr>
        <w:t>由发包人承担；</w:t>
      </w:r>
    </w:p>
    <w:p>
      <w:pPr>
        <w:spacing w:line="400" w:lineRule="exact"/>
        <w:ind w:firstLine="600"/>
        <w:rPr>
          <w:rFonts w:hint="eastAsia" w:ascii="宋体" w:hAnsi="宋体" w:cs="宋体"/>
          <w:szCs w:val="21"/>
        </w:rPr>
      </w:pPr>
      <w:r>
        <w:rPr>
          <w:rFonts w:hint="eastAsia" w:ascii="宋体" w:hAnsi="宋体" w:cs="宋体"/>
          <w:szCs w:val="21"/>
        </w:rPr>
        <w:t>（5） 因不可抗力引起或将引起工期延误，发包人指示赶工的，由此增加的赶工费用由发包人承担；</w:t>
      </w:r>
    </w:p>
    <w:p>
      <w:pPr>
        <w:spacing w:line="400" w:lineRule="exact"/>
        <w:ind w:firstLine="600"/>
        <w:rPr>
          <w:rFonts w:hint="eastAsia" w:ascii="宋体" w:hAnsi="宋体" w:cs="宋体"/>
          <w:szCs w:val="21"/>
        </w:rPr>
      </w:pPr>
      <w:r>
        <w:rPr>
          <w:rFonts w:hint="eastAsia" w:ascii="宋体" w:hAnsi="宋体" w:cs="宋体"/>
          <w:szCs w:val="21"/>
        </w:rPr>
        <w:t>（6） 承包人在停工期间按照工程师或发包人要求照管、清理和修复工程的费用由发包人承担。</w:t>
      </w:r>
    </w:p>
    <w:p>
      <w:pPr>
        <w:spacing w:line="400" w:lineRule="exact"/>
        <w:ind w:firstLine="600"/>
        <w:rPr>
          <w:rFonts w:hint="eastAsia" w:ascii="宋体" w:hAnsi="宋体" w:cs="宋体"/>
          <w:szCs w:val="21"/>
        </w:rPr>
      </w:pPr>
      <w:r>
        <w:rPr>
          <w:rFonts w:hint="eastAsia" w:ascii="宋体" w:hAnsi="宋体" w:cs="宋体"/>
          <w:szCs w:val="21"/>
        </w:rPr>
        <w:t>不可抗力引起的后果及造成的损失由合同当事人按照法律规定及合同约定各自承担。不可抗力发生前已完成的工程应当按照合同约定进行支付。</w:t>
      </w:r>
    </w:p>
    <w:p>
      <w:pPr>
        <w:pStyle w:val="685"/>
        <w:widowControl/>
        <w:numPr>
          <w:ilvl w:val="0"/>
          <w:numId w:val="0"/>
        </w:numPr>
        <w:spacing w:line="400" w:lineRule="exact"/>
        <w:rPr>
          <w:rFonts w:hint="eastAsia" w:ascii="宋体" w:hAnsi="宋体" w:eastAsia="宋体" w:cs="宋体"/>
          <w:b w:val="0"/>
          <w:bCs/>
          <w:sz w:val="21"/>
          <w:szCs w:val="21"/>
        </w:rPr>
      </w:pPr>
      <w:bookmarkStart w:id="1582" w:name="_Toc54862312"/>
      <w:bookmarkStart w:id="1583" w:name="_Toc59203211"/>
      <w:r>
        <w:rPr>
          <w:rFonts w:hint="eastAsia" w:ascii="宋体" w:hAnsi="宋体" w:eastAsia="宋体" w:cs="宋体"/>
          <w:b w:val="0"/>
          <w:bCs/>
          <w:sz w:val="21"/>
          <w:szCs w:val="21"/>
        </w:rPr>
        <w:t>17.5 不可抗力影响分包人</w:t>
      </w:r>
      <w:bookmarkEnd w:id="1582"/>
      <w:bookmarkEnd w:id="1583"/>
      <w:r>
        <w:rPr>
          <w:rFonts w:hint="eastAsia" w:ascii="宋体" w:hAnsi="宋体" w:eastAsia="宋体" w:cs="宋体"/>
          <w:b w:val="0"/>
          <w:bCs/>
          <w:sz w:val="21"/>
          <w:szCs w:val="21"/>
        </w:rPr>
        <w:t xml:space="preserve"> </w:t>
      </w:r>
    </w:p>
    <w:p>
      <w:pPr>
        <w:spacing w:line="400" w:lineRule="exact"/>
        <w:ind w:firstLine="600"/>
        <w:rPr>
          <w:rFonts w:hint="eastAsia" w:ascii="宋体" w:hAnsi="宋体" w:cs="宋体"/>
          <w:szCs w:val="21"/>
        </w:rPr>
      </w:pPr>
      <w:r>
        <w:rPr>
          <w:rFonts w:hint="eastAsia" w:ascii="宋体" w:hAnsi="宋体" w:cs="宋体"/>
          <w:szCs w:val="21"/>
        </w:rPr>
        <w:t>分包人根据分包合同的约定，有权获得更多或者更广的不可抗力而免除某些义务时，承包人不得以分包合同中不可抗力约定向发包人抗辩免除其义务。</w:t>
      </w:r>
    </w:p>
    <w:p>
      <w:pPr>
        <w:pStyle w:val="685"/>
        <w:widowControl/>
        <w:numPr>
          <w:ilvl w:val="0"/>
          <w:numId w:val="0"/>
        </w:numPr>
        <w:spacing w:line="400" w:lineRule="exact"/>
        <w:rPr>
          <w:rFonts w:hint="eastAsia" w:ascii="宋体" w:hAnsi="宋体" w:eastAsia="宋体" w:cs="宋体"/>
          <w:b w:val="0"/>
          <w:bCs/>
          <w:sz w:val="21"/>
          <w:szCs w:val="21"/>
        </w:rPr>
      </w:pPr>
      <w:bookmarkStart w:id="1584" w:name="_Ref531958181"/>
      <w:bookmarkStart w:id="1585" w:name="_Ref531958184"/>
      <w:bookmarkStart w:id="1586" w:name="_Toc54862313"/>
      <w:bookmarkStart w:id="1587" w:name="_Toc59203212"/>
      <w:bookmarkStart w:id="1588" w:name="_Ref3840892"/>
      <w:bookmarkStart w:id="1589" w:name="_Ref4538024"/>
      <w:r>
        <w:rPr>
          <w:rFonts w:hint="eastAsia" w:ascii="宋体" w:hAnsi="宋体" w:eastAsia="宋体" w:cs="宋体"/>
          <w:b w:val="0"/>
          <w:bCs/>
          <w:sz w:val="21"/>
          <w:szCs w:val="21"/>
        </w:rPr>
        <w:t>17.6 因不可抗力解除</w:t>
      </w:r>
      <w:bookmarkEnd w:id="1584"/>
      <w:bookmarkEnd w:id="1585"/>
      <w:r>
        <w:rPr>
          <w:rFonts w:hint="eastAsia" w:ascii="宋体" w:hAnsi="宋体" w:eastAsia="宋体" w:cs="宋体"/>
          <w:b w:val="0"/>
          <w:bCs/>
          <w:sz w:val="21"/>
          <w:szCs w:val="21"/>
        </w:rPr>
        <w:t>合同</w:t>
      </w:r>
      <w:bookmarkEnd w:id="1586"/>
      <w:bookmarkEnd w:id="1587"/>
      <w:bookmarkEnd w:id="1588"/>
      <w:bookmarkEnd w:id="1589"/>
      <w:r>
        <w:rPr>
          <w:rFonts w:hint="eastAsia" w:ascii="宋体" w:hAnsi="宋体" w:eastAsia="宋体" w:cs="宋体"/>
          <w:b w:val="0"/>
          <w:bCs/>
          <w:sz w:val="21"/>
          <w:szCs w:val="21"/>
        </w:rPr>
        <w:t xml:space="preserve"> </w:t>
      </w:r>
    </w:p>
    <w:p>
      <w:pPr>
        <w:spacing w:line="400" w:lineRule="exact"/>
        <w:ind w:firstLine="600"/>
        <w:rPr>
          <w:rFonts w:hint="eastAsia" w:ascii="宋体" w:hAnsi="宋体" w:cs="宋体"/>
          <w:szCs w:val="21"/>
        </w:rPr>
      </w:pPr>
      <w:r>
        <w:rPr>
          <w:rFonts w:hint="eastAsia" w:ascii="宋体" w:hAnsi="宋体" w:cs="宋体"/>
          <w:szCs w:val="21"/>
        </w:rPr>
        <w:t>因单次不可抗力导致合同无法履行连续超过84天或累计超过140天的，发包人和承包人均有权解除合同。合同解除后，承包人应按照第10.5款[竣工退场]的规定进行。由双方当事人按照第3.6款[商定或确定]商定或确定发包人应支付的款项，该款项包括：</w:t>
      </w:r>
    </w:p>
    <w:p>
      <w:pPr>
        <w:spacing w:line="400" w:lineRule="exact"/>
        <w:ind w:firstLine="600"/>
        <w:rPr>
          <w:rFonts w:hint="eastAsia" w:ascii="宋体" w:hAnsi="宋体" w:cs="宋体"/>
          <w:szCs w:val="21"/>
        </w:rPr>
      </w:pPr>
      <w:r>
        <w:rPr>
          <w:rFonts w:hint="eastAsia" w:ascii="宋体" w:hAnsi="宋体" w:cs="宋体"/>
          <w:szCs w:val="21"/>
        </w:rPr>
        <w:t>（1） 合同解除前承包人已完成工作的价款；</w:t>
      </w:r>
    </w:p>
    <w:p>
      <w:pPr>
        <w:spacing w:line="400" w:lineRule="exact"/>
        <w:ind w:firstLine="600"/>
        <w:rPr>
          <w:rFonts w:hint="eastAsia" w:ascii="宋体" w:hAnsi="宋体" w:cs="宋体"/>
          <w:szCs w:val="21"/>
        </w:rPr>
      </w:pPr>
      <w:r>
        <w:rPr>
          <w:rFonts w:hint="eastAsia" w:ascii="宋体" w:hAnsi="宋体" w:cs="宋体"/>
          <w:szCs w:val="21"/>
        </w:rPr>
        <w:t>（2） 承包人为工程订购的并已交付给承包人，或承包人有责任接受交付的材料、工程设备和其他物品的价款；当发包人支付上述费用后，此项材料、工程设备与其他物品应成为发包人的财产，承包人应将其交由发包人处理；</w:t>
      </w:r>
    </w:p>
    <w:p>
      <w:pPr>
        <w:spacing w:line="400" w:lineRule="exact"/>
        <w:ind w:firstLine="600"/>
        <w:rPr>
          <w:rFonts w:hint="eastAsia" w:ascii="宋体" w:hAnsi="宋体" w:cs="宋体"/>
          <w:szCs w:val="21"/>
        </w:rPr>
      </w:pPr>
      <w:r>
        <w:rPr>
          <w:rFonts w:hint="eastAsia" w:ascii="宋体" w:hAnsi="宋体" w:cs="宋体"/>
          <w:szCs w:val="21"/>
        </w:rPr>
        <w:t>（3） 发包人指示承包人退货或解除订货合同而产生的费用，或因不能退货或解除合同而产生的损失；</w:t>
      </w:r>
    </w:p>
    <w:p>
      <w:pPr>
        <w:spacing w:line="400" w:lineRule="exact"/>
        <w:ind w:firstLine="600"/>
        <w:rPr>
          <w:rFonts w:hint="eastAsia" w:ascii="宋体" w:hAnsi="宋体" w:cs="宋体"/>
          <w:szCs w:val="21"/>
        </w:rPr>
      </w:pPr>
      <w:r>
        <w:rPr>
          <w:rFonts w:hint="eastAsia" w:ascii="宋体" w:hAnsi="宋体" w:cs="宋体"/>
          <w:szCs w:val="21"/>
        </w:rPr>
        <w:t>（4） 承包人撤离施工现场以及遣散承包人人员的费用；</w:t>
      </w:r>
    </w:p>
    <w:p>
      <w:pPr>
        <w:spacing w:line="400" w:lineRule="exact"/>
        <w:ind w:firstLine="600"/>
        <w:rPr>
          <w:rFonts w:hint="eastAsia" w:ascii="宋体" w:hAnsi="宋体" w:cs="宋体"/>
          <w:szCs w:val="21"/>
        </w:rPr>
      </w:pPr>
      <w:r>
        <w:rPr>
          <w:rFonts w:hint="eastAsia" w:ascii="宋体" w:hAnsi="宋体" w:cs="宋体"/>
          <w:szCs w:val="21"/>
        </w:rPr>
        <w:t>（5） 按照合同约定在合同解除前应支付给承包人的其他款项；</w:t>
      </w:r>
    </w:p>
    <w:p>
      <w:pPr>
        <w:spacing w:line="400" w:lineRule="exact"/>
        <w:ind w:firstLine="600"/>
        <w:rPr>
          <w:rFonts w:hint="eastAsia" w:ascii="宋体" w:hAnsi="宋体" w:cs="宋体"/>
          <w:szCs w:val="21"/>
        </w:rPr>
      </w:pPr>
      <w:r>
        <w:rPr>
          <w:rFonts w:hint="eastAsia" w:ascii="宋体" w:hAnsi="宋体" w:cs="宋体"/>
          <w:szCs w:val="21"/>
        </w:rPr>
        <w:t>（6） 扣减承包人按照合同约定应向发包人支付的款项；</w:t>
      </w:r>
    </w:p>
    <w:p>
      <w:pPr>
        <w:spacing w:line="400" w:lineRule="exact"/>
        <w:ind w:firstLine="600"/>
        <w:rPr>
          <w:rFonts w:hint="eastAsia" w:ascii="宋体" w:hAnsi="宋体" w:cs="宋体"/>
          <w:szCs w:val="21"/>
        </w:rPr>
      </w:pPr>
      <w:r>
        <w:rPr>
          <w:rFonts w:hint="eastAsia" w:ascii="宋体" w:hAnsi="宋体" w:cs="宋体"/>
          <w:szCs w:val="21"/>
        </w:rPr>
        <w:t>（7） 双方商定或确定的其他款项。</w:t>
      </w:r>
    </w:p>
    <w:p>
      <w:pPr>
        <w:spacing w:line="400" w:lineRule="exact"/>
        <w:ind w:firstLine="600"/>
        <w:rPr>
          <w:rFonts w:hint="eastAsia" w:ascii="宋体" w:hAnsi="宋体" w:cs="宋体"/>
          <w:szCs w:val="21"/>
        </w:rPr>
      </w:pPr>
      <w:r>
        <w:rPr>
          <w:rFonts w:hint="eastAsia" w:ascii="宋体" w:hAnsi="宋体" w:cs="宋体"/>
          <w:szCs w:val="21"/>
        </w:rPr>
        <w:t>除专用合同条件另有约定外，合同解除后，发包人应当在商定或确定上述款项后28天内完成上述款项的支付。</w:t>
      </w:r>
    </w:p>
    <w:p>
      <w:pPr>
        <w:pStyle w:val="684"/>
        <w:numPr>
          <w:ilvl w:val="0"/>
          <w:numId w:val="0"/>
        </w:numPr>
        <w:spacing w:line="400" w:lineRule="exact"/>
        <w:rPr>
          <w:rFonts w:hint="eastAsia" w:ascii="宋体" w:hAnsi="宋体" w:eastAsia="宋体" w:cs="宋体"/>
          <w:b w:val="0"/>
          <w:szCs w:val="21"/>
        </w:rPr>
      </w:pPr>
      <w:bookmarkStart w:id="1590" w:name="_Ref11848264"/>
      <w:bookmarkStart w:id="1591" w:name="_Ref11848274"/>
      <w:bookmarkStart w:id="1592" w:name="_Toc59203213"/>
      <w:bookmarkStart w:id="1593" w:name="_Toc54862314"/>
      <w:r>
        <w:rPr>
          <w:rFonts w:hint="eastAsia" w:ascii="宋体" w:hAnsi="宋体" w:eastAsia="宋体" w:cs="宋体"/>
          <w:b w:val="0"/>
          <w:szCs w:val="21"/>
        </w:rPr>
        <w:t>第18条 保险</w:t>
      </w:r>
      <w:bookmarkEnd w:id="1567"/>
      <w:bookmarkEnd w:id="1590"/>
      <w:bookmarkEnd w:id="1591"/>
      <w:bookmarkEnd w:id="1592"/>
      <w:bookmarkEnd w:id="1593"/>
      <w:r>
        <w:rPr>
          <w:rFonts w:hint="eastAsia" w:ascii="宋体" w:hAnsi="宋体" w:eastAsia="宋体" w:cs="宋体"/>
          <w:b w:val="0"/>
          <w:szCs w:val="21"/>
        </w:rPr>
        <w:t xml:space="preserve"> </w:t>
      </w:r>
    </w:p>
    <w:p>
      <w:pPr>
        <w:pStyle w:val="685"/>
        <w:widowControl/>
        <w:numPr>
          <w:ilvl w:val="0"/>
          <w:numId w:val="0"/>
        </w:numPr>
        <w:spacing w:line="400" w:lineRule="exact"/>
        <w:rPr>
          <w:rFonts w:hint="eastAsia" w:ascii="宋体" w:hAnsi="宋体" w:eastAsia="宋体" w:cs="宋体"/>
          <w:b w:val="0"/>
          <w:bCs/>
          <w:sz w:val="21"/>
          <w:szCs w:val="21"/>
        </w:rPr>
      </w:pPr>
      <w:bookmarkStart w:id="1594" w:name="_Toc54862315"/>
      <w:bookmarkStart w:id="1595" w:name="_Ref3840734"/>
      <w:bookmarkStart w:id="1596" w:name="_Toc59203214"/>
      <w:bookmarkStart w:id="1597" w:name="_Ref3840730"/>
      <w:bookmarkStart w:id="1598" w:name="_Ref531957914"/>
      <w:bookmarkStart w:id="1599" w:name="_Ref531957911"/>
      <w:bookmarkStart w:id="1600" w:name="_Toc351203616"/>
      <w:r>
        <w:rPr>
          <w:rFonts w:hint="eastAsia" w:ascii="宋体" w:hAnsi="宋体" w:eastAsia="宋体" w:cs="宋体"/>
          <w:b w:val="0"/>
          <w:bCs/>
          <w:sz w:val="21"/>
          <w:szCs w:val="21"/>
        </w:rPr>
        <w:t>18.1 设计和工程保险</w:t>
      </w:r>
      <w:bookmarkEnd w:id="1594"/>
      <w:bookmarkEnd w:id="1595"/>
      <w:bookmarkEnd w:id="1596"/>
      <w:bookmarkEnd w:id="1597"/>
    </w:p>
    <w:bookmarkEnd w:id="1598"/>
    <w:bookmarkEnd w:id="1599"/>
    <w:p>
      <w:pPr>
        <w:pStyle w:val="686"/>
        <w:numPr>
          <w:ilvl w:val="0"/>
          <w:numId w:val="0"/>
        </w:numPr>
        <w:spacing w:line="400" w:lineRule="exact"/>
        <w:rPr>
          <w:rFonts w:hint="eastAsia" w:cs="宋体"/>
          <w:sz w:val="21"/>
        </w:rPr>
      </w:pPr>
      <w:r>
        <w:rPr>
          <w:rFonts w:hint="eastAsia" w:cs="宋体"/>
          <w:sz w:val="21"/>
        </w:rPr>
        <w:t>18.1.1 双方应按照专用合同条件的约定向双方同意的保险人投保建设工程设计责任险、建筑安装工程一切险等保险。具体的投保险种、保险范围、保险金额、保险费率、保险期限等有关内容应当在专用合同条件中明确约定。</w:t>
      </w:r>
    </w:p>
    <w:p>
      <w:pPr>
        <w:pStyle w:val="686"/>
        <w:numPr>
          <w:ilvl w:val="0"/>
          <w:numId w:val="0"/>
        </w:numPr>
        <w:spacing w:line="400" w:lineRule="exact"/>
        <w:rPr>
          <w:rFonts w:hint="eastAsia" w:cs="宋体"/>
          <w:sz w:val="21"/>
        </w:rPr>
      </w:pPr>
      <w:r>
        <w:rPr>
          <w:rFonts w:hint="eastAsia" w:cs="宋体"/>
          <w:sz w:val="21"/>
        </w:rPr>
        <w:t>18.1.2 双方应按照专用合同条件的约定投保第三者责任险，并在缺陷责任期终止证书颁发前维持其持续有效。第三者责任险最低投保额应在专用合同条件内约定。</w:t>
      </w:r>
    </w:p>
    <w:p>
      <w:pPr>
        <w:pStyle w:val="685"/>
        <w:widowControl/>
        <w:numPr>
          <w:ilvl w:val="0"/>
          <w:numId w:val="0"/>
        </w:numPr>
        <w:spacing w:line="400" w:lineRule="exact"/>
        <w:rPr>
          <w:rFonts w:hint="eastAsia" w:ascii="宋体" w:hAnsi="宋体" w:eastAsia="宋体" w:cs="宋体"/>
          <w:b w:val="0"/>
          <w:bCs/>
          <w:sz w:val="21"/>
          <w:szCs w:val="21"/>
        </w:rPr>
      </w:pPr>
      <w:bookmarkStart w:id="1601" w:name="_Toc59203215"/>
      <w:bookmarkStart w:id="1602" w:name="_Toc54862316"/>
      <w:bookmarkStart w:id="1603" w:name="_Ref3840683"/>
      <w:r>
        <w:rPr>
          <w:rFonts w:hint="eastAsia" w:ascii="宋体" w:hAnsi="宋体" w:eastAsia="宋体" w:cs="宋体"/>
          <w:b w:val="0"/>
          <w:bCs/>
          <w:sz w:val="21"/>
          <w:szCs w:val="21"/>
        </w:rPr>
        <w:t>18.2 工伤和意外伤害保险</w:t>
      </w:r>
      <w:bookmarkEnd w:id="1601"/>
      <w:bookmarkEnd w:id="1602"/>
      <w:bookmarkEnd w:id="1603"/>
    </w:p>
    <w:p>
      <w:pPr>
        <w:pStyle w:val="686"/>
        <w:numPr>
          <w:ilvl w:val="0"/>
          <w:numId w:val="0"/>
        </w:numPr>
        <w:spacing w:line="400" w:lineRule="exact"/>
        <w:rPr>
          <w:rFonts w:hint="eastAsia" w:cs="宋体"/>
          <w:sz w:val="21"/>
        </w:rPr>
      </w:pPr>
      <w:r>
        <w:rPr>
          <w:rFonts w:hint="eastAsia" w:cs="宋体"/>
          <w:sz w:val="21"/>
        </w:rPr>
        <w:t>18.2.1 发包人应依照法律规定为其在施工现场的雇用人员办理工伤保险，缴纳工伤保险费；并要求工程师及由发包人为履行合同聘请的第三方在施工现场的雇用人员依法办理工伤保险。</w:t>
      </w:r>
    </w:p>
    <w:p>
      <w:pPr>
        <w:pStyle w:val="686"/>
        <w:numPr>
          <w:ilvl w:val="0"/>
          <w:numId w:val="0"/>
        </w:numPr>
        <w:spacing w:line="400" w:lineRule="exact"/>
        <w:rPr>
          <w:rFonts w:hint="eastAsia" w:cs="宋体"/>
          <w:sz w:val="21"/>
        </w:rPr>
      </w:pPr>
      <w:r>
        <w:rPr>
          <w:rFonts w:hint="eastAsia" w:cs="宋体"/>
          <w:sz w:val="21"/>
        </w:rPr>
        <w:t>18.2.2 承包人应依照法律规定为其履行合同雇用的全部人员办理工伤保险，缴纳工伤保险费，并要求分包人及由承包人为履行合同聘请的第三方雇用的全部人员依法办理工伤保险。</w:t>
      </w:r>
    </w:p>
    <w:p>
      <w:pPr>
        <w:pStyle w:val="686"/>
        <w:numPr>
          <w:ilvl w:val="0"/>
          <w:numId w:val="0"/>
        </w:numPr>
        <w:spacing w:line="400" w:lineRule="exact"/>
        <w:rPr>
          <w:rFonts w:hint="eastAsia" w:cs="宋体"/>
          <w:sz w:val="21"/>
        </w:rPr>
      </w:pPr>
      <w:r>
        <w:rPr>
          <w:rFonts w:hint="eastAsia" w:cs="宋体"/>
          <w:sz w:val="21"/>
        </w:rPr>
        <w:t>18.2.3 发包人和承包人可以为其施工现场的全部人员办理意外伤害保险并支付保险费，包括其员工及为履行合同聘请的第三方的人员，具体事项由合同当事人在专用合同条件约定。</w:t>
      </w:r>
    </w:p>
    <w:p>
      <w:pPr>
        <w:pStyle w:val="685"/>
        <w:widowControl/>
        <w:numPr>
          <w:ilvl w:val="0"/>
          <w:numId w:val="0"/>
        </w:numPr>
        <w:spacing w:line="400" w:lineRule="exact"/>
        <w:rPr>
          <w:rFonts w:hint="eastAsia" w:ascii="宋体" w:hAnsi="宋体" w:eastAsia="宋体" w:cs="宋体"/>
          <w:b w:val="0"/>
          <w:bCs/>
          <w:sz w:val="21"/>
          <w:szCs w:val="21"/>
        </w:rPr>
      </w:pPr>
      <w:bookmarkStart w:id="1604" w:name="_Toc54862317"/>
      <w:bookmarkStart w:id="1605" w:name="_Ref3840782"/>
      <w:bookmarkStart w:id="1606" w:name="_Toc59203216"/>
      <w:r>
        <w:rPr>
          <w:rFonts w:hint="eastAsia" w:ascii="宋体" w:hAnsi="宋体" w:eastAsia="宋体" w:cs="宋体"/>
          <w:b w:val="0"/>
          <w:bCs/>
          <w:sz w:val="21"/>
          <w:szCs w:val="21"/>
        </w:rPr>
        <w:t>18.3 货物保险</w:t>
      </w:r>
      <w:bookmarkEnd w:id="1604"/>
      <w:bookmarkEnd w:id="1605"/>
      <w:bookmarkEnd w:id="1606"/>
    </w:p>
    <w:p>
      <w:pPr>
        <w:spacing w:line="400" w:lineRule="exact"/>
        <w:ind w:firstLine="600"/>
        <w:rPr>
          <w:rFonts w:hint="eastAsia" w:ascii="宋体" w:hAnsi="宋体" w:cs="宋体"/>
          <w:szCs w:val="21"/>
        </w:rPr>
      </w:pPr>
      <w:r>
        <w:rPr>
          <w:rFonts w:hint="eastAsia" w:ascii="宋体" w:hAnsi="宋体" w:cs="宋体"/>
          <w:szCs w:val="21"/>
        </w:rPr>
        <w:t>承包人应</w:t>
      </w:r>
      <w:r>
        <w:rPr>
          <w:rFonts w:hint="eastAsia" w:ascii="宋体" w:hAnsi="宋体" w:cs="宋体"/>
          <w:iCs/>
          <w:szCs w:val="21"/>
        </w:rPr>
        <w:t>按照</w:t>
      </w:r>
      <w:r>
        <w:rPr>
          <w:rFonts w:hint="eastAsia" w:ascii="宋体" w:hAnsi="宋体" w:cs="宋体"/>
          <w:szCs w:val="21"/>
        </w:rPr>
        <w:t>专用合同条件的约定为</w:t>
      </w:r>
      <w:r>
        <w:rPr>
          <w:rFonts w:hint="eastAsia" w:ascii="宋体" w:hAnsi="宋体" w:cs="宋体"/>
          <w:iCs/>
          <w:szCs w:val="21"/>
        </w:rPr>
        <w:t>运抵现场的</w:t>
      </w:r>
      <w:r>
        <w:rPr>
          <w:rFonts w:hint="eastAsia" w:ascii="宋体" w:hAnsi="宋体" w:cs="宋体"/>
          <w:szCs w:val="21"/>
        </w:rPr>
        <w:t>施工设备、材料、工程设备和临时工程等办理财产保险，保险期限自上述货物运抵现场至其不再为工程所需要为止。</w:t>
      </w:r>
    </w:p>
    <w:p>
      <w:pPr>
        <w:pStyle w:val="685"/>
        <w:widowControl/>
        <w:numPr>
          <w:ilvl w:val="0"/>
          <w:numId w:val="0"/>
        </w:numPr>
        <w:spacing w:line="400" w:lineRule="exact"/>
        <w:rPr>
          <w:rFonts w:hint="eastAsia" w:ascii="宋体" w:hAnsi="宋体" w:eastAsia="宋体" w:cs="宋体"/>
          <w:b w:val="0"/>
          <w:bCs/>
          <w:sz w:val="21"/>
          <w:szCs w:val="21"/>
        </w:rPr>
      </w:pPr>
      <w:bookmarkStart w:id="1607" w:name="_Ref4692238"/>
      <w:bookmarkStart w:id="1608" w:name="_Ref4692231"/>
      <w:bookmarkStart w:id="1609" w:name="_Toc59203217"/>
      <w:bookmarkStart w:id="1610" w:name="_Toc54862318"/>
      <w:r>
        <w:rPr>
          <w:rFonts w:hint="eastAsia" w:ascii="宋体" w:hAnsi="宋体" w:eastAsia="宋体" w:cs="宋体"/>
          <w:b w:val="0"/>
          <w:bCs/>
          <w:sz w:val="21"/>
          <w:szCs w:val="21"/>
        </w:rPr>
        <w:t>18.4 其他保险</w:t>
      </w:r>
      <w:bookmarkEnd w:id="1607"/>
      <w:bookmarkEnd w:id="1608"/>
      <w:bookmarkEnd w:id="1609"/>
      <w:bookmarkEnd w:id="1610"/>
    </w:p>
    <w:p>
      <w:pPr>
        <w:spacing w:line="400" w:lineRule="exact"/>
        <w:ind w:firstLine="600"/>
        <w:rPr>
          <w:rFonts w:hint="eastAsia" w:ascii="宋体" w:hAnsi="宋体" w:cs="宋体"/>
          <w:szCs w:val="21"/>
        </w:rPr>
      </w:pPr>
      <w:r>
        <w:rPr>
          <w:rFonts w:hint="eastAsia" w:ascii="宋体" w:hAnsi="宋体" w:cs="宋体"/>
          <w:szCs w:val="21"/>
        </w:rPr>
        <w:t>发包人应按照工程总承包模式所适用的法律法规和专用合同条件约定，投保其他保险并保持保险有效，其投保费用发包人自行承担。承包人应按照工程总承包模式所适用法律法规和专用合同条件约定投保相应保险并保持保险有效，其投</w:t>
      </w:r>
      <w:bookmarkEnd w:id="1600"/>
      <w:r>
        <w:rPr>
          <w:rFonts w:hint="eastAsia" w:ascii="宋体" w:hAnsi="宋体" w:cs="宋体"/>
          <w:szCs w:val="21"/>
        </w:rPr>
        <w:t>保费用包含在合同价格中，但在合同执行过程中，新颁布适用的法律法规规定由承包人投保的强制保险，应根据本合同</w:t>
      </w:r>
      <w:bookmarkStart w:id="1611" w:name="_Toc351203617"/>
      <w:bookmarkStart w:id="1612" w:name="_Toc296346627"/>
      <w:bookmarkStart w:id="1613" w:name="_Toc337558832"/>
      <w:bookmarkStart w:id="1614" w:name="_Toc296503126"/>
      <w:r>
        <w:rPr>
          <w:rFonts w:hint="eastAsia" w:ascii="宋体" w:hAnsi="宋体" w:cs="宋体"/>
          <w:szCs w:val="21"/>
        </w:rPr>
        <w:t>第13条[变更与调整]的约定增加合同价款。</w:t>
      </w:r>
    </w:p>
    <w:p>
      <w:pPr>
        <w:pStyle w:val="685"/>
        <w:widowControl/>
        <w:numPr>
          <w:ilvl w:val="0"/>
          <w:numId w:val="0"/>
        </w:numPr>
        <w:spacing w:line="400" w:lineRule="exact"/>
        <w:rPr>
          <w:rFonts w:hint="eastAsia" w:ascii="宋体" w:hAnsi="宋体" w:eastAsia="宋体" w:cs="宋体"/>
          <w:b w:val="0"/>
          <w:bCs/>
          <w:sz w:val="21"/>
          <w:szCs w:val="21"/>
        </w:rPr>
      </w:pPr>
      <w:bookmarkStart w:id="1615" w:name="_Toc54862319"/>
      <w:bookmarkStart w:id="1616" w:name="_Ref3840659"/>
      <w:bookmarkStart w:id="1617" w:name="_Toc59203218"/>
      <w:r>
        <w:rPr>
          <w:rFonts w:hint="eastAsia" w:ascii="宋体" w:hAnsi="宋体" w:eastAsia="宋体" w:cs="宋体"/>
          <w:b w:val="0"/>
          <w:bCs/>
          <w:sz w:val="21"/>
          <w:szCs w:val="21"/>
        </w:rPr>
        <w:t>18.5 对各项保险的一般要求</w:t>
      </w:r>
      <w:bookmarkEnd w:id="1615"/>
      <w:bookmarkEnd w:id="1616"/>
      <w:bookmarkEnd w:id="1617"/>
    </w:p>
    <w:p>
      <w:pPr>
        <w:pStyle w:val="686"/>
        <w:numPr>
          <w:ilvl w:val="0"/>
          <w:numId w:val="0"/>
        </w:numPr>
        <w:spacing w:line="400" w:lineRule="exact"/>
        <w:rPr>
          <w:rFonts w:hint="eastAsia" w:cs="宋体"/>
          <w:sz w:val="21"/>
        </w:rPr>
      </w:pPr>
      <w:r>
        <w:rPr>
          <w:rFonts w:hint="eastAsia" w:cs="宋体"/>
          <w:sz w:val="21"/>
        </w:rPr>
        <w:t>18.5.1 持续保险</w:t>
      </w:r>
    </w:p>
    <w:p>
      <w:pPr>
        <w:spacing w:line="400" w:lineRule="exact"/>
        <w:ind w:firstLine="600"/>
        <w:rPr>
          <w:rFonts w:hint="eastAsia" w:ascii="宋体" w:hAnsi="宋体" w:cs="宋体"/>
          <w:szCs w:val="21"/>
        </w:rPr>
      </w:pPr>
      <w:r>
        <w:rPr>
          <w:rFonts w:hint="eastAsia" w:ascii="宋体" w:hAnsi="宋体" w:cs="宋体"/>
          <w:szCs w:val="21"/>
        </w:rPr>
        <w:t>合同当事人应与保险人保持联系，使保险人能够随时了</w:t>
      </w:r>
      <w:bookmarkEnd w:id="1611"/>
      <w:r>
        <w:rPr>
          <w:rFonts w:hint="eastAsia" w:ascii="宋体" w:hAnsi="宋体" w:cs="宋体"/>
          <w:szCs w:val="21"/>
        </w:rPr>
        <w:t>解</w:t>
      </w:r>
      <w:bookmarkEnd w:id="1612"/>
      <w:bookmarkEnd w:id="1613"/>
      <w:bookmarkEnd w:id="1614"/>
      <w:r>
        <w:rPr>
          <w:rFonts w:hint="eastAsia" w:ascii="宋体" w:hAnsi="宋体" w:cs="宋体"/>
          <w:szCs w:val="21"/>
        </w:rPr>
        <w:t>工程实施中的变动，并确保按保险合同条款要求持续保险。</w:t>
      </w:r>
    </w:p>
    <w:p>
      <w:pPr>
        <w:pStyle w:val="686"/>
        <w:numPr>
          <w:ilvl w:val="0"/>
          <w:numId w:val="0"/>
        </w:numPr>
        <w:spacing w:line="400" w:lineRule="exact"/>
        <w:rPr>
          <w:rFonts w:hint="eastAsia" w:cs="宋体"/>
          <w:sz w:val="21"/>
        </w:rPr>
      </w:pPr>
      <w:bookmarkStart w:id="1618" w:name="_Ref4777650"/>
      <w:r>
        <w:rPr>
          <w:rFonts w:hint="eastAsia" w:cs="宋体"/>
          <w:sz w:val="21"/>
        </w:rPr>
        <w:t>18.5.2 保险凭证</w:t>
      </w:r>
      <w:bookmarkEnd w:id="1618"/>
    </w:p>
    <w:p>
      <w:pPr>
        <w:spacing w:line="400" w:lineRule="exact"/>
        <w:ind w:firstLine="600"/>
        <w:rPr>
          <w:rFonts w:hint="eastAsia" w:ascii="宋体" w:hAnsi="宋体" w:cs="宋体"/>
          <w:szCs w:val="21"/>
        </w:rPr>
      </w:pPr>
      <w:r>
        <w:rPr>
          <w:rFonts w:hint="eastAsia" w:ascii="宋体" w:hAnsi="宋体" w:cs="宋体"/>
          <w:szCs w:val="21"/>
        </w:rPr>
        <w:t>合同当事人应及时向另一方当事人提交其已投保的各项保险的凭证和保险单复印件，保险单必须与专用合同条件约定的条件保持一致。</w:t>
      </w:r>
    </w:p>
    <w:p>
      <w:pPr>
        <w:pStyle w:val="686"/>
        <w:numPr>
          <w:ilvl w:val="0"/>
          <w:numId w:val="0"/>
        </w:numPr>
        <w:spacing w:line="400" w:lineRule="exact"/>
        <w:rPr>
          <w:rFonts w:hint="eastAsia" w:cs="宋体"/>
          <w:sz w:val="21"/>
        </w:rPr>
      </w:pPr>
      <w:r>
        <w:rPr>
          <w:rFonts w:hint="eastAsia" w:cs="宋体"/>
          <w:sz w:val="21"/>
        </w:rPr>
        <w:t>18.5.3 未按约定投保的补救</w:t>
      </w:r>
    </w:p>
    <w:p>
      <w:pPr>
        <w:spacing w:line="400" w:lineRule="exact"/>
        <w:ind w:firstLine="600"/>
        <w:rPr>
          <w:rFonts w:hint="eastAsia" w:ascii="宋体" w:hAnsi="宋体" w:cs="宋体"/>
          <w:szCs w:val="21"/>
        </w:rPr>
      </w:pPr>
      <w:r>
        <w:rPr>
          <w:rFonts w:hint="eastAsia" w:ascii="宋体" w:hAnsi="宋体" w:cs="宋体"/>
          <w:szCs w:val="21"/>
        </w:rPr>
        <w:t>负有投保义务的一方当事人未按合同约定办理保险，或未能使保险持续有效的，则另一方当事人可代为办理，所需费用由负有投保义务的一方当事人承担。</w:t>
      </w:r>
    </w:p>
    <w:p>
      <w:pPr>
        <w:spacing w:line="400" w:lineRule="exact"/>
        <w:ind w:firstLine="600"/>
        <w:rPr>
          <w:rFonts w:hint="eastAsia" w:ascii="宋体" w:hAnsi="宋体" w:cs="宋体"/>
          <w:szCs w:val="21"/>
        </w:rPr>
      </w:pPr>
      <w:r>
        <w:rPr>
          <w:rFonts w:hint="eastAsia" w:ascii="宋体" w:hAnsi="宋体" w:cs="宋体"/>
          <w:szCs w:val="21"/>
        </w:rPr>
        <w:t>负有投保</w:t>
      </w:r>
      <w:bookmarkStart w:id="1619" w:name="_Toc351203619"/>
      <w:bookmarkStart w:id="1620" w:name="_Toc337558834"/>
      <w:r>
        <w:rPr>
          <w:rFonts w:hint="eastAsia" w:ascii="宋体" w:hAnsi="宋体" w:cs="宋体"/>
          <w:szCs w:val="21"/>
        </w:rPr>
        <w:t>义务的一方当事人未</w:t>
      </w:r>
      <w:bookmarkEnd w:id="1619"/>
      <w:r>
        <w:rPr>
          <w:rFonts w:hint="eastAsia" w:ascii="宋体" w:hAnsi="宋体" w:cs="宋体"/>
          <w:szCs w:val="21"/>
        </w:rPr>
        <w:t>按</w:t>
      </w:r>
      <w:bookmarkEnd w:id="1620"/>
      <w:r>
        <w:rPr>
          <w:rFonts w:hint="eastAsia" w:ascii="宋体" w:hAnsi="宋体" w:cs="宋体"/>
          <w:szCs w:val="21"/>
        </w:rPr>
        <w:t>合同约定办理某项保险，导致受益人未能得到足额赔偿的，由负有投保义务的一方当事人负责按照原应从该项保险得到的保险金数额进行补足。</w:t>
      </w:r>
    </w:p>
    <w:p>
      <w:pPr>
        <w:pStyle w:val="686"/>
        <w:numPr>
          <w:ilvl w:val="0"/>
          <w:numId w:val="0"/>
        </w:numPr>
        <w:spacing w:line="400" w:lineRule="exact"/>
        <w:rPr>
          <w:rFonts w:hint="eastAsia" w:cs="宋体"/>
          <w:sz w:val="21"/>
        </w:rPr>
      </w:pPr>
      <w:bookmarkStart w:id="1621" w:name="_Ref4692685"/>
      <w:r>
        <w:rPr>
          <w:rFonts w:hint="eastAsia" w:cs="宋体"/>
          <w:sz w:val="21"/>
        </w:rPr>
        <w:t>18.5.4 通知义务</w:t>
      </w:r>
      <w:bookmarkEnd w:id="1621"/>
    </w:p>
    <w:p>
      <w:pPr>
        <w:spacing w:line="400" w:lineRule="exact"/>
        <w:ind w:firstLine="600"/>
        <w:rPr>
          <w:rFonts w:hint="eastAsia" w:ascii="宋体" w:hAnsi="宋体" w:cs="宋体"/>
          <w:szCs w:val="21"/>
        </w:rPr>
      </w:pPr>
      <w:r>
        <w:rPr>
          <w:rFonts w:hint="eastAsia" w:ascii="宋体" w:hAnsi="宋体" w:cs="宋体"/>
          <w:szCs w:val="21"/>
        </w:rPr>
        <w:t>除专用合同条件另有约定外，任何一方当事人变更除工伤保险之外的保险合同时，应事先征得另一方当事人同意，并通知工程师。</w:t>
      </w:r>
    </w:p>
    <w:p>
      <w:pPr>
        <w:spacing w:line="400" w:lineRule="exact"/>
        <w:ind w:firstLine="600"/>
        <w:rPr>
          <w:rFonts w:hint="eastAsia" w:ascii="宋体" w:hAnsi="宋体" w:cs="宋体"/>
          <w:szCs w:val="21"/>
        </w:rPr>
      </w:pPr>
      <w:r>
        <w:rPr>
          <w:rFonts w:hint="eastAsia" w:ascii="宋体" w:hAnsi="宋体" w:cs="宋体"/>
          <w:szCs w:val="21"/>
        </w:rPr>
        <w:t>保险事故发生时，投保人应按照保险合同规定的条件和期限及时向保险人报告。发包人和承包人应当在知道保险事故发生后及时通知对方。</w:t>
      </w:r>
    </w:p>
    <w:p>
      <w:pPr>
        <w:spacing w:line="400" w:lineRule="exact"/>
        <w:ind w:firstLine="600"/>
        <w:rPr>
          <w:rFonts w:hint="eastAsia" w:ascii="宋体" w:hAnsi="宋体" w:cs="宋体"/>
          <w:szCs w:val="21"/>
        </w:rPr>
      </w:pPr>
      <w:r>
        <w:rPr>
          <w:rFonts w:hint="eastAsia" w:ascii="宋体" w:hAnsi="宋体" w:cs="宋体"/>
          <w:szCs w:val="21"/>
        </w:rPr>
        <w:t>双方按本条规定投保不减少双方在合同下的其他义务。</w:t>
      </w:r>
    </w:p>
    <w:p>
      <w:pPr>
        <w:pStyle w:val="684"/>
        <w:numPr>
          <w:ilvl w:val="0"/>
          <w:numId w:val="0"/>
        </w:numPr>
        <w:spacing w:line="400" w:lineRule="exact"/>
        <w:rPr>
          <w:rFonts w:hint="eastAsia" w:ascii="宋体" w:hAnsi="宋体" w:eastAsia="宋体" w:cs="宋体"/>
          <w:b w:val="0"/>
          <w:szCs w:val="21"/>
        </w:rPr>
      </w:pPr>
      <w:bookmarkStart w:id="1622" w:name="_Toc59203219"/>
      <w:bookmarkStart w:id="1623" w:name="_Ref11874997"/>
      <w:bookmarkStart w:id="1624" w:name="_Toc54862320"/>
      <w:r>
        <w:rPr>
          <w:rFonts w:hint="eastAsia" w:ascii="宋体" w:hAnsi="宋体" w:eastAsia="宋体" w:cs="宋体"/>
          <w:b w:val="0"/>
          <w:szCs w:val="21"/>
        </w:rPr>
        <w:t>第19条 索赔</w:t>
      </w:r>
      <w:bookmarkEnd w:id="1542"/>
      <w:bookmarkEnd w:id="1543"/>
      <w:bookmarkEnd w:id="1622"/>
      <w:bookmarkEnd w:id="1623"/>
      <w:bookmarkEnd w:id="1624"/>
      <w:r>
        <w:rPr>
          <w:rFonts w:hint="eastAsia" w:ascii="宋体" w:hAnsi="宋体" w:eastAsia="宋体" w:cs="宋体"/>
          <w:b w:val="0"/>
          <w:szCs w:val="21"/>
        </w:rPr>
        <w:t xml:space="preserve"> </w:t>
      </w:r>
    </w:p>
    <w:p>
      <w:pPr>
        <w:pStyle w:val="685"/>
        <w:widowControl/>
        <w:numPr>
          <w:ilvl w:val="0"/>
          <w:numId w:val="0"/>
        </w:numPr>
        <w:spacing w:line="400" w:lineRule="exact"/>
        <w:rPr>
          <w:rFonts w:hint="eastAsia" w:ascii="宋体" w:hAnsi="宋体" w:eastAsia="宋体" w:cs="宋体"/>
          <w:b w:val="0"/>
          <w:bCs/>
          <w:sz w:val="21"/>
          <w:szCs w:val="21"/>
        </w:rPr>
      </w:pPr>
      <w:bookmarkStart w:id="1625" w:name="_Ref4798173"/>
      <w:bookmarkStart w:id="1626" w:name="_Ref4798164"/>
      <w:bookmarkStart w:id="1627" w:name="_Toc54862321"/>
      <w:bookmarkStart w:id="1628" w:name="_Toc59203220"/>
      <w:r>
        <w:rPr>
          <w:rFonts w:hint="eastAsia" w:ascii="宋体" w:hAnsi="宋体" w:eastAsia="宋体" w:cs="宋体"/>
          <w:b w:val="0"/>
          <w:bCs/>
          <w:sz w:val="21"/>
          <w:szCs w:val="21"/>
        </w:rPr>
        <w:t>19.1 索赔</w:t>
      </w:r>
      <w:bookmarkEnd w:id="1625"/>
      <w:bookmarkEnd w:id="1626"/>
      <w:r>
        <w:rPr>
          <w:rFonts w:hint="eastAsia" w:ascii="宋体" w:hAnsi="宋体" w:eastAsia="宋体" w:cs="宋体"/>
          <w:b w:val="0"/>
          <w:bCs/>
          <w:sz w:val="21"/>
          <w:szCs w:val="21"/>
        </w:rPr>
        <w:t>的提出</w:t>
      </w:r>
      <w:bookmarkEnd w:id="1627"/>
      <w:bookmarkEnd w:id="1628"/>
    </w:p>
    <w:p>
      <w:pPr>
        <w:spacing w:line="400" w:lineRule="exact"/>
        <w:ind w:firstLine="600"/>
        <w:rPr>
          <w:rFonts w:hint="eastAsia" w:ascii="宋体" w:hAnsi="宋体" w:cs="宋体"/>
          <w:szCs w:val="21"/>
        </w:rPr>
      </w:pPr>
      <w:r>
        <w:rPr>
          <w:rFonts w:hint="eastAsia" w:ascii="宋体" w:hAnsi="宋体" w:cs="宋体"/>
          <w:szCs w:val="21"/>
        </w:rPr>
        <w:t>根据合同约定，任意一方认为有权得到追加/减少付款、延长缺陷责任期和（或）延长工期的，应按以下程序向对方提出索赔：</w:t>
      </w:r>
    </w:p>
    <w:p>
      <w:pPr>
        <w:spacing w:line="400" w:lineRule="exact"/>
        <w:ind w:firstLine="600"/>
        <w:rPr>
          <w:rFonts w:hint="eastAsia" w:ascii="宋体" w:hAnsi="宋体" w:cs="宋体"/>
          <w:szCs w:val="21"/>
        </w:rPr>
      </w:pPr>
      <w:r>
        <w:rPr>
          <w:rFonts w:hint="eastAsia" w:ascii="宋体" w:hAnsi="宋体" w:cs="宋体"/>
          <w:szCs w:val="21"/>
        </w:rPr>
        <w:t>（1） 索赔方应在知道或应当知道索赔事件发生后28天内，向对方递交索赔意向通知书，并说明发生索赔事件的事由；索赔方未在前述28天内发出索赔意向通知书的，丧失要求追加/减少付款、延长缺陷责任期和（或）延长工期的权利；</w:t>
      </w:r>
    </w:p>
    <w:p>
      <w:pPr>
        <w:spacing w:line="400" w:lineRule="exact"/>
        <w:ind w:firstLine="600"/>
        <w:rPr>
          <w:rFonts w:hint="eastAsia" w:ascii="宋体" w:hAnsi="宋体" w:cs="宋体"/>
          <w:szCs w:val="21"/>
        </w:rPr>
      </w:pPr>
      <w:r>
        <w:rPr>
          <w:rFonts w:hint="eastAsia" w:ascii="宋体" w:hAnsi="宋体" w:cs="宋体"/>
          <w:szCs w:val="21"/>
        </w:rPr>
        <w:t>（2） 索赔方应在发出索赔意向通知书后28天内，向对方正式递交索赔报告；索赔报告应详细说明索赔理由以及要求追加的付款金额、延长缺陷责任期和（或）延长的工期，并附必要的记录和证明材料；</w:t>
      </w:r>
    </w:p>
    <w:p>
      <w:pPr>
        <w:spacing w:line="400" w:lineRule="exact"/>
        <w:ind w:firstLine="600"/>
        <w:rPr>
          <w:rFonts w:hint="eastAsia" w:ascii="宋体" w:hAnsi="宋体" w:cs="宋体"/>
          <w:szCs w:val="21"/>
        </w:rPr>
      </w:pPr>
      <w:r>
        <w:rPr>
          <w:rFonts w:hint="eastAsia" w:ascii="宋体" w:hAnsi="宋体" w:cs="宋体"/>
          <w:szCs w:val="21"/>
        </w:rPr>
        <w:t>（3） 索赔事件具有持续影响的，索赔方应每月递交延续索赔通知，说明持续影响的实际情况和记录，列出累计的追加付款金额、延长缺陷责任期和（或）工期延长天数；</w:t>
      </w:r>
    </w:p>
    <w:p>
      <w:pPr>
        <w:spacing w:line="400" w:lineRule="exact"/>
        <w:ind w:firstLine="600"/>
        <w:rPr>
          <w:rFonts w:hint="eastAsia" w:ascii="宋体" w:hAnsi="宋体" w:cs="宋体"/>
          <w:szCs w:val="21"/>
        </w:rPr>
      </w:pPr>
      <w:bookmarkStart w:id="1629" w:name="_Ref4796178"/>
      <w:r>
        <w:rPr>
          <w:rFonts w:hint="eastAsia" w:ascii="宋体" w:hAnsi="宋体" w:cs="宋体"/>
          <w:szCs w:val="21"/>
        </w:rPr>
        <w:t>（4） 在索赔事件影响结束后28天内，索赔方应向对方递交最终索赔报告，说明最终要求索赔的追加付款金额、延长缺陷责任期和（或）延长的工期，并附必要的记录和证明材料。</w:t>
      </w:r>
      <w:bookmarkEnd w:id="1629"/>
    </w:p>
    <w:p>
      <w:pPr>
        <w:spacing w:line="400" w:lineRule="exact"/>
        <w:ind w:firstLine="600"/>
        <w:rPr>
          <w:rFonts w:hint="eastAsia" w:ascii="宋体" w:hAnsi="宋体" w:cs="宋体"/>
          <w:szCs w:val="21"/>
        </w:rPr>
      </w:pPr>
      <w:r>
        <w:rPr>
          <w:rFonts w:hint="eastAsia" w:ascii="宋体" w:hAnsi="宋体" w:cs="宋体"/>
          <w:szCs w:val="21"/>
        </w:rPr>
        <w:t>（5） 承包人作为索赔方时，其索赔意向通知书、索赔报告及相关索赔文件应向工程师提出；发包人作为索赔方时，其索赔意向通知书、索赔报告及相关索赔文件可自行向承包人提出或由工程师向承包人提出。</w:t>
      </w:r>
    </w:p>
    <w:p>
      <w:pPr>
        <w:pStyle w:val="685"/>
        <w:widowControl/>
        <w:numPr>
          <w:ilvl w:val="0"/>
          <w:numId w:val="0"/>
        </w:numPr>
        <w:spacing w:line="400" w:lineRule="exact"/>
        <w:rPr>
          <w:rFonts w:hint="eastAsia" w:ascii="宋体" w:hAnsi="宋体" w:eastAsia="宋体" w:cs="宋体"/>
          <w:b w:val="0"/>
          <w:bCs/>
          <w:sz w:val="21"/>
          <w:szCs w:val="21"/>
        </w:rPr>
      </w:pPr>
      <w:bookmarkStart w:id="1630" w:name="_Toc54862322"/>
      <w:bookmarkStart w:id="1631" w:name="_Ref4796254"/>
      <w:bookmarkStart w:id="1632" w:name="_Toc59203221"/>
      <w:bookmarkStart w:id="1633" w:name="_Ref4796262"/>
      <w:r>
        <w:rPr>
          <w:rFonts w:hint="eastAsia" w:ascii="宋体" w:hAnsi="宋体" w:eastAsia="宋体" w:cs="宋体"/>
          <w:b w:val="0"/>
          <w:bCs/>
          <w:sz w:val="21"/>
          <w:szCs w:val="21"/>
        </w:rPr>
        <w:t>19.2 承包人索赔的处理程序</w:t>
      </w:r>
      <w:bookmarkEnd w:id="1630"/>
      <w:bookmarkEnd w:id="1631"/>
      <w:bookmarkEnd w:id="1632"/>
      <w:bookmarkEnd w:id="1633"/>
    </w:p>
    <w:p>
      <w:pPr>
        <w:spacing w:line="400" w:lineRule="exact"/>
        <w:ind w:firstLine="600"/>
        <w:rPr>
          <w:rFonts w:hint="eastAsia" w:ascii="宋体" w:hAnsi="宋体" w:cs="宋体"/>
          <w:szCs w:val="21"/>
        </w:rPr>
      </w:pPr>
      <w:r>
        <w:rPr>
          <w:rFonts w:hint="eastAsia" w:ascii="宋体" w:hAnsi="宋体" w:cs="宋体"/>
          <w:szCs w:val="21"/>
        </w:rPr>
        <w:t>（1） 工程师收到承包人提交的索赔报告后，应及时审查索赔报告的内容、查验承包人的记录和证明材料，必要时工程师可要求承包人提交全部原始记录副本。</w:t>
      </w:r>
    </w:p>
    <w:p>
      <w:pPr>
        <w:spacing w:line="400" w:lineRule="exact"/>
        <w:ind w:firstLine="600"/>
        <w:rPr>
          <w:rFonts w:hint="eastAsia" w:ascii="宋体" w:hAnsi="宋体" w:cs="宋体"/>
          <w:szCs w:val="21"/>
        </w:rPr>
      </w:pPr>
      <w:r>
        <w:rPr>
          <w:rFonts w:hint="eastAsia" w:ascii="宋体" w:hAnsi="宋体" w:cs="宋体"/>
          <w:szCs w:val="21"/>
        </w:rPr>
        <w:t>（2） 工程师应按第3.6款[商定或确定]商定或确定追加的付款和（或）延长的工期，并在收到上述索赔报告或有关索赔的进一步证明材料后及时书面告知发包人，并在42天内，将发包人书面认可的索赔处理结果答复承包人。工程师在收到索赔报告或有关索赔的进一步证明材料后的42天内不予答复的，视为认可索赔。</w:t>
      </w:r>
    </w:p>
    <w:p>
      <w:pPr>
        <w:spacing w:line="400" w:lineRule="exact"/>
        <w:ind w:firstLine="600"/>
        <w:rPr>
          <w:rFonts w:hint="eastAsia" w:ascii="宋体" w:hAnsi="宋体" w:cs="宋体"/>
          <w:szCs w:val="21"/>
        </w:rPr>
      </w:pPr>
      <w:r>
        <w:rPr>
          <w:rFonts w:hint="eastAsia" w:ascii="宋体" w:hAnsi="宋体" w:cs="宋体"/>
          <w:szCs w:val="21"/>
        </w:rPr>
        <w:t>（3） 承包人接受索赔处理结果的，发包人应在作出索赔处理结果答复后28天内完成支付。承包人不接受索赔处理结果的，按照第20条[争议解决]约定处理。</w:t>
      </w:r>
    </w:p>
    <w:p>
      <w:pPr>
        <w:pStyle w:val="685"/>
        <w:widowControl/>
        <w:numPr>
          <w:ilvl w:val="0"/>
          <w:numId w:val="0"/>
        </w:numPr>
        <w:spacing w:line="400" w:lineRule="exact"/>
        <w:rPr>
          <w:rFonts w:hint="eastAsia" w:ascii="宋体" w:hAnsi="宋体" w:eastAsia="宋体" w:cs="宋体"/>
          <w:b w:val="0"/>
          <w:bCs/>
          <w:sz w:val="21"/>
          <w:szCs w:val="21"/>
        </w:rPr>
      </w:pPr>
      <w:bookmarkStart w:id="1634" w:name="_Toc59203222"/>
      <w:bookmarkStart w:id="1635" w:name="_Toc54862323"/>
      <w:r>
        <w:rPr>
          <w:rFonts w:hint="eastAsia" w:ascii="宋体" w:hAnsi="宋体" w:eastAsia="宋体" w:cs="宋体"/>
          <w:b w:val="0"/>
          <w:bCs/>
          <w:sz w:val="21"/>
          <w:szCs w:val="21"/>
        </w:rPr>
        <w:t>19.3 发包人索赔的处理程序</w:t>
      </w:r>
      <w:bookmarkEnd w:id="1634"/>
      <w:bookmarkEnd w:id="1635"/>
    </w:p>
    <w:p>
      <w:pPr>
        <w:spacing w:line="400" w:lineRule="exact"/>
        <w:ind w:firstLine="600"/>
        <w:rPr>
          <w:rFonts w:hint="eastAsia" w:ascii="宋体" w:hAnsi="宋体" w:cs="宋体"/>
          <w:szCs w:val="21"/>
        </w:rPr>
      </w:pPr>
      <w:r>
        <w:rPr>
          <w:rFonts w:hint="eastAsia" w:ascii="宋体" w:hAnsi="宋体" w:cs="宋体"/>
          <w:szCs w:val="21"/>
        </w:rPr>
        <w:t>（1） 承包人收到发包人提交的索赔报告后，应及时审查索赔报告的内容、查验发包人证明材料；</w:t>
      </w:r>
    </w:p>
    <w:p>
      <w:pPr>
        <w:spacing w:line="400" w:lineRule="exact"/>
        <w:ind w:firstLine="600"/>
        <w:rPr>
          <w:rFonts w:hint="eastAsia" w:ascii="宋体" w:hAnsi="宋体" w:cs="宋体"/>
          <w:szCs w:val="21"/>
        </w:rPr>
      </w:pPr>
      <w:r>
        <w:rPr>
          <w:rFonts w:hint="eastAsia" w:ascii="宋体" w:hAnsi="宋体" w:cs="宋体"/>
          <w:szCs w:val="21"/>
        </w:rPr>
        <w:t>（2） 承包人应在收到上述索赔报告或有关索赔的进一步证明材料后42天内，将索赔处理结果答复发包人。承包人在收到索赔通知书或有关索赔的进一步证明材料后的42天内不予答复的，视为认可索赔。</w:t>
      </w:r>
    </w:p>
    <w:p>
      <w:pPr>
        <w:spacing w:line="400" w:lineRule="exact"/>
        <w:ind w:firstLine="600"/>
        <w:rPr>
          <w:rFonts w:hint="eastAsia" w:ascii="宋体" w:hAnsi="宋体" w:cs="宋体"/>
          <w:szCs w:val="21"/>
        </w:rPr>
      </w:pPr>
      <w:r>
        <w:rPr>
          <w:rFonts w:hint="eastAsia" w:ascii="宋体" w:hAnsi="宋体" w:cs="宋体"/>
          <w:szCs w:val="21"/>
        </w:rPr>
        <w:t>（3） 发包人接受索赔处理结果的，发包人可从应支付给承包人的合同价款中扣除赔付的金额或延长缺陷责任期；发包人不接受索赔处理结果的，按第20条[争议解决]约定处理。</w:t>
      </w:r>
    </w:p>
    <w:p>
      <w:pPr>
        <w:pStyle w:val="685"/>
        <w:widowControl/>
        <w:numPr>
          <w:ilvl w:val="0"/>
          <w:numId w:val="0"/>
        </w:numPr>
        <w:spacing w:line="400" w:lineRule="exact"/>
        <w:rPr>
          <w:rFonts w:hint="eastAsia" w:ascii="宋体" w:hAnsi="宋体" w:eastAsia="宋体" w:cs="宋体"/>
          <w:b w:val="0"/>
          <w:bCs/>
          <w:sz w:val="21"/>
          <w:szCs w:val="21"/>
        </w:rPr>
      </w:pPr>
      <w:bookmarkStart w:id="1636" w:name="_Toc59203223"/>
      <w:bookmarkStart w:id="1637" w:name="_Toc54862324"/>
      <w:r>
        <w:rPr>
          <w:rFonts w:hint="eastAsia" w:ascii="宋体" w:hAnsi="宋体" w:eastAsia="宋体" w:cs="宋体"/>
          <w:b w:val="0"/>
          <w:bCs/>
          <w:sz w:val="21"/>
          <w:szCs w:val="21"/>
        </w:rPr>
        <w:t>19.4 提出索赔的期限</w:t>
      </w:r>
      <w:bookmarkEnd w:id="1636"/>
      <w:bookmarkEnd w:id="1637"/>
    </w:p>
    <w:p>
      <w:pPr>
        <w:spacing w:line="400" w:lineRule="exact"/>
        <w:ind w:firstLine="600"/>
        <w:rPr>
          <w:rFonts w:hint="eastAsia" w:ascii="宋体" w:hAnsi="宋体" w:cs="宋体"/>
          <w:szCs w:val="21"/>
        </w:rPr>
      </w:pPr>
      <w:r>
        <w:rPr>
          <w:rFonts w:hint="eastAsia" w:ascii="宋体" w:hAnsi="宋体" w:cs="宋体"/>
          <w:szCs w:val="21"/>
        </w:rPr>
        <w:t>（1） 承包人按第14.5款[竣工结算</w:t>
      </w:r>
      <w:bookmarkStart w:id="1638" w:name="_Ref3826634"/>
      <w:bookmarkStart w:id="1639" w:name="_Ref3826629"/>
      <w:r>
        <w:rPr>
          <w:rFonts w:hint="eastAsia" w:ascii="宋体" w:hAnsi="宋体" w:cs="宋体"/>
          <w:szCs w:val="21"/>
        </w:rPr>
        <w:t>]约定接收竣工付款证书后，应被认为已无权再提出在合同工程接收证书颁发前所发生的任何索赔。</w:t>
      </w:r>
    </w:p>
    <w:p>
      <w:pPr>
        <w:spacing w:line="400" w:lineRule="exact"/>
        <w:ind w:firstLine="600"/>
        <w:rPr>
          <w:rFonts w:hint="eastAsia" w:ascii="宋体" w:hAnsi="宋体" w:cs="宋体"/>
          <w:szCs w:val="21"/>
        </w:rPr>
      </w:pPr>
      <w:r>
        <w:rPr>
          <w:rFonts w:hint="eastAsia" w:ascii="宋体" w:hAnsi="宋体" w:cs="宋体"/>
          <w:szCs w:val="21"/>
        </w:rPr>
        <w:t>（2） 承包人按第14.7款[最终结清]提交的最终结清申请单中，只限于提出工程接收证书颁发后发生的索赔。提出索赔的期限均自接受最终结清证书时终止。</w:t>
      </w:r>
      <w:bookmarkEnd w:id="1638"/>
      <w:bookmarkEnd w:id="1639"/>
    </w:p>
    <w:p>
      <w:pPr>
        <w:pStyle w:val="684"/>
        <w:numPr>
          <w:ilvl w:val="0"/>
          <w:numId w:val="0"/>
        </w:numPr>
        <w:spacing w:line="400" w:lineRule="exact"/>
        <w:rPr>
          <w:rFonts w:hint="eastAsia" w:ascii="宋体" w:hAnsi="宋体" w:eastAsia="宋体" w:cs="宋体"/>
          <w:b w:val="0"/>
          <w:szCs w:val="21"/>
        </w:rPr>
      </w:pPr>
      <w:bookmarkStart w:id="1640" w:name="_Toc59203224"/>
      <w:bookmarkStart w:id="1641" w:name="_Ref532142075"/>
      <w:bookmarkStart w:id="1642" w:name="_Ref532197861"/>
      <w:bookmarkStart w:id="1643" w:name="_Toc54862325"/>
      <w:r>
        <w:rPr>
          <w:rFonts w:hint="eastAsia" w:ascii="宋体" w:hAnsi="宋体" w:eastAsia="宋体" w:cs="宋体"/>
          <w:b w:val="0"/>
          <w:szCs w:val="21"/>
        </w:rPr>
        <w:t>第20条 争议解决</w:t>
      </w:r>
      <w:bookmarkEnd w:id="1640"/>
      <w:bookmarkEnd w:id="1641"/>
      <w:bookmarkEnd w:id="1642"/>
      <w:bookmarkEnd w:id="1643"/>
      <w:r>
        <w:rPr>
          <w:rFonts w:hint="eastAsia" w:ascii="宋体" w:hAnsi="宋体" w:eastAsia="宋体" w:cs="宋体"/>
          <w:b w:val="0"/>
          <w:szCs w:val="21"/>
        </w:rPr>
        <w:t xml:space="preserve"> </w:t>
      </w:r>
    </w:p>
    <w:p>
      <w:pPr>
        <w:pStyle w:val="685"/>
        <w:widowControl/>
        <w:numPr>
          <w:ilvl w:val="0"/>
          <w:numId w:val="0"/>
        </w:numPr>
        <w:spacing w:line="400" w:lineRule="exact"/>
        <w:rPr>
          <w:rFonts w:hint="eastAsia" w:ascii="宋体" w:hAnsi="宋体" w:eastAsia="宋体" w:cs="宋体"/>
          <w:b w:val="0"/>
          <w:bCs/>
          <w:sz w:val="21"/>
          <w:szCs w:val="21"/>
        </w:rPr>
      </w:pPr>
      <w:bookmarkStart w:id="1644" w:name="_Ref415507198"/>
      <w:bookmarkStart w:id="1645" w:name="_Toc54862326"/>
      <w:bookmarkStart w:id="1646" w:name="_Toc59203225"/>
      <w:r>
        <w:rPr>
          <w:rFonts w:hint="eastAsia" w:ascii="宋体" w:hAnsi="宋体" w:eastAsia="宋体" w:cs="宋体"/>
          <w:b w:val="0"/>
          <w:bCs/>
          <w:sz w:val="21"/>
          <w:szCs w:val="21"/>
        </w:rPr>
        <w:t>20.1 和解</w:t>
      </w:r>
      <w:bookmarkEnd w:id="1644"/>
      <w:bookmarkEnd w:id="1645"/>
      <w:bookmarkEnd w:id="1646"/>
    </w:p>
    <w:p>
      <w:pPr>
        <w:spacing w:line="400" w:lineRule="exact"/>
        <w:ind w:firstLine="600"/>
        <w:rPr>
          <w:rFonts w:hint="eastAsia" w:ascii="宋体" w:hAnsi="宋体" w:cs="宋体"/>
          <w:szCs w:val="21"/>
        </w:rPr>
      </w:pPr>
      <w:r>
        <w:rPr>
          <w:rFonts w:hint="eastAsia" w:ascii="宋体" w:hAnsi="宋体" w:cs="宋体"/>
          <w:szCs w:val="21"/>
        </w:rPr>
        <w:t>合同当事人可以就争议自行和解，自行和解达成协议的经双方签字并盖章后作为合同补充文件，双方均应遵照执行。</w:t>
      </w:r>
    </w:p>
    <w:p>
      <w:pPr>
        <w:pStyle w:val="685"/>
        <w:widowControl/>
        <w:numPr>
          <w:ilvl w:val="0"/>
          <w:numId w:val="0"/>
        </w:numPr>
        <w:spacing w:line="400" w:lineRule="exact"/>
        <w:rPr>
          <w:rFonts w:hint="eastAsia" w:ascii="宋体" w:hAnsi="宋体" w:eastAsia="宋体" w:cs="宋体"/>
          <w:b w:val="0"/>
          <w:bCs/>
          <w:sz w:val="21"/>
          <w:szCs w:val="21"/>
        </w:rPr>
      </w:pPr>
      <w:bookmarkStart w:id="1647" w:name="_Toc59203226"/>
      <w:bookmarkStart w:id="1648" w:name="_Toc54862327"/>
      <w:r>
        <w:rPr>
          <w:rFonts w:hint="eastAsia" w:ascii="宋体" w:hAnsi="宋体" w:eastAsia="宋体" w:cs="宋体"/>
          <w:b w:val="0"/>
          <w:bCs/>
          <w:sz w:val="21"/>
          <w:szCs w:val="21"/>
        </w:rPr>
        <w:t>20.2 调解</w:t>
      </w:r>
      <w:bookmarkEnd w:id="1647"/>
      <w:bookmarkEnd w:id="1648"/>
      <w:r>
        <w:rPr>
          <w:rFonts w:hint="eastAsia" w:ascii="宋体" w:hAnsi="宋体" w:eastAsia="宋体" w:cs="宋体"/>
          <w:b w:val="0"/>
          <w:bCs/>
          <w:sz w:val="21"/>
          <w:szCs w:val="21"/>
        </w:rPr>
        <w:t xml:space="preserve"> </w:t>
      </w:r>
    </w:p>
    <w:p>
      <w:pPr>
        <w:spacing w:line="400" w:lineRule="exact"/>
        <w:ind w:firstLine="600"/>
        <w:rPr>
          <w:rFonts w:hint="eastAsia" w:ascii="宋体" w:hAnsi="宋体" w:cs="宋体"/>
          <w:szCs w:val="21"/>
        </w:rPr>
      </w:pPr>
      <w:r>
        <w:rPr>
          <w:rFonts w:hint="eastAsia" w:ascii="宋体" w:hAnsi="宋体" w:cs="宋体"/>
          <w:szCs w:val="21"/>
        </w:rPr>
        <w:t>合同当事人可以就争议请求建设行政主管部门、行业协会或其他第三方进行调解，调解达成协议的，经双方签字盖章后作为合同补充文件，双方均应遵照执行。</w:t>
      </w:r>
    </w:p>
    <w:p>
      <w:pPr>
        <w:pStyle w:val="685"/>
        <w:widowControl/>
        <w:numPr>
          <w:ilvl w:val="0"/>
          <w:numId w:val="0"/>
        </w:numPr>
        <w:spacing w:line="400" w:lineRule="exact"/>
        <w:rPr>
          <w:rFonts w:hint="eastAsia" w:ascii="宋体" w:hAnsi="宋体" w:eastAsia="宋体" w:cs="宋体"/>
          <w:b w:val="0"/>
          <w:bCs/>
          <w:sz w:val="21"/>
          <w:szCs w:val="21"/>
        </w:rPr>
      </w:pPr>
      <w:bookmarkStart w:id="1649" w:name="_Toc54862328"/>
      <w:bookmarkStart w:id="1650" w:name="_Ref532221527"/>
      <w:bookmarkStart w:id="1651" w:name="_Ref532221532"/>
      <w:bookmarkStart w:id="1652" w:name="_Toc59203227"/>
      <w:r>
        <w:rPr>
          <w:rFonts w:hint="eastAsia" w:ascii="宋体" w:hAnsi="宋体" w:eastAsia="宋体" w:cs="宋体"/>
          <w:b w:val="0"/>
          <w:bCs/>
          <w:sz w:val="21"/>
          <w:szCs w:val="21"/>
        </w:rPr>
        <w:t>20.3 争议评审</w:t>
      </w:r>
      <w:bookmarkEnd w:id="1649"/>
      <w:bookmarkEnd w:id="1650"/>
      <w:bookmarkEnd w:id="1651"/>
      <w:bookmarkEnd w:id="1652"/>
    </w:p>
    <w:p>
      <w:pPr>
        <w:spacing w:line="400" w:lineRule="exact"/>
        <w:ind w:firstLine="600"/>
        <w:rPr>
          <w:rFonts w:hint="eastAsia" w:ascii="宋体" w:hAnsi="宋体" w:cs="宋体"/>
          <w:szCs w:val="21"/>
        </w:rPr>
      </w:pPr>
      <w:r>
        <w:rPr>
          <w:rFonts w:hint="eastAsia" w:ascii="宋体" w:hAnsi="宋体" w:cs="宋体"/>
          <w:szCs w:val="21"/>
        </w:rPr>
        <w:t>合同当事人在专用合同条件中约定采取争议评审方式及评审规则解决争议的，按下列约定执行：</w:t>
      </w:r>
    </w:p>
    <w:p>
      <w:pPr>
        <w:pStyle w:val="686"/>
        <w:numPr>
          <w:ilvl w:val="0"/>
          <w:numId w:val="0"/>
        </w:numPr>
        <w:spacing w:line="400" w:lineRule="exact"/>
        <w:rPr>
          <w:rFonts w:hint="eastAsia" w:cs="宋体"/>
          <w:sz w:val="21"/>
        </w:rPr>
      </w:pPr>
      <w:r>
        <w:rPr>
          <w:rFonts w:hint="eastAsia" w:cs="宋体"/>
          <w:sz w:val="21"/>
        </w:rPr>
        <w:t>20.3.1 争议评审小组的确定</w:t>
      </w:r>
    </w:p>
    <w:p>
      <w:pPr>
        <w:spacing w:line="400" w:lineRule="exact"/>
        <w:ind w:firstLine="600"/>
        <w:rPr>
          <w:rFonts w:hint="eastAsia" w:ascii="宋体" w:hAnsi="宋体" w:cs="宋体"/>
          <w:szCs w:val="21"/>
        </w:rPr>
      </w:pPr>
      <w:r>
        <w:rPr>
          <w:rFonts w:hint="eastAsia" w:ascii="宋体" w:hAnsi="宋体" w:cs="宋体"/>
          <w:szCs w:val="21"/>
        </w:rPr>
        <w:t>合同当事人可以共同选择一名或三名争议评审员，组成争议评审小组。如专用合同条件未对成员人数进行约定，则应由三名成员组成。除专用合同条件另有约定外，合同当事人应当自合同订立后28天内，或者争议发生后14天内，选定争议评审员。</w:t>
      </w:r>
    </w:p>
    <w:p>
      <w:pPr>
        <w:spacing w:line="400" w:lineRule="exact"/>
        <w:ind w:firstLine="600"/>
        <w:rPr>
          <w:rFonts w:hint="eastAsia" w:ascii="宋体" w:hAnsi="宋体" w:cs="宋体"/>
          <w:szCs w:val="21"/>
        </w:rPr>
      </w:pPr>
      <w:r>
        <w:rPr>
          <w:rFonts w:hint="eastAsia" w:ascii="宋体" w:hAnsi="宋体" w:cs="宋体"/>
          <w:szCs w:val="21"/>
        </w:rPr>
        <w:t>选择一名争议评审员的，由合同当事人共同确定；选择三名争议评审员的，各自选定一名，第三名成员由合同当事人共同确定或由合同当事人委托已选定的争议评审员共同确定，为首席争议评审员。争议评审员为一人且合同当事人未能达成一致的，或争议评审员为三人且合同当事人就首席争议评审员未能达成一致的，由专用合同条件约定的评审机构指定。</w:t>
      </w:r>
    </w:p>
    <w:p>
      <w:pPr>
        <w:spacing w:line="400" w:lineRule="exact"/>
        <w:ind w:firstLine="600"/>
        <w:rPr>
          <w:rFonts w:hint="eastAsia" w:ascii="宋体" w:hAnsi="宋体" w:cs="宋体"/>
          <w:szCs w:val="21"/>
        </w:rPr>
      </w:pPr>
      <w:r>
        <w:rPr>
          <w:rFonts w:hint="eastAsia" w:ascii="宋体" w:hAnsi="宋体" w:cs="宋体"/>
          <w:szCs w:val="21"/>
        </w:rPr>
        <w:t>除专用合同条件另有约定外，争议评审员报酬由发包人和承包人各承担一半。</w:t>
      </w:r>
    </w:p>
    <w:p>
      <w:pPr>
        <w:pStyle w:val="686"/>
        <w:numPr>
          <w:ilvl w:val="0"/>
          <w:numId w:val="0"/>
        </w:numPr>
        <w:spacing w:line="400" w:lineRule="exact"/>
        <w:rPr>
          <w:rFonts w:hint="eastAsia" w:cs="宋体"/>
          <w:sz w:val="21"/>
        </w:rPr>
      </w:pPr>
      <w:bookmarkStart w:id="1653" w:name="_Ref532287270"/>
      <w:r>
        <w:rPr>
          <w:rFonts w:hint="eastAsia" w:cs="宋体"/>
          <w:sz w:val="21"/>
        </w:rPr>
        <w:t>20.3.2 争议的避免</w:t>
      </w:r>
      <w:bookmarkEnd w:id="1653"/>
    </w:p>
    <w:p>
      <w:pPr>
        <w:spacing w:line="400" w:lineRule="exact"/>
        <w:ind w:firstLine="600"/>
        <w:rPr>
          <w:rFonts w:hint="eastAsia" w:ascii="宋体" w:hAnsi="宋体" w:cs="宋体"/>
          <w:szCs w:val="21"/>
        </w:rPr>
      </w:pPr>
      <w:r>
        <w:rPr>
          <w:rFonts w:hint="eastAsia" w:ascii="宋体" w:hAnsi="宋体" w:cs="宋体"/>
          <w:szCs w:val="21"/>
        </w:rPr>
        <w:t>合同当事人协商一致，可以共同书面请求争议评审小组，就合同履行过程中可能出现争议的情况提供协助或进行非正式讨论，争议评审小组应给出公正的意见或建议。</w:t>
      </w:r>
    </w:p>
    <w:p>
      <w:pPr>
        <w:spacing w:line="400" w:lineRule="exact"/>
        <w:ind w:firstLine="600"/>
        <w:rPr>
          <w:rFonts w:hint="eastAsia" w:ascii="宋体" w:hAnsi="宋体" w:cs="宋体"/>
          <w:szCs w:val="21"/>
        </w:rPr>
      </w:pPr>
      <w:r>
        <w:rPr>
          <w:rFonts w:hint="eastAsia" w:ascii="宋体" w:hAnsi="宋体" w:cs="宋体"/>
          <w:szCs w:val="21"/>
        </w:rPr>
        <w:t>此类协助或非正式讨论可在任何会议、施工现场视察或其他场合进行，并且除专用合同条件另有约定外，发包人和承包人均应出席。</w:t>
      </w:r>
    </w:p>
    <w:p>
      <w:pPr>
        <w:spacing w:line="400" w:lineRule="exact"/>
        <w:ind w:firstLine="600"/>
        <w:rPr>
          <w:rFonts w:hint="eastAsia" w:ascii="宋体" w:hAnsi="宋体" w:cs="宋体"/>
          <w:szCs w:val="21"/>
        </w:rPr>
      </w:pPr>
      <w:r>
        <w:rPr>
          <w:rFonts w:hint="eastAsia" w:ascii="宋体" w:hAnsi="宋体" w:cs="宋体"/>
          <w:szCs w:val="21"/>
        </w:rPr>
        <w:t>争议评审小组在此类非正式讨论上给出的任何意见或建议，无论是口头还是书面的，对发包人和承包人不具有约束力，争议评审小组在之后的争议评审程序或决定中也不受此类意见或建议的约束。</w:t>
      </w:r>
    </w:p>
    <w:p>
      <w:pPr>
        <w:pStyle w:val="686"/>
        <w:numPr>
          <w:ilvl w:val="0"/>
          <w:numId w:val="0"/>
        </w:numPr>
        <w:spacing w:line="400" w:lineRule="exact"/>
        <w:rPr>
          <w:rFonts w:hint="eastAsia" w:cs="宋体"/>
          <w:sz w:val="21"/>
        </w:rPr>
      </w:pPr>
      <w:bookmarkStart w:id="1654" w:name="_Ref4695594"/>
      <w:r>
        <w:rPr>
          <w:rFonts w:hint="eastAsia" w:cs="宋体"/>
          <w:sz w:val="21"/>
        </w:rPr>
        <w:t>20.3.3 争议评审小组的决定</w:t>
      </w:r>
      <w:bookmarkEnd w:id="1654"/>
    </w:p>
    <w:p>
      <w:pPr>
        <w:spacing w:line="400" w:lineRule="exact"/>
        <w:ind w:firstLine="600"/>
        <w:rPr>
          <w:rFonts w:hint="eastAsia" w:ascii="宋体" w:hAnsi="宋体" w:cs="宋体"/>
          <w:szCs w:val="21"/>
        </w:rPr>
      </w:pPr>
      <w:r>
        <w:rPr>
          <w:rFonts w:hint="eastAsia" w:ascii="宋体" w:hAnsi="宋体" w:cs="宋体"/>
          <w:szCs w:val="21"/>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或争议评审小组建议并经双方同意的其他期限内作出书面决定，并说明理由。合同当事人可以在专用合同条件中对本项事项另行约定。</w:t>
      </w:r>
    </w:p>
    <w:p>
      <w:pPr>
        <w:pStyle w:val="686"/>
        <w:numPr>
          <w:ilvl w:val="0"/>
          <w:numId w:val="0"/>
        </w:numPr>
        <w:spacing w:line="400" w:lineRule="exact"/>
        <w:rPr>
          <w:rFonts w:hint="eastAsia" w:cs="宋体"/>
          <w:sz w:val="21"/>
        </w:rPr>
      </w:pPr>
      <w:r>
        <w:rPr>
          <w:rFonts w:hint="eastAsia" w:cs="宋体"/>
          <w:sz w:val="21"/>
        </w:rPr>
        <w:t>20.3.4 争议评审小组决定的效力</w:t>
      </w:r>
    </w:p>
    <w:p>
      <w:pPr>
        <w:spacing w:line="400" w:lineRule="exact"/>
        <w:ind w:firstLine="600"/>
        <w:rPr>
          <w:rFonts w:hint="eastAsia" w:ascii="宋体" w:hAnsi="宋体" w:cs="宋体"/>
          <w:szCs w:val="21"/>
        </w:rPr>
      </w:pPr>
      <w:r>
        <w:rPr>
          <w:rFonts w:hint="eastAsia" w:ascii="宋体" w:hAnsi="宋体" w:cs="宋体"/>
          <w:szCs w:val="21"/>
        </w:rPr>
        <w:t>争议评审小组作出的书面决定经合同当事人签字确认后，对双方具有约束力，双方应遵照执行。</w:t>
      </w:r>
    </w:p>
    <w:p>
      <w:pPr>
        <w:spacing w:line="400" w:lineRule="exact"/>
        <w:ind w:firstLine="600"/>
        <w:rPr>
          <w:rFonts w:hint="eastAsia" w:ascii="宋体" w:hAnsi="宋体" w:cs="宋体"/>
          <w:szCs w:val="21"/>
        </w:rPr>
      </w:pPr>
      <w:r>
        <w:rPr>
          <w:rFonts w:hint="eastAsia" w:ascii="宋体" w:hAnsi="宋体" w:cs="宋体"/>
          <w:szCs w:val="21"/>
        </w:rPr>
        <w:t>任何一方当事人不接受争议评审小组决定或不履行争议评审小组决定的，双方可选择采用其他争议解决方式。</w:t>
      </w:r>
    </w:p>
    <w:p>
      <w:pPr>
        <w:spacing w:line="400" w:lineRule="exact"/>
        <w:ind w:firstLine="600"/>
        <w:rPr>
          <w:rFonts w:hint="eastAsia" w:ascii="宋体" w:hAnsi="宋体" w:cs="宋体"/>
          <w:szCs w:val="21"/>
        </w:rPr>
      </w:pPr>
      <w:r>
        <w:rPr>
          <w:rFonts w:hint="eastAsia" w:ascii="宋体" w:hAnsi="宋体" w:cs="宋体"/>
          <w:szCs w:val="21"/>
        </w:rPr>
        <w:t>任何一方当事人不接受争议评审小组的决定，并不影响暂时执行争议评审小组的决定，直到在后续的采用其他争议解决方式中对争议评审小组的决定进行了改变。</w:t>
      </w:r>
    </w:p>
    <w:p>
      <w:pPr>
        <w:pStyle w:val="685"/>
        <w:widowControl/>
        <w:numPr>
          <w:ilvl w:val="0"/>
          <w:numId w:val="0"/>
        </w:numPr>
        <w:spacing w:line="400" w:lineRule="exact"/>
        <w:rPr>
          <w:rFonts w:hint="eastAsia" w:ascii="宋体" w:hAnsi="宋体" w:eastAsia="宋体" w:cs="宋体"/>
          <w:b w:val="0"/>
          <w:bCs/>
          <w:sz w:val="21"/>
          <w:szCs w:val="21"/>
        </w:rPr>
      </w:pPr>
      <w:bookmarkStart w:id="1655" w:name="_Toc59203228"/>
      <w:bookmarkStart w:id="1656" w:name="_Ref532221752"/>
      <w:bookmarkStart w:id="1657" w:name="_Toc54862329"/>
      <w:bookmarkStart w:id="1658" w:name="_Ref532221748"/>
      <w:r>
        <w:rPr>
          <w:rFonts w:hint="eastAsia" w:ascii="宋体" w:hAnsi="宋体" w:eastAsia="宋体" w:cs="宋体"/>
          <w:b w:val="0"/>
          <w:bCs/>
          <w:sz w:val="21"/>
          <w:szCs w:val="21"/>
        </w:rPr>
        <w:t>20.4 仲裁或诉讼</w:t>
      </w:r>
      <w:bookmarkEnd w:id="1655"/>
      <w:bookmarkEnd w:id="1656"/>
      <w:bookmarkEnd w:id="1657"/>
      <w:bookmarkEnd w:id="1658"/>
    </w:p>
    <w:p>
      <w:pPr>
        <w:spacing w:line="400" w:lineRule="exact"/>
        <w:ind w:firstLine="600"/>
        <w:rPr>
          <w:rFonts w:hint="eastAsia" w:ascii="宋体" w:hAnsi="宋体" w:cs="宋体"/>
          <w:szCs w:val="21"/>
        </w:rPr>
      </w:pPr>
      <w:r>
        <w:rPr>
          <w:rFonts w:hint="eastAsia" w:ascii="宋体" w:hAnsi="宋体" w:cs="宋体"/>
          <w:szCs w:val="21"/>
        </w:rPr>
        <w:t>因合同及合同有关事项产生的争议，合同当事人可以在专用合同条件中约定以下一种方式解决争议：</w:t>
      </w:r>
    </w:p>
    <w:p>
      <w:pPr>
        <w:pStyle w:val="688"/>
        <w:numPr>
          <w:ilvl w:val="0"/>
          <w:numId w:val="0"/>
        </w:numPr>
        <w:spacing w:line="400" w:lineRule="exact"/>
        <w:ind w:left="841"/>
        <w:rPr>
          <w:rFonts w:hint="eastAsia" w:ascii="宋体" w:hAnsi="宋体" w:cs="宋体"/>
          <w:szCs w:val="21"/>
        </w:rPr>
      </w:pPr>
      <w:r>
        <w:rPr>
          <w:rFonts w:hint="eastAsia" w:ascii="宋体" w:hAnsi="宋体" w:cs="宋体"/>
          <w:szCs w:val="21"/>
        </w:rPr>
        <w:t>（1） 向约定的仲裁委员会申请仲裁；</w:t>
      </w:r>
    </w:p>
    <w:p>
      <w:pPr>
        <w:pStyle w:val="688"/>
        <w:numPr>
          <w:ilvl w:val="0"/>
          <w:numId w:val="0"/>
        </w:numPr>
        <w:spacing w:line="400" w:lineRule="exact"/>
        <w:ind w:left="841"/>
        <w:rPr>
          <w:rFonts w:hint="eastAsia" w:ascii="宋体" w:hAnsi="宋体" w:cs="宋体"/>
          <w:szCs w:val="21"/>
        </w:rPr>
      </w:pPr>
      <w:r>
        <w:rPr>
          <w:rFonts w:hint="eastAsia" w:ascii="宋体" w:hAnsi="宋体" w:cs="宋体"/>
          <w:szCs w:val="21"/>
        </w:rPr>
        <w:t>（2） 向有管辖权的人民法院起诉。</w:t>
      </w:r>
    </w:p>
    <w:p>
      <w:pPr>
        <w:pStyle w:val="685"/>
        <w:widowControl/>
        <w:numPr>
          <w:ilvl w:val="0"/>
          <w:numId w:val="0"/>
        </w:numPr>
        <w:spacing w:line="400" w:lineRule="exact"/>
        <w:rPr>
          <w:rFonts w:hint="eastAsia" w:ascii="宋体" w:hAnsi="宋体" w:eastAsia="宋体" w:cs="宋体"/>
          <w:b w:val="0"/>
          <w:bCs/>
          <w:sz w:val="21"/>
          <w:szCs w:val="21"/>
        </w:rPr>
      </w:pPr>
      <w:bookmarkStart w:id="1659" w:name="_Toc54862330"/>
      <w:bookmarkStart w:id="1660" w:name="_Toc59203229"/>
      <w:r>
        <w:rPr>
          <w:rFonts w:hint="eastAsia" w:ascii="宋体" w:hAnsi="宋体" w:eastAsia="宋体" w:cs="宋体"/>
          <w:b w:val="0"/>
          <w:bCs/>
          <w:sz w:val="21"/>
          <w:szCs w:val="21"/>
        </w:rPr>
        <w:t>20.5 争议解决条款效力</w:t>
      </w:r>
      <w:bookmarkEnd w:id="1659"/>
      <w:bookmarkEnd w:id="1660"/>
    </w:p>
    <w:p>
      <w:pPr>
        <w:spacing w:line="400" w:lineRule="exact"/>
        <w:ind w:firstLine="600"/>
        <w:rPr>
          <w:rFonts w:hint="eastAsia" w:ascii="宋体" w:hAnsi="宋体" w:cs="宋体"/>
          <w:szCs w:val="21"/>
        </w:rPr>
      </w:pPr>
      <w:r>
        <w:rPr>
          <w:rFonts w:hint="eastAsia" w:ascii="宋体" w:hAnsi="宋体" w:cs="宋体"/>
          <w:szCs w:val="21"/>
        </w:rPr>
        <w:t>合同有关争议解决的条款独立存在，合同的不生效、无效、被撤销或者终止的，不影响合同中有关争议解决条款的效力。</w:t>
      </w:r>
    </w:p>
    <w:p>
      <w:pPr>
        <w:spacing w:line="400" w:lineRule="exact"/>
      </w:pPr>
      <w:r>
        <w:rPr>
          <w:rFonts w:hint="eastAsia" w:ascii="宋体" w:hAnsi="宋体" w:cs="宋体"/>
          <w:szCs w:val="21"/>
        </w:rPr>
        <w:br w:type="page"/>
      </w:r>
    </w:p>
    <w:p>
      <w:pPr>
        <w:pStyle w:val="3"/>
        <w:jc w:val="center"/>
        <w:rPr>
          <w:sz w:val="30"/>
          <w:szCs w:val="30"/>
        </w:rPr>
      </w:pPr>
      <w:bookmarkStart w:id="1661" w:name="_Toc54862331"/>
      <w:bookmarkStart w:id="1662" w:name="_Toc59203230"/>
      <w:r>
        <w:rPr>
          <w:rFonts w:hint="eastAsia"/>
          <w:sz w:val="30"/>
          <w:szCs w:val="30"/>
        </w:rPr>
        <w:t>第三部分</w:t>
      </w:r>
      <w:r>
        <w:rPr>
          <w:sz w:val="30"/>
          <w:szCs w:val="30"/>
        </w:rPr>
        <w:t xml:space="preserve"> </w:t>
      </w:r>
      <w:r>
        <w:rPr>
          <w:rFonts w:hint="eastAsia"/>
          <w:sz w:val="30"/>
          <w:szCs w:val="30"/>
        </w:rPr>
        <w:t>专用合同条件</w:t>
      </w:r>
      <w:bookmarkEnd w:id="1661"/>
      <w:bookmarkEnd w:id="1662"/>
    </w:p>
    <w:p>
      <w:pPr>
        <w:pStyle w:val="690"/>
        <w:spacing w:line="400" w:lineRule="exact"/>
        <w:rPr>
          <w:rFonts w:hint="eastAsia" w:cs="宋体"/>
          <w:b w:val="0"/>
          <w:color w:val="000000"/>
          <w:szCs w:val="21"/>
        </w:rPr>
      </w:pPr>
      <w:bookmarkStart w:id="1663" w:name="_Toc59203231"/>
      <w:bookmarkStart w:id="1664" w:name="_Toc54862332"/>
      <w:r>
        <w:rPr>
          <w:rFonts w:hint="eastAsia" w:cs="宋体"/>
          <w:b w:val="0"/>
          <w:color w:val="000000"/>
          <w:szCs w:val="21"/>
        </w:rPr>
        <w:t>第1条 一般约定</w:t>
      </w:r>
      <w:bookmarkEnd w:id="1663"/>
      <w:bookmarkEnd w:id="1664"/>
    </w:p>
    <w:p>
      <w:pPr>
        <w:spacing w:line="400" w:lineRule="exact"/>
        <w:ind w:firstLine="600"/>
        <w:rPr>
          <w:rFonts w:hint="eastAsia" w:ascii="宋体" w:hAnsi="宋体" w:cs="宋体"/>
          <w:color w:val="000000"/>
          <w:szCs w:val="21"/>
        </w:rPr>
      </w:pPr>
      <w:r>
        <w:rPr>
          <w:rFonts w:hint="eastAsia" w:ascii="宋体" w:hAnsi="宋体" w:cs="宋体"/>
          <w:color w:val="000000"/>
          <w:szCs w:val="21"/>
        </w:rPr>
        <w:t>1.1 词语定义和解释</w:t>
      </w:r>
    </w:p>
    <w:p>
      <w:pPr>
        <w:spacing w:line="400" w:lineRule="exact"/>
        <w:ind w:firstLine="600"/>
        <w:rPr>
          <w:rFonts w:hint="eastAsia" w:ascii="宋体" w:hAnsi="宋体" w:cs="宋体"/>
          <w:color w:val="000000"/>
          <w:szCs w:val="21"/>
        </w:rPr>
      </w:pPr>
      <w:r>
        <w:rPr>
          <w:rFonts w:hint="eastAsia" w:ascii="宋体" w:hAnsi="宋体" w:cs="宋体"/>
          <w:color w:val="000000"/>
          <w:szCs w:val="21"/>
        </w:rPr>
        <w:t>1.1.1 合同</w:t>
      </w:r>
    </w:p>
    <w:p>
      <w:pPr>
        <w:spacing w:line="400" w:lineRule="exact"/>
        <w:ind w:firstLine="600"/>
        <w:rPr>
          <w:rFonts w:hint="eastAsia" w:ascii="宋体" w:hAnsi="宋体" w:cs="宋体"/>
          <w:color w:val="000000"/>
          <w:szCs w:val="21"/>
        </w:rPr>
      </w:pPr>
      <w:r>
        <w:rPr>
          <w:rFonts w:hint="eastAsia" w:ascii="宋体" w:hAnsi="宋体" w:cs="宋体"/>
          <w:color w:val="000000"/>
          <w:szCs w:val="21"/>
        </w:rPr>
        <w:t>1.1.1.10 其他合同文件：</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1.1.3 工程和设备</w:t>
      </w:r>
    </w:p>
    <w:p>
      <w:pPr>
        <w:spacing w:line="400" w:lineRule="exact"/>
        <w:ind w:firstLine="600"/>
        <w:rPr>
          <w:rFonts w:hint="eastAsia" w:ascii="宋体" w:hAnsi="宋体" w:cs="宋体"/>
          <w:color w:val="000000"/>
          <w:szCs w:val="21"/>
        </w:rPr>
      </w:pPr>
      <w:r>
        <w:rPr>
          <w:rFonts w:hint="eastAsia" w:ascii="宋体" w:hAnsi="宋体" w:cs="宋体"/>
          <w:color w:val="000000"/>
          <w:szCs w:val="21"/>
        </w:rPr>
        <w:t>1.1.3.5 单位/区段工程的范围：</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1.1.3.9 作为施工场所组成部分的其他场所包括：</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1.1.3.10 永久占地包括：</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1.1.3.11 临时占地包括：</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1.2 语言文字</w:t>
      </w:r>
    </w:p>
    <w:p>
      <w:pPr>
        <w:spacing w:line="400" w:lineRule="exact"/>
        <w:ind w:firstLine="600"/>
        <w:rPr>
          <w:rFonts w:hint="eastAsia" w:ascii="宋体" w:hAnsi="宋体" w:cs="宋体"/>
          <w:color w:val="000000"/>
          <w:szCs w:val="21"/>
        </w:rPr>
      </w:pPr>
      <w:r>
        <w:rPr>
          <w:rFonts w:hint="eastAsia" w:ascii="宋体" w:hAnsi="宋体" w:cs="宋体"/>
          <w:color w:val="000000"/>
          <w:szCs w:val="21"/>
        </w:rPr>
        <w:t>本合同除使用汉语外，还使用</w:t>
      </w:r>
      <w:r>
        <w:rPr>
          <w:rFonts w:hint="eastAsia" w:ascii="宋体" w:hAnsi="宋体" w:cs="宋体"/>
          <w:color w:val="000000"/>
          <w:szCs w:val="21"/>
          <w:u w:val="single"/>
        </w:rPr>
        <w:t xml:space="preserve">                    </w:t>
      </w:r>
      <w:r>
        <w:rPr>
          <w:rFonts w:hint="eastAsia" w:ascii="宋体" w:hAnsi="宋体" w:cs="宋体"/>
          <w:color w:val="000000"/>
          <w:szCs w:val="21"/>
        </w:rPr>
        <w:t>语言。</w:t>
      </w:r>
    </w:p>
    <w:p>
      <w:pPr>
        <w:spacing w:line="400" w:lineRule="exact"/>
        <w:ind w:firstLine="600"/>
        <w:rPr>
          <w:rFonts w:hint="eastAsia" w:ascii="宋体" w:hAnsi="宋体" w:cs="宋体"/>
          <w:color w:val="000000"/>
          <w:szCs w:val="21"/>
        </w:rPr>
      </w:pPr>
      <w:r>
        <w:rPr>
          <w:rFonts w:hint="eastAsia" w:ascii="宋体" w:hAnsi="宋体" w:cs="宋体"/>
          <w:color w:val="000000"/>
          <w:szCs w:val="21"/>
        </w:rPr>
        <w:t>1.3 法律</w:t>
      </w:r>
    </w:p>
    <w:p>
      <w:pPr>
        <w:spacing w:line="400" w:lineRule="exact"/>
        <w:ind w:firstLine="600"/>
        <w:rPr>
          <w:rFonts w:hint="eastAsia" w:ascii="宋体" w:hAnsi="宋体" w:cs="宋体"/>
          <w:color w:val="000000"/>
          <w:szCs w:val="21"/>
        </w:rPr>
      </w:pPr>
      <w:r>
        <w:rPr>
          <w:rFonts w:hint="eastAsia" w:ascii="宋体" w:hAnsi="宋体" w:cs="宋体"/>
          <w:color w:val="000000"/>
          <w:szCs w:val="21"/>
        </w:rPr>
        <w:t>适用于合同的其他规范性文件：</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1.4 标准和规范</w:t>
      </w:r>
    </w:p>
    <w:p>
      <w:pPr>
        <w:spacing w:line="400" w:lineRule="exact"/>
        <w:ind w:firstLine="600"/>
        <w:rPr>
          <w:rFonts w:hint="eastAsia" w:ascii="宋体" w:hAnsi="宋体" w:cs="宋体"/>
          <w:color w:val="000000"/>
          <w:szCs w:val="21"/>
        </w:rPr>
      </w:pPr>
      <w:r>
        <w:rPr>
          <w:rFonts w:hint="eastAsia" w:ascii="宋体" w:hAnsi="宋体" w:cs="宋体"/>
          <w:color w:val="000000"/>
          <w:szCs w:val="21"/>
        </w:rPr>
        <w:t>1.4.1 适用于本合同的标准、规范（名称）包括：</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1.4.2 发包人提供的国外标准、规范的名称：</w:t>
      </w:r>
      <w:r>
        <w:rPr>
          <w:rFonts w:hint="eastAsia" w:ascii="宋体" w:hAnsi="宋体" w:cs="宋体"/>
          <w:color w:val="000000"/>
          <w:szCs w:val="21"/>
          <w:u w:val="single"/>
        </w:rPr>
        <w:t xml:space="preserve">          </w:t>
      </w:r>
      <w:r>
        <w:rPr>
          <w:rFonts w:hint="eastAsia" w:ascii="宋体" w:hAnsi="宋体" w:cs="宋体"/>
          <w:color w:val="000000"/>
          <w:szCs w:val="21"/>
        </w:rPr>
        <w:t>；发包人提供的国外标准、规范的份数：</w:t>
      </w:r>
      <w:r>
        <w:rPr>
          <w:rFonts w:hint="eastAsia" w:ascii="宋体" w:hAnsi="宋体" w:cs="宋体"/>
          <w:color w:val="000000"/>
          <w:szCs w:val="21"/>
          <w:u w:val="single"/>
        </w:rPr>
        <w:t xml:space="preserve">           </w:t>
      </w:r>
      <w:r>
        <w:rPr>
          <w:rFonts w:hint="eastAsia" w:ascii="宋体" w:hAnsi="宋体" w:cs="宋体"/>
          <w:color w:val="000000"/>
          <w:szCs w:val="21"/>
        </w:rPr>
        <w:t>；发包人提供的国外标准、规范的时间：</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1.4.3 没有成文规范、标准规定的约定：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1.4.4 发包人对于工程的技术标准、功能要求：</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1.5 合同文件的优先顺序</w:t>
      </w:r>
    </w:p>
    <w:p>
      <w:pPr>
        <w:spacing w:line="400" w:lineRule="exact"/>
        <w:ind w:firstLine="600"/>
        <w:rPr>
          <w:rFonts w:hint="eastAsia" w:ascii="宋体" w:hAnsi="宋体" w:cs="宋体"/>
          <w:color w:val="000000"/>
          <w:szCs w:val="21"/>
        </w:rPr>
      </w:pPr>
      <w:r>
        <w:rPr>
          <w:rFonts w:hint="eastAsia" w:ascii="宋体" w:hAnsi="宋体" w:cs="宋体"/>
          <w:color w:val="000000"/>
          <w:szCs w:val="21"/>
        </w:rPr>
        <w:t>合同文件组成及优先顺序为：</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1.6 文件的提供和照管</w:t>
      </w:r>
    </w:p>
    <w:p>
      <w:pPr>
        <w:spacing w:line="400" w:lineRule="exact"/>
        <w:ind w:firstLine="600"/>
        <w:rPr>
          <w:rFonts w:hint="eastAsia" w:ascii="宋体" w:hAnsi="宋体" w:cs="宋体"/>
          <w:color w:val="000000"/>
          <w:szCs w:val="21"/>
        </w:rPr>
      </w:pPr>
      <w:r>
        <w:rPr>
          <w:rFonts w:hint="eastAsia" w:ascii="宋体" w:hAnsi="宋体" w:cs="宋体"/>
          <w:color w:val="000000"/>
          <w:szCs w:val="21"/>
        </w:rPr>
        <w:t>1.6.1 发包人文件的提供</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发包人文件的提供期限、名称、数量和形式：</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1.6.2 承包人文件的提供</w:t>
      </w:r>
    </w:p>
    <w:p>
      <w:pPr>
        <w:spacing w:line="400" w:lineRule="exact"/>
        <w:ind w:firstLine="600"/>
        <w:rPr>
          <w:rFonts w:hint="eastAsia" w:ascii="宋体" w:hAnsi="宋体" w:cs="宋体"/>
          <w:color w:val="000000"/>
          <w:szCs w:val="21"/>
        </w:rPr>
      </w:pPr>
      <w:r>
        <w:rPr>
          <w:rFonts w:hint="eastAsia" w:ascii="宋体" w:hAnsi="宋体" w:cs="宋体"/>
          <w:color w:val="000000"/>
          <w:szCs w:val="21"/>
        </w:rPr>
        <w:t>承包人文件的内容、提供期限、名称、数量和形式：</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1.6.4 文件的照管</w:t>
      </w:r>
    </w:p>
    <w:p>
      <w:pPr>
        <w:spacing w:line="400" w:lineRule="exact"/>
        <w:ind w:firstLine="600"/>
        <w:rPr>
          <w:rFonts w:hint="eastAsia" w:ascii="宋体" w:hAnsi="宋体" w:cs="宋体"/>
          <w:color w:val="000000"/>
          <w:szCs w:val="21"/>
        </w:rPr>
      </w:pPr>
      <w:r>
        <w:rPr>
          <w:rFonts w:hint="eastAsia" w:ascii="宋体" w:hAnsi="宋体" w:cs="宋体"/>
          <w:color w:val="000000"/>
          <w:szCs w:val="21"/>
        </w:rPr>
        <w:t>关于现场文件准备的约定：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1.7 联络</w:t>
      </w:r>
    </w:p>
    <w:p>
      <w:pPr>
        <w:spacing w:line="400" w:lineRule="exact"/>
        <w:ind w:firstLine="600"/>
        <w:rPr>
          <w:rFonts w:hint="eastAsia" w:ascii="宋体" w:hAnsi="宋体" w:cs="宋体"/>
          <w:color w:val="000000"/>
          <w:szCs w:val="21"/>
        </w:rPr>
      </w:pPr>
      <w:r>
        <w:rPr>
          <w:rFonts w:hint="eastAsia" w:ascii="宋体" w:hAnsi="宋体" w:cs="宋体"/>
          <w:color w:val="000000"/>
          <w:szCs w:val="21"/>
        </w:rPr>
        <w:t>1.7.2 发包人指定的送达方式（包括电子传输方式）：</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发包人的送达地址：</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 xml:space="preserve">承包人指定的送达方式（包括电子传输方式）： </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承包人的送达地址：</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1.10 知识产权</w:t>
      </w:r>
    </w:p>
    <w:p>
      <w:pPr>
        <w:spacing w:line="400" w:lineRule="exact"/>
        <w:ind w:firstLine="600"/>
        <w:rPr>
          <w:rFonts w:hint="eastAsia" w:ascii="宋体" w:hAnsi="宋体" w:cs="宋体"/>
          <w:color w:val="000000"/>
          <w:szCs w:val="21"/>
        </w:rPr>
      </w:pPr>
      <w:r>
        <w:rPr>
          <w:rFonts w:hint="eastAsia" w:ascii="宋体" w:hAnsi="宋体" w:cs="宋体"/>
          <w:color w:val="000000"/>
          <w:szCs w:val="21"/>
        </w:rPr>
        <w:t>1.10.1 由发包人（或以发包人名义）编制的《发包人要求》和其他文件的著作权归属：</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1.10.2 由承包人（或以承包人名义）为实施工程所编制的文件、承包人完成的设计工作成果和建造完成的建筑物的知识产权归属：</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1.10.4 承包人在投标文件中采用的专利、专有技术、技术秘密的使用费的承担方式</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1.11 保密</w:t>
      </w:r>
    </w:p>
    <w:p>
      <w:pPr>
        <w:spacing w:line="400" w:lineRule="exact"/>
        <w:ind w:firstLine="600"/>
        <w:rPr>
          <w:rFonts w:hint="eastAsia" w:ascii="宋体" w:hAnsi="宋体" w:cs="宋体"/>
          <w:color w:val="000000"/>
          <w:szCs w:val="21"/>
        </w:rPr>
      </w:pPr>
      <w:r>
        <w:rPr>
          <w:rFonts w:hint="eastAsia" w:ascii="宋体" w:hAnsi="宋体" w:cs="宋体"/>
          <w:color w:val="000000"/>
          <w:szCs w:val="21"/>
        </w:rPr>
        <w:t>双方订立的商业保密协议（名称）：</w:t>
      </w:r>
      <w:r>
        <w:rPr>
          <w:rFonts w:hint="eastAsia" w:ascii="宋体" w:hAnsi="宋体" w:cs="宋体"/>
          <w:color w:val="000000"/>
          <w:szCs w:val="21"/>
          <w:u w:val="single"/>
        </w:rPr>
        <w:t xml:space="preserve">              </w:t>
      </w:r>
      <w:r>
        <w:rPr>
          <w:rFonts w:hint="eastAsia" w:ascii="宋体" w:hAnsi="宋体" w:cs="宋体"/>
          <w:color w:val="000000"/>
          <w:szCs w:val="21"/>
        </w:rPr>
        <w:t>，作为本合同附件。</w:t>
      </w:r>
    </w:p>
    <w:p>
      <w:pPr>
        <w:spacing w:line="400" w:lineRule="exact"/>
        <w:ind w:firstLine="600"/>
        <w:rPr>
          <w:rFonts w:hint="eastAsia" w:ascii="宋体" w:hAnsi="宋体" w:cs="宋体"/>
          <w:color w:val="000000"/>
          <w:szCs w:val="21"/>
        </w:rPr>
      </w:pPr>
      <w:r>
        <w:rPr>
          <w:rFonts w:hint="eastAsia" w:ascii="宋体" w:hAnsi="宋体" w:cs="宋体"/>
          <w:color w:val="000000"/>
          <w:szCs w:val="21"/>
        </w:rPr>
        <w:t>双方订立的技术保密协议（名称）：</w:t>
      </w:r>
      <w:r>
        <w:rPr>
          <w:rFonts w:hint="eastAsia" w:ascii="宋体" w:hAnsi="宋体" w:cs="宋体"/>
          <w:color w:val="000000"/>
          <w:szCs w:val="21"/>
          <w:u w:val="single"/>
        </w:rPr>
        <w:t xml:space="preserve">             </w:t>
      </w:r>
      <w:r>
        <w:rPr>
          <w:rFonts w:hint="eastAsia" w:ascii="宋体" w:hAnsi="宋体" w:cs="宋体"/>
          <w:color w:val="000000"/>
          <w:szCs w:val="21"/>
        </w:rPr>
        <w:t>，作为本合同附件。</w:t>
      </w:r>
    </w:p>
    <w:p>
      <w:pPr>
        <w:spacing w:line="400" w:lineRule="exact"/>
        <w:ind w:firstLine="600"/>
        <w:rPr>
          <w:rFonts w:hint="eastAsia" w:ascii="宋体" w:hAnsi="宋体" w:cs="宋体"/>
          <w:color w:val="000000"/>
          <w:szCs w:val="21"/>
        </w:rPr>
      </w:pPr>
      <w:r>
        <w:rPr>
          <w:rFonts w:hint="eastAsia" w:ascii="宋体" w:hAnsi="宋体" w:cs="宋体"/>
          <w:color w:val="000000"/>
          <w:szCs w:val="21"/>
        </w:rPr>
        <w:t>1.13 责任限制</w:t>
      </w:r>
    </w:p>
    <w:p>
      <w:pPr>
        <w:spacing w:line="400" w:lineRule="exact"/>
        <w:ind w:firstLine="600"/>
        <w:rPr>
          <w:rFonts w:hint="eastAsia" w:ascii="宋体" w:hAnsi="宋体" w:cs="宋体"/>
          <w:color w:val="000000"/>
          <w:szCs w:val="21"/>
        </w:rPr>
      </w:pPr>
      <w:r>
        <w:rPr>
          <w:rFonts w:hint="eastAsia" w:ascii="宋体" w:hAnsi="宋体" w:cs="宋体"/>
          <w:color w:val="000000"/>
          <w:szCs w:val="21"/>
        </w:rPr>
        <w:t>承包人对发包人赔偿责任的最高限额为</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1.14 建筑信息模型技术的应用</w:t>
      </w:r>
    </w:p>
    <w:p>
      <w:pPr>
        <w:spacing w:line="400" w:lineRule="exact"/>
        <w:ind w:firstLine="600"/>
        <w:rPr>
          <w:rFonts w:hint="eastAsia" w:ascii="宋体" w:hAnsi="宋体" w:cs="宋体"/>
          <w:color w:val="000000"/>
          <w:szCs w:val="21"/>
        </w:rPr>
      </w:pPr>
      <w:r>
        <w:rPr>
          <w:rFonts w:hint="eastAsia" w:ascii="宋体" w:hAnsi="宋体" w:cs="宋体"/>
          <w:color w:val="000000"/>
          <w:szCs w:val="21"/>
        </w:rPr>
        <w:t>关于建筑信息模型技术的开发、使用、存储、传输、交付及费用约定如下：</w:t>
      </w:r>
      <w:r>
        <w:rPr>
          <w:rFonts w:hint="eastAsia" w:ascii="宋体" w:hAnsi="宋体" w:cs="宋体"/>
          <w:color w:val="000000"/>
          <w:szCs w:val="21"/>
          <w:u w:val="single"/>
        </w:rPr>
        <w:t xml:space="preserve">                                        </w:t>
      </w:r>
      <w:r>
        <w:rPr>
          <w:rFonts w:hint="eastAsia" w:ascii="宋体" w:hAnsi="宋体" w:cs="宋体"/>
          <w:color w:val="000000"/>
          <w:szCs w:val="21"/>
        </w:rPr>
        <w:t>。</w:t>
      </w:r>
    </w:p>
    <w:p>
      <w:pPr>
        <w:pStyle w:val="690"/>
        <w:spacing w:line="400" w:lineRule="exact"/>
        <w:rPr>
          <w:rFonts w:hint="eastAsia" w:cs="宋体"/>
          <w:b w:val="0"/>
          <w:color w:val="000000"/>
          <w:szCs w:val="21"/>
        </w:rPr>
      </w:pPr>
      <w:bookmarkStart w:id="1665" w:name="_Toc59203232"/>
      <w:bookmarkStart w:id="1666" w:name="_Toc54862333"/>
      <w:r>
        <w:rPr>
          <w:rFonts w:hint="eastAsia" w:cs="宋体"/>
          <w:b w:val="0"/>
          <w:color w:val="000000"/>
          <w:szCs w:val="21"/>
        </w:rPr>
        <w:t>第2条 发包人</w:t>
      </w:r>
      <w:bookmarkEnd w:id="1665"/>
      <w:bookmarkEnd w:id="1666"/>
    </w:p>
    <w:p>
      <w:pPr>
        <w:spacing w:line="400" w:lineRule="exact"/>
        <w:ind w:firstLine="600"/>
        <w:rPr>
          <w:rFonts w:hint="eastAsia" w:ascii="宋体" w:hAnsi="宋体" w:cs="宋体"/>
          <w:color w:val="000000"/>
          <w:szCs w:val="21"/>
        </w:rPr>
      </w:pPr>
      <w:r>
        <w:rPr>
          <w:rFonts w:hint="eastAsia" w:ascii="宋体" w:hAnsi="宋体" w:cs="宋体"/>
          <w:color w:val="000000"/>
          <w:szCs w:val="21"/>
        </w:rPr>
        <w:t>2.2 提供施工现场和工作条件</w:t>
      </w:r>
    </w:p>
    <w:p>
      <w:pPr>
        <w:spacing w:line="400" w:lineRule="exact"/>
        <w:ind w:firstLine="600"/>
        <w:rPr>
          <w:rFonts w:hint="eastAsia" w:ascii="宋体" w:hAnsi="宋体" w:cs="宋体"/>
          <w:color w:val="000000"/>
          <w:szCs w:val="21"/>
        </w:rPr>
      </w:pPr>
      <w:r>
        <w:rPr>
          <w:rFonts w:hint="eastAsia" w:ascii="宋体" w:hAnsi="宋体" w:cs="宋体"/>
          <w:color w:val="000000"/>
          <w:szCs w:val="21"/>
        </w:rPr>
        <w:t>2.2.1 提供施工现场</w:t>
      </w:r>
    </w:p>
    <w:p>
      <w:pPr>
        <w:spacing w:line="400" w:lineRule="exact"/>
        <w:ind w:firstLine="600"/>
        <w:rPr>
          <w:rFonts w:hint="eastAsia" w:ascii="宋体" w:hAnsi="宋体" w:cs="宋体"/>
          <w:color w:val="000000"/>
          <w:szCs w:val="21"/>
        </w:rPr>
      </w:pPr>
      <w:r>
        <w:rPr>
          <w:rFonts w:hint="eastAsia" w:ascii="宋体" w:hAnsi="宋体" w:cs="宋体"/>
          <w:color w:val="000000"/>
          <w:szCs w:val="21"/>
        </w:rPr>
        <w:t>关于发包人提供施工现场的范围和期限：</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2.2.2 提供工作条件</w:t>
      </w:r>
    </w:p>
    <w:p>
      <w:pPr>
        <w:spacing w:line="400" w:lineRule="exact"/>
        <w:ind w:firstLine="600"/>
        <w:rPr>
          <w:rFonts w:hint="eastAsia" w:ascii="宋体" w:hAnsi="宋体" w:cs="宋体"/>
          <w:color w:val="000000"/>
          <w:szCs w:val="21"/>
        </w:rPr>
      </w:pPr>
      <w:r>
        <w:rPr>
          <w:rFonts w:hint="eastAsia" w:ascii="宋体" w:hAnsi="宋体" w:cs="宋体"/>
          <w:color w:val="000000"/>
          <w:szCs w:val="21"/>
        </w:rPr>
        <w:t>关于发包人应负责提供的工作条件包括：</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2.3 提供基础资料</w:t>
      </w:r>
    </w:p>
    <w:p>
      <w:pPr>
        <w:spacing w:line="400" w:lineRule="exact"/>
        <w:ind w:firstLine="600"/>
        <w:rPr>
          <w:rFonts w:hint="eastAsia" w:ascii="宋体" w:hAnsi="宋体" w:cs="宋体"/>
          <w:color w:val="000000"/>
          <w:szCs w:val="21"/>
        </w:rPr>
      </w:pPr>
      <w:r>
        <w:rPr>
          <w:rFonts w:hint="eastAsia" w:ascii="宋体" w:hAnsi="宋体" w:cs="宋体"/>
          <w:color w:val="000000"/>
          <w:szCs w:val="21"/>
        </w:rPr>
        <w:t>关于发包人应提供的基础资料的范围和期限：</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2.5 支付合同价款</w:t>
      </w:r>
    </w:p>
    <w:p>
      <w:pPr>
        <w:spacing w:line="400" w:lineRule="exact"/>
        <w:ind w:firstLine="600"/>
        <w:rPr>
          <w:rFonts w:hint="eastAsia" w:ascii="宋体" w:hAnsi="宋体" w:cs="宋体"/>
          <w:color w:val="000000"/>
          <w:szCs w:val="21"/>
        </w:rPr>
      </w:pPr>
      <w:r>
        <w:rPr>
          <w:rFonts w:hint="eastAsia" w:ascii="宋体" w:hAnsi="宋体" w:cs="宋体"/>
          <w:color w:val="000000"/>
          <w:szCs w:val="21"/>
        </w:rPr>
        <w:t>2.5.2 发包人提供资金来源证明及资金安排的期限要求：</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2.5.3 发包人提供支付担保的形式、期限、金额（或比例）：</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2.7 其他义务</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发包人应履行的其他义务：</w:t>
      </w:r>
      <w:r>
        <w:rPr>
          <w:rFonts w:hint="eastAsia" w:ascii="宋体" w:hAnsi="宋体" w:cs="宋体"/>
          <w:color w:val="000000"/>
          <w:szCs w:val="21"/>
          <w:u w:val="single"/>
        </w:rPr>
        <w:t xml:space="preserve">                           </w:t>
      </w:r>
      <w:r>
        <w:rPr>
          <w:rFonts w:hint="eastAsia" w:ascii="宋体" w:hAnsi="宋体" w:cs="宋体"/>
          <w:color w:val="000000"/>
          <w:szCs w:val="21"/>
        </w:rPr>
        <w:t>。</w:t>
      </w:r>
    </w:p>
    <w:p>
      <w:pPr>
        <w:pStyle w:val="690"/>
        <w:spacing w:line="400" w:lineRule="exact"/>
        <w:rPr>
          <w:rFonts w:hint="eastAsia" w:cs="宋体"/>
          <w:b w:val="0"/>
          <w:color w:val="000000"/>
          <w:szCs w:val="21"/>
        </w:rPr>
      </w:pPr>
      <w:bookmarkStart w:id="1667" w:name="_Toc54862334"/>
      <w:bookmarkStart w:id="1668" w:name="_Toc59203233"/>
      <w:r>
        <w:rPr>
          <w:rFonts w:hint="eastAsia" w:cs="宋体"/>
          <w:b w:val="0"/>
          <w:color w:val="000000"/>
          <w:szCs w:val="21"/>
        </w:rPr>
        <w:t>第3条 发包人的管理</w:t>
      </w:r>
      <w:bookmarkEnd w:id="1667"/>
      <w:bookmarkEnd w:id="1668"/>
    </w:p>
    <w:p>
      <w:pPr>
        <w:spacing w:line="400" w:lineRule="exact"/>
        <w:ind w:firstLine="640"/>
        <w:rPr>
          <w:rFonts w:hint="eastAsia" w:ascii="宋体" w:hAnsi="宋体" w:cs="宋体"/>
          <w:color w:val="000000"/>
          <w:szCs w:val="21"/>
        </w:rPr>
      </w:pPr>
      <w:r>
        <w:rPr>
          <w:rFonts w:hint="eastAsia" w:ascii="宋体" w:hAnsi="宋体" w:cs="宋体"/>
          <w:color w:val="000000"/>
          <w:szCs w:val="21"/>
        </w:rPr>
        <w:t>3.1 发包人代表</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发包人代表的姓名：</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发包人代表的身份证号：</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发包人代表的职务：</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发包人代表的联系电话：</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发包人代表的电子邮箱：</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发包人代表的通信地址：</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发包人对发包人代表的授权范围如下：</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发包人代表的职责：</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40"/>
        <w:rPr>
          <w:rFonts w:hint="eastAsia" w:ascii="宋体" w:hAnsi="宋体" w:cs="宋体"/>
          <w:color w:val="000000"/>
          <w:szCs w:val="21"/>
        </w:rPr>
      </w:pPr>
      <w:r>
        <w:rPr>
          <w:rFonts w:hint="eastAsia" w:ascii="宋体" w:hAnsi="宋体" w:cs="宋体"/>
          <w:color w:val="000000"/>
          <w:szCs w:val="21"/>
        </w:rPr>
        <w:t>3.2 发包人人员</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发包人人员姓名：</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发包人人员职务：</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发包人人员职责：</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40"/>
        <w:rPr>
          <w:rFonts w:hint="eastAsia" w:ascii="宋体" w:hAnsi="宋体" w:cs="宋体"/>
          <w:color w:val="000000"/>
          <w:szCs w:val="21"/>
        </w:rPr>
      </w:pPr>
      <w:r>
        <w:rPr>
          <w:rFonts w:hint="eastAsia" w:ascii="宋体" w:hAnsi="宋体" w:cs="宋体"/>
          <w:color w:val="000000"/>
          <w:szCs w:val="21"/>
        </w:rPr>
        <w:t>3.3 工程师</w:t>
      </w:r>
    </w:p>
    <w:p>
      <w:pPr>
        <w:spacing w:line="400" w:lineRule="exact"/>
        <w:ind w:firstLine="600"/>
        <w:rPr>
          <w:rFonts w:hint="eastAsia" w:ascii="宋体" w:hAnsi="宋体" w:cs="宋体"/>
          <w:color w:val="000000"/>
          <w:szCs w:val="21"/>
        </w:rPr>
      </w:pPr>
      <w:r>
        <w:rPr>
          <w:rFonts w:hint="eastAsia" w:ascii="宋体" w:hAnsi="宋体" w:cs="宋体"/>
          <w:color w:val="000000"/>
          <w:szCs w:val="21"/>
        </w:rPr>
        <w:t>3.3.1 工程师名称：</w:t>
      </w:r>
      <w:r>
        <w:rPr>
          <w:rFonts w:hint="eastAsia" w:ascii="宋体" w:hAnsi="宋体" w:cs="宋体"/>
          <w:color w:val="000000"/>
          <w:szCs w:val="21"/>
          <w:u w:val="single"/>
        </w:rPr>
        <w:t xml:space="preserve">                          </w:t>
      </w:r>
      <w:r>
        <w:rPr>
          <w:rFonts w:hint="eastAsia" w:ascii="宋体" w:hAnsi="宋体" w:cs="宋体"/>
          <w:color w:val="000000"/>
          <w:szCs w:val="21"/>
        </w:rPr>
        <w:t>；工程师监督管理范围、内容：</w:t>
      </w:r>
      <w:r>
        <w:rPr>
          <w:rFonts w:hint="eastAsia" w:ascii="宋体" w:hAnsi="宋体" w:cs="宋体"/>
          <w:color w:val="000000"/>
          <w:szCs w:val="21"/>
          <w:u w:val="single"/>
        </w:rPr>
        <w:t xml:space="preserve">                          </w:t>
      </w:r>
      <w:r>
        <w:rPr>
          <w:rFonts w:hint="eastAsia" w:ascii="宋体" w:hAnsi="宋体" w:cs="宋体"/>
          <w:color w:val="000000"/>
          <w:szCs w:val="21"/>
        </w:rPr>
        <w:t>；工程师权限：</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40"/>
        <w:rPr>
          <w:rFonts w:hint="eastAsia" w:ascii="宋体" w:hAnsi="宋体" w:cs="宋体"/>
          <w:color w:val="000000"/>
          <w:szCs w:val="21"/>
        </w:rPr>
      </w:pPr>
      <w:r>
        <w:rPr>
          <w:rFonts w:hint="eastAsia" w:ascii="宋体" w:hAnsi="宋体" w:cs="宋体"/>
          <w:color w:val="000000"/>
          <w:szCs w:val="21"/>
        </w:rPr>
        <w:t>3.6 商定或确定</w:t>
      </w:r>
    </w:p>
    <w:p>
      <w:pPr>
        <w:spacing w:line="400" w:lineRule="exact"/>
        <w:ind w:firstLine="600"/>
        <w:rPr>
          <w:rFonts w:hint="eastAsia" w:ascii="宋体" w:hAnsi="宋体" w:cs="宋体"/>
          <w:color w:val="000000"/>
          <w:szCs w:val="21"/>
        </w:rPr>
      </w:pPr>
      <w:r>
        <w:rPr>
          <w:rFonts w:hint="eastAsia" w:ascii="宋体" w:hAnsi="宋体" w:cs="宋体"/>
          <w:color w:val="000000"/>
          <w:szCs w:val="21"/>
        </w:rPr>
        <w:t>3.6.2 关于商定时间限制的具体约定：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3.6.3 关于商定或确定效力的具体约定：</w:t>
      </w:r>
      <w:r>
        <w:rPr>
          <w:rFonts w:hint="eastAsia" w:ascii="宋体" w:hAnsi="宋体" w:cs="宋体"/>
          <w:color w:val="000000"/>
          <w:szCs w:val="21"/>
          <w:u w:val="single"/>
        </w:rPr>
        <w:t xml:space="preserve">               </w:t>
      </w:r>
      <w:r>
        <w:rPr>
          <w:rFonts w:hint="eastAsia" w:ascii="宋体" w:hAnsi="宋体" w:cs="宋体"/>
          <w:color w:val="000000"/>
          <w:szCs w:val="21"/>
        </w:rPr>
        <w:t>；关于对工程师的确定提出异议的具体约定：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40"/>
        <w:rPr>
          <w:rFonts w:hint="eastAsia" w:ascii="宋体" w:hAnsi="宋体" w:cs="宋体"/>
          <w:color w:val="000000"/>
          <w:szCs w:val="21"/>
        </w:rPr>
      </w:pPr>
      <w:r>
        <w:rPr>
          <w:rFonts w:hint="eastAsia" w:ascii="宋体" w:hAnsi="宋体" w:cs="宋体"/>
          <w:color w:val="000000"/>
          <w:szCs w:val="21"/>
        </w:rPr>
        <w:t>3.7 会议</w:t>
      </w:r>
    </w:p>
    <w:p>
      <w:pPr>
        <w:spacing w:line="400" w:lineRule="exact"/>
        <w:ind w:firstLine="600"/>
        <w:rPr>
          <w:rFonts w:hint="eastAsia" w:ascii="宋体" w:hAnsi="宋体" w:cs="宋体"/>
          <w:color w:val="000000"/>
          <w:szCs w:val="21"/>
        </w:rPr>
      </w:pPr>
      <w:r>
        <w:rPr>
          <w:rFonts w:hint="eastAsia" w:ascii="宋体" w:hAnsi="宋体" w:cs="宋体"/>
          <w:color w:val="000000"/>
          <w:szCs w:val="21"/>
        </w:rPr>
        <w:t>3.7.1 关于召开会议的具体约定：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3.7.2 关于保存和提供会议纪要的具体约定：</w:t>
      </w:r>
      <w:r>
        <w:rPr>
          <w:rFonts w:hint="eastAsia" w:ascii="宋体" w:hAnsi="宋体" w:cs="宋体"/>
          <w:color w:val="000000"/>
          <w:szCs w:val="21"/>
          <w:u w:val="single"/>
        </w:rPr>
        <w:t xml:space="preserve">          </w:t>
      </w:r>
      <w:r>
        <w:rPr>
          <w:rFonts w:hint="eastAsia" w:ascii="宋体" w:hAnsi="宋体" w:cs="宋体"/>
          <w:color w:val="000000"/>
          <w:szCs w:val="21"/>
        </w:rPr>
        <w:t>。</w:t>
      </w:r>
    </w:p>
    <w:p>
      <w:pPr>
        <w:pStyle w:val="690"/>
        <w:spacing w:line="400" w:lineRule="exact"/>
        <w:rPr>
          <w:rFonts w:hint="eastAsia" w:cs="宋体"/>
          <w:b w:val="0"/>
          <w:color w:val="000000"/>
          <w:szCs w:val="21"/>
        </w:rPr>
      </w:pPr>
      <w:bookmarkStart w:id="1669" w:name="_Toc54862335"/>
      <w:bookmarkStart w:id="1670" w:name="_Toc59203234"/>
      <w:r>
        <w:rPr>
          <w:rFonts w:hint="eastAsia" w:cs="宋体"/>
          <w:b w:val="0"/>
          <w:color w:val="000000"/>
          <w:szCs w:val="21"/>
        </w:rPr>
        <w:t>第4条 承包人</w:t>
      </w:r>
      <w:bookmarkEnd w:id="1669"/>
      <w:bookmarkEnd w:id="1670"/>
    </w:p>
    <w:p>
      <w:pPr>
        <w:spacing w:line="400" w:lineRule="exact"/>
        <w:ind w:firstLine="600"/>
        <w:rPr>
          <w:rFonts w:hint="eastAsia" w:ascii="宋体" w:hAnsi="宋体" w:cs="宋体"/>
          <w:color w:val="000000"/>
          <w:szCs w:val="21"/>
        </w:rPr>
      </w:pPr>
      <w:r>
        <w:rPr>
          <w:rFonts w:hint="eastAsia" w:ascii="宋体" w:hAnsi="宋体" w:cs="宋体"/>
          <w:color w:val="000000"/>
          <w:szCs w:val="21"/>
        </w:rPr>
        <w:t>4.1 承包人的一般义务</w:t>
      </w:r>
    </w:p>
    <w:p>
      <w:pPr>
        <w:spacing w:line="400" w:lineRule="exact"/>
        <w:ind w:firstLine="600"/>
        <w:rPr>
          <w:rFonts w:hint="eastAsia" w:ascii="宋体" w:hAnsi="宋体" w:cs="宋体"/>
          <w:color w:val="000000"/>
          <w:szCs w:val="21"/>
        </w:rPr>
      </w:pPr>
      <w:r>
        <w:rPr>
          <w:rFonts w:hint="eastAsia" w:ascii="宋体" w:hAnsi="宋体" w:cs="宋体"/>
          <w:color w:val="000000"/>
          <w:szCs w:val="21"/>
        </w:rPr>
        <w:t>承包人应履行的其他义务：</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4.2 履约担保</w:t>
      </w:r>
    </w:p>
    <w:p>
      <w:pPr>
        <w:spacing w:line="400" w:lineRule="exact"/>
        <w:ind w:firstLine="600"/>
        <w:rPr>
          <w:rFonts w:hint="eastAsia" w:ascii="宋体" w:hAnsi="宋体" w:cs="宋体"/>
          <w:color w:val="000000"/>
          <w:szCs w:val="21"/>
        </w:rPr>
      </w:pPr>
      <w:r>
        <w:rPr>
          <w:rFonts w:hint="eastAsia" w:ascii="宋体" w:hAnsi="宋体" w:cs="宋体"/>
          <w:color w:val="000000"/>
          <w:szCs w:val="21"/>
        </w:rPr>
        <w:t>承包人是否提供履约担保：</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履约担保的方式、金额及期限:</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420" w:firstLineChars="200"/>
        <w:rPr>
          <w:rFonts w:hint="eastAsia" w:ascii="宋体" w:hAnsi="宋体" w:cs="宋体"/>
          <w:color w:val="000000"/>
          <w:szCs w:val="21"/>
          <w:u w:val="single"/>
        </w:rPr>
      </w:pPr>
      <w:r>
        <w:rPr>
          <w:rFonts w:hint="eastAsia" w:ascii="宋体" w:hAnsi="宋体" w:cs="宋体"/>
          <w:color w:val="000000"/>
          <w:szCs w:val="21"/>
          <w:u w:val="single"/>
        </w:rPr>
        <w:t>履约担保、预付款担保、支付担保格式具体详见附件6、附件7、附件8。</w:t>
      </w:r>
    </w:p>
    <w:p>
      <w:pPr>
        <w:spacing w:line="400" w:lineRule="exact"/>
        <w:ind w:firstLine="600"/>
        <w:rPr>
          <w:rFonts w:hint="eastAsia" w:ascii="宋体" w:hAnsi="宋体" w:cs="宋体"/>
          <w:color w:val="000000"/>
          <w:szCs w:val="21"/>
        </w:rPr>
      </w:pPr>
      <w:r>
        <w:rPr>
          <w:rFonts w:hint="eastAsia" w:ascii="宋体" w:hAnsi="宋体" w:cs="宋体"/>
          <w:color w:val="000000"/>
          <w:szCs w:val="21"/>
        </w:rPr>
        <w:t>4.3 工程总承包项目经理</w:t>
      </w:r>
    </w:p>
    <w:p>
      <w:pPr>
        <w:spacing w:line="400" w:lineRule="exact"/>
        <w:ind w:firstLine="600"/>
        <w:rPr>
          <w:rFonts w:hint="eastAsia" w:ascii="宋体" w:hAnsi="宋体" w:cs="宋体"/>
          <w:color w:val="000000"/>
          <w:szCs w:val="21"/>
        </w:rPr>
      </w:pPr>
      <w:r>
        <w:rPr>
          <w:rFonts w:hint="eastAsia" w:ascii="宋体" w:hAnsi="宋体" w:cs="宋体"/>
          <w:color w:val="000000"/>
          <w:szCs w:val="21"/>
        </w:rPr>
        <w:t>4.3.1 工程总承包项目经理姓名：</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执业资格或职称类型：</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执业资格证或职称证号码：</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联系电话：</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电子邮箱：</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通信地址：</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承包人未提交劳动合同，以及没有为工程总承包项目经理缴纳社会保险证明的违约责任：</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4.3.2 工程总承包项目经理每月在现场的时间要求：</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工程总承包项目经理未经批准擅自离开施工现场的违约责任：</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4.3.3 承包人对工程总承包项目经理的授权范围:</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4.3.4 承包人擅自更换工程总承包项目经理的违约责任：</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4.3.5 承包人无正当理由拒绝更换工程总承包项目经理的违约责任:</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4.4 承包人人员</w:t>
      </w:r>
    </w:p>
    <w:p>
      <w:pPr>
        <w:spacing w:line="400" w:lineRule="exact"/>
        <w:ind w:firstLine="600"/>
        <w:rPr>
          <w:rFonts w:hint="eastAsia" w:ascii="宋体" w:hAnsi="宋体" w:cs="宋体"/>
          <w:color w:val="000000"/>
          <w:szCs w:val="21"/>
        </w:rPr>
      </w:pPr>
      <w:r>
        <w:rPr>
          <w:rFonts w:hint="eastAsia" w:ascii="宋体" w:hAnsi="宋体" w:cs="宋体"/>
          <w:color w:val="000000"/>
          <w:szCs w:val="21"/>
        </w:rPr>
        <w:t>4.4.1 人员安排</w:t>
      </w:r>
    </w:p>
    <w:p>
      <w:pPr>
        <w:spacing w:line="400" w:lineRule="exact"/>
        <w:ind w:firstLine="600"/>
        <w:rPr>
          <w:rFonts w:hint="eastAsia" w:ascii="宋体" w:hAnsi="宋体" w:cs="宋体"/>
          <w:color w:val="000000"/>
          <w:szCs w:val="21"/>
        </w:rPr>
      </w:pPr>
      <w:r>
        <w:rPr>
          <w:rFonts w:hint="eastAsia" w:ascii="宋体" w:hAnsi="宋体" w:cs="宋体"/>
          <w:color w:val="000000"/>
          <w:szCs w:val="21"/>
        </w:rPr>
        <w:t>承包人提交项目管理机构及施工现场人员安排的报告的期限：</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承包人提交关键人员信息及注册执业资格等证明其具备担任关键人员能力的相关文件的期限：</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4.4.2 关键人员更换</w:t>
      </w:r>
    </w:p>
    <w:p>
      <w:pPr>
        <w:spacing w:line="400" w:lineRule="exact"/>
        <w:ind w:firstLine="600"/>
        <w:rPr>
          <w:rFonts w:hint="eastAsia" w:ascii="宋体" w:hAnsi="宋体" w:cs="宋体"/>
          <w:color w:val="000000"/>
          <w:szCs w:val="21"/>
        </w:rPr>
      </w:pPr>
      <w:r>
        <w:rPr>
          <w:rFonts w:hint="eastAsia" w:ascii="宋体" w:hAnsi="宋体" w:cs="宋体"/>
          <w:color w:val="000000"/>
          <w:szCs w:val="21"/>
        </w:rPr>
        <w:t>承包人擅自更换关键人员的违约责任：</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承包人无正当理由拒绝撤换关键人员的违约责任：</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4.4.3 现场管理关键人员在岗要求</w:t>
      </w:r>
    </w:p>
    <w:p>
      <w:pPr>
        <w:spacing w:line="400" w:lineRule="exact"/>
        <w:ind w:firstLine="600"/>
        <w:rPr>
          <w:rFonts w:hint="eastAsia" w:ascii="宋体" w:hAnsi="宋体" w:cs="宋体"/>
          <w:color w:val="000000"/>
          <w:szCs w:val="21"/>
        </w:rPr>
      </w:pPr>
      <w:r>
        <w:rPr>
          <w:rFonts w:hint="eastAsia" w:ascii="宋体" w:hAnsi="宋体" w:cs="宋体"/>
          <w:color w:val="000000"/>
          <w:szCs w:val="21"/>
        </w:rPr>
        <w:t>承包人现场管理关键人员离开施工现场的批准要求：</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承包人现场管理关键人员擅自离开施工现场的违约责任：</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4.5 分包</w:t>
      </w:r>
    </w:p>
    <w:p>
      <w:pPr>
        <w:spacing w:line="400" w:lineRule="exact"/>
        <w:ind w:firstLine="600"/>
        <w:rPr>
          <w:rFonts w:hint="eastAsia" w:ascii="宋体" w:hAnsi="宋体" w:cs="宋体"/>
          <w:color w:val="000000"/>
          <w:szCs w:val="21"/>
        </w:rPr>
      </w:pPr>
      <w:r>
        <w:rPr>
          <w:rFonts w:hint="eastAsia" w:ascii="宋体" w:hAnsi="宋体" w:cs="宋体"/>
          <w:color w:val="000000"/>
          <w:szCs w:val="21"/>
        </w:rPr>
        <w:t>4.5.1 一般约定</w:t>
      </w:r>
    </w:p>
    <w:p>
      <w:pPr>
        <w:spacing w:line="400" w:lineRule="exact"/>
        <w:ind w:firstLine="600"/>
        <w:rPr>
          <w:rFonts w:hint="eastAsia" w:ascii="宋体" w:hAnsi="宋体" w:cs="宋体"/>
          <w:color w:val="000000"/>
          <w:szCs w:val="21"/>
        </w:rPr>
      </w:pPr>
      <w:r>
        <w:rPr>
          <w:rFonts w:hint="eastAsia" w:ascii="宋体" w:hAnsi="宋体" w:cs="宋体"/>
          <w:color w:val="000000"/>
          <w:szCs w:val="21"/>
        </w:rPr>
        <w:t>禁止分包的工程包括：</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4.5.2 分包的确定</w:t>
      </w:r>
    </w:p>
    <w:p>
      <w:pPr>
        <w:spacing w:line="400" w:lineRule="exact"/>
        <w:ind w:firstLine="600"/>
        <w:rPr>
          <w:rFonts w:hint="eastAsia" w:ascii="宋体" w:hAnsi="宋体" w:cs="宋体"/>
          <w:color w:val="000000"/>
          <w:szCs w:val="21"/>
        </w:rPr>
      </w:pPr>
      <w:r>
        <w:rPr>
          <w:rFonts w:hint="eastAsia" w:ascii="宋体" w:hAnsi="宋体" w:cs="宋体"/>
          <w:color w:val="000000"/>
          <w:szCs w:val="21"/>
        </w:rPr>
        <w:t>允许分包的工程包括：</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其他关于分包的约定：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4.5.5 分包合同价款支付</w:t>
      </w:r>
    </w:p>
    <w:p>
      <w:pPr>
        <w:spacing w:line="400" w:lineRule="exact"/>
        <w:ind w:firstLine="600"/>
        <w:rPr>
          <w:rFonts w:hint="eastAsia" w:ascii="宋体" w:hAnsi="宋体" w:cs="宋体"/>
          <w:color w:val="000000"/>
          <w:szCs w:val="21"/>
        </w:rPr>
      </w:pPr>
      <w:r>
        <w:rPr>
          <w:rFonts w:hint="eastAsia" w:ascii="宋体" w:hAnsi="宋体" w:cs="宋体"/>
          <w:color w:val="000000"/>
          <w:szCs w:val="21"/>
        </w:rPr>
        <w:t>关于分包合同价款支付的约定：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4.6 联合体</w:t>
      </w:r>
    </w:p>
    <w:p>
      <w:pPr>
        <w:spacing w:line="400" w:lineRule="exact"/>
        <w:ind w:firstLine="600"/>
        <w:rPr>
          <w:rFonts w:hint="eastAsia" w:ascii="宋体" w:hAnsi="宋体" w:cs="宋体"/>
          <w:color w:val="000000"/>
          <w:szCs w:val="21"/>
        </w:rPr>
      </w:pPr>
      <w:r>
        <w:rPr>
          <w:rFonts w:hint="eastAsia" w:ascii="宋体" w:hAnsi="宋体" w:cs="宋体"/>
          <w:color w:val="000000"/>
          <w:szCs w:val="21"/>
        </w:rPr>
        <w:t>4.6.2 联合体各成员的分工、费用收取、发票开具等事项：</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4.7 承包人现场查勘</w:t>
      </w:r>
    </w:p>
    <w:p>
      <w:pPr>
        <w:spacing w:line="400" w:lineRule="exact"/>
        <w:ind w:firstLine="600"/>
        <w:rPr>
          <w:rFonts w:hint="eastAsia" w:ascii="宋体" w:hAnsi="宋体" w:cs="宋体"/>
          <w:color w:val="000000"/>
          <w:szCs w:val="21"/>
        </w:rPr>
      </w:pPr>
      <w:r>
        <w:rPr>
          <w:rFonts w:hint="eastAsia" w:ascii="宋体" w:hAnsi="宋体" w:cs="宋体"/>
          <w:color w:val="000000"/>
          <w:szCs w:val="21"/>
        </w:rPr>
        <w:t>4.7.1 双方当事人对现场查勘的责任承担的约定：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4.8 不可预见的困难</w:t>
      </w:r>
    </w:p>
    <w:p>
      <w:pPr>
        <w:spacing w:line="400" w:lineRule="exact"/>
        <w:ind w:firstLine="600"/>
        <w:rPr>
          <w:rFonts w:hint="eastAsia" w:ascii="宋体" w:hAnsi="宋体" w:cs="宋体"/>
          <w:color w:val="000000"/>
          <w:szCs w:val="21"/>
        </w:rPr>
      </w:pPr>
      <w:r>
        <w:rPr>
          <w:rFonts w:hint="eastAsia" w:ascii="宋体" w:hAnsi="宋体" w:cs="宋体"/>
          <w:color w:val="000000"/>
          <w:szCs w:val="21"/>
        </w:rPr>
        <w:t>不可预见的困难包括：</w:t>
      </w:r>
      <w:r>
        <w:rPr>
          <w:rFonts w:hint="eastAsia" w:ascii="宋体" w:hAnsi="宋体" w:cs="宋体"/>
          <w:color w:val="000000"/>
          <w:szCs w:val="21"/>
          <w:u w:val="single"/>
        </w:rPr>
        <w:t xml:space="preserve">                              </w:t>
      </w:r>
      <w:r>
        <w:rPr>
          <w:rFonts w:hint="eastAsia" w:ascii="宋体" w:hAnsi="宋体" w:cs="宋体"/>
          <w:color w:val="000000"/>
          <w:szCs w:val="21"/>
        </w:rPr>
        <w:t>。</w:t>
      </w:r>
    </w:p>
    <w:p>
      <w:pPr>
        <w:pStyle w:val="690"/>
        <w:spacing w:line="400" w:lineRule="exact"/>
        <w:rPr>
          <w:rFonts w:hint="eastAsia" w:cs="宋体"/>
          <w:b w:val="0"/>
          <w:color w:val="000000"/>
          <w:szCs w:val="21"/>
        </w:rPr>
      </w:pPr>
      <w:bookmarkStart w:id="1671" w:name="_Toc59203235"/>
      <w:bookmarkStart w:id="1672" w:name="_Toc54862336"/>
      <w:r>
        <w:rPr>
          <w:rFonts w:hint="eastAsia" w:cs="宋体"/>
          <w:b w:val="0"/>
          <w:color w:val="000000"/>
          <w:szCs w:val="21"/>
        </w:rPr>
        <w:t>第5条 设计</w:t>
      </w:r>
      <w:bookmarkEnd w:id="1671"/>
      <w:bookmarkEnd w:id="1672"/>
    </w:p>
    <w:p>
      <w:pPr>
        <w:spacing w:line="400" w:lineRule="exact"/>
        <w:ind w:firstLine="600"/>
        <w:rPr>
          <w:rFonts w:hint="eastAsia" w:ascii="宋体" w:hAnsi="宋体" w:cs="宋体"/>
          <w:color w:val="000000"/>
          <w:szCs w:val="21"/>
        </w:rPr>
      </w:pPr>
      <w:r>
        <w:rPr>
          <w:rFonts w:hint="eastAsia" w:ascii="宋体" w:hAnsi="宋体" w:cs="宋体"/>
          <w:color w:val="000000"/>
          <w:szCs w:val="21"/>
        </w:rPr>
        <w:t>5.2 承包人文件审查</w:t>
      </w:r>
    </w:p>
    <w:p>
      <w:pPr>
        <w:spacing w:line="400" w:lineRule="exact"/>
        <w:ind w:firstLine="600"/>
        <w:rPr>
          <w:rFonts w:hint="eastAsia" w:ascii="宋体" w:hAnsi="宋体" w:cs="宋体"/>
          <w:color w:val="000000"/>
          <w:szCs w:val="21"/>
        </w:rPr>
      </w:pPr>
      <w:r>
        <w:rPr>
          <w:rFonts w:hint="eastAsia" w:ascii="宋体" w:hAnsi="宋体" w:cs="宋体"/>
          <w:color w:val="000000"/>
          <w:szCs w:val="21"/>
        </w:rPr>
        <w:t>5.2.1 承包人文件审查的期限：</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5.2.2 审查会议的审查形式和时间安排为：</w:t>
      </w:r>
      <w:r>
        <w:rPr>
          <w:rFonts w:hint="eastAsia" w:ascii="宋体" w:hAnsi="宋体" w:cs="宋体"/>
          <w:color w:val="000000"/>
          <w:szCs w:val="21"/>
          <w:u w:val="single"/>
        </w:rPr>
        <w:t xml:space="preserve">            </w:t>
      </w:r>
      <w:r>
        <w:rPr>
          <w:rFonts w:hint="eastAsia" w:ascii="宋体" w:hAnsi="宋体" w:cs="宋体"/>
          <w:color w:val="000000"/>
          <w:szCs w:val="21"/>
        </w:rPr>
        <w:t>，审查会议的相关费用由</w:t>
      </w:r>
      <w:r>
        <w:rPr>
          <w:rFonts w:hint="eastAsia" w:ascii="宋体" w:hAnsi="宋体" w:cs="宋体"/>
          <w:color w:val="000000"/>
          <w:szCs w:val="21"/>
          <w:u w:val="single"/>
        </w:rPr>
        <w:t xml:space="preserve">                  </w:t>
      </w:r>
      <w:r>
        <w:rPr>
          <w:rFonts w:hint="eastAsia" w:ascii="宋体" w:hAnsi="宋体" w:cs="宋体"/>
          <w:color w:val="000000"/>
          <w:szCs w:val="21"/>
        </w:rPr>
        <w:t>承担。</w:t>
      </w:r>
    </w:p>
    <w:p>
      <w:pPr>
        <w:spacing w:line="400" w:lineRule="exact"/>
        <w:ind w:firstLine="600"/>
        <w:rPr>
          <w:rFonts w:hint="eastAsia" w:ascii="宋体" w:hAnsi="宋体" w:cs="宋体"/>
          <w:color w:val="000000"/>
          <w:szCs w:val="21"/>
        </w:rPr>
      </w:pPr>
      <w:r>
        <w:rPr>
          <w:rFonts w:hint="eastAsia" w:ascii="宋体" w:hAnsi="宋体" w:cs="宋体"/>
          <w:color w:val="000000"/>
          <w:szCs w:val="21"/>
        </w:rPr>
        <w:t>5.2.3 关于第三方审查单位的约定：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5.3 培训</w:t>
      </w:r>
    </w:p>
    <w:p>
      <w:pPr>
        <w:spacing w:line="400" w:lineRule="exact"/>
        <w:ind w:firstLine="600"/>
        <w:rPr>
          <w:rFonts w:hint="eastAsia" w:ascii="宋体" w:hAnsi="宋体" w:cs="宋体"/>
          <w:color w:val="000000"/>
          <w:szCs w:val="21"/>
        </w:rPr>
      </w:pPr>
      <w:r>
        <w:rPr>
          <w:rFonts w:hint="eastAsia" w:ascii="宋体" w:hAnsi="宋体" w:cs="宋体"/>
          <w:color w:val="000000"/>
          <w:szCs w:val="21"/>
        </w:rPr>
        <w:t>培训的时长为</w:t>
      </w:r>
      <w:r>
        <w:rPr>
          <w:rFonts w:hint="eastAsia" w:ascii="宋体" w:hAnsi="宋体" w:cs="宋体"/>
          <w:color w:val="000000"/>
          <w:szCs w:val="21"/>
          <w:u w:val="single"/>
        </w:rPr>
        <w:t xml:space="preserve">             </w:t>
      </w:r>
      <w:r>
        <w:rPr>
          <w:rFonts w:hint="eastAsia" w:ascii="宋体" w:hAnsi="宋体" w:cs="宋体"/>
          <w:color w:val="000000"/>
          <w:szCs w:val="21"/>
        </w:rPr>
        <w:t>，承包人应为培训提供的人员、设施和其它必要条件为</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5.4 竣工文件</w:t>
      </w:r>
    </w:p>
    <w:p>
      <w:pPr>
        <w:spacing w:line="400" w:lineRule="exact"/>
        <w:ind w:firstLine="600"/>
        <w:rPr>
          <w:rFonts w:hint="eastAsia" w:ascii="宋体" w:hAnsi="宋体" w:cs="宋体"/>
          <w:color w:val="000000"/>
          <w:szCs w:val="21"/>
        </w:rPr>
      </w:pPr>
      <w:r>
        <w:rPr>
          <w:rFonts w:hint="eastAsia" w:ascii="宋体" w:hAnsi="宋体" w:cs="宋体"/>
          <w:color w:val="000000"/>
          <w:szCs w:val="21"/>
        </w:rPr>
        <w:t>5.4.1 竣工文件的形式、提供的份数、技术标准以及其它相关要求：</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5.4.3 关于竣工文件的其他约定：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5.5 操作和维修手册</w:t>
      </w:r>
    </w:p>
    <w:p>
      <w:pPr>
        <w:spacing w:line="400" w:lineRule="exact"/>
        <w:ind w:firstLine="600"/>
        <w:rPr>
          <w:rFonts w:hint="eastAsia" w:ascii="宋体" w:hAnsi="宋体" w:cs="宋体"/>
          <w:color w:val="000000"/>
          <w:szCs w:val="21"/>
        </w:rPr>
      </w:pPr>
      <w:r>
        <w:rPr>
          <w:rFonts w:hint="eastAsia" w:ascii="宋体" w:hAnsi="宋体" w:cs="宋体"/>
          <w:color w:val="000000"/>
          <w:szCs w:val="21"/>
        </w:rPr>
        <w:t>5.5.3 对最终操作和维修手册的约定：</w:t>
      </w:r>
      <w:r>
        <w:rPr>
          <w:rFonts w:hint="eastAsia" w:ascii="宋体" w:hAnsi="宋体" w:cs="宋体"/>
          <w:color w:val="000000"/>
          <w:szCs w:val="21"/>
          <w:u w:val="single"/>
        </w:rPr>
        <w:t xml:space="preserve">                 </w:t>
      </w:r>
      <w:r>
        <w:rPr>
          <w:rFonts w:hint="eastAsia" w:ascii="宋体" w:hAnsi="宋体" w:cs="宋体"/>
          <w:color w:val="000000"/>
          <w:szCs w:val="21"/>
        </w:rPr>
        <w:t>。</w:t>
      </w:r>
    </w:p>
    <w:p>
      <w:pPr>
        <w:pStyle w:val="690"/>
        <w:spacing w:line="400" w:lineRule="exact"/>
        <w:rPr>
          <w:rFonts w:hint="eastAsia" w:cs="宋体"/>
          <w:b w:val="0"/>
          <w:color w:val="000000"/>
          <w:szCs w:val="21"/>
        </w:rPr>
      </w:pPr>
      <w:bookmarkStart w:id="1673" w:name="_Toc59203236"/>
      <w:bookmarkStart w:id="1674" w:name="_Toc54862337"/>
      <w:r>
        <w:rPr>
          <w:rFonts w:hint="eastAsia" w:cs="宋体"/>
          <w:b w:val="0"/>
          <w:color w:val="000000"/>
          <w:szCs w:val="21"/>
        </w:rPr>
        <w:t>第6条 材料、工程设备</w:t>
      </w:r>
      <w:bookmarkEnd w:id="1673"/>
      <w:bookmarkEnd w:id="1674"/>
    </w:p>
    <w:p>
      <w:pPr>
        <w:spacing w:line="400" w:lineRule="exact"/>
        <w:ind w:firstLine="600"/>
        <w:rPr>
          <w:rFonts w:hint="eastAsia" w:ascii="宋体" w:hAnsi="宋体" w:cs="宋体"/>
          <w:color w:val="000000"/>
          <w:szCs w:val="21"/>
        </w:rPr>
      </w:pPr>
      <w:r>
        <w:rPr>
          <w:rFonts w:hint="eastAsia" w:ascii="宋体" w:hAnsi="宋体" w:cs="宋体"/>
          <w:color w:val="000000"/>
          <w:szCs w:val="21"/>
        </w:rPr>
        <w:t>6.1 实施方法</w:t>
      </w:r>
    </w:p>
    <w:p>
      <w:pPr>
        <w:spacing w:line="400" w:lineRule="exact"/>
        <w:ind w:firstLine="600"/>
        <w:rPr>
          <w:rFonts w:hint="eastAsia" w:ascii="宋体" w:hAnsi="宋体" w:cs="宋体"/>
          <w:color w:val="000000"/>
          <w:szCs w:val="21"/>
        </w:rPr>
      </w:pPr>
      <w:r>
        <w:rPr>
          <w:rFonts w:hint="eastAsia" w:ascii="宋体" w:hAnsi="宋体" w:cs="宋体"/>
          <w:color w:val="000000"/>
          <w:szCs w:val="21"/>
        </w:rPr>
        <w:t>双方当事人约定的实施方法、设备、设施和材料：</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6.2 材料和工程设备</w:t>
      </w:r>
    </w:p>
    <w:p>
      <w:pPr>
        <w:spacing w:line="400" w:lineRule="exact"/>
        <w:ind w:firstLine="600"/>
        <w:rPr>
          <w:rFonts w:hint="eastAsia" w:ascii="宋体" w:hAnsi="宋体" w:cs="宋体"/>
          <w:color w:val="000000"/>
          <w:szCs w:val="21"/>
        </w:rPr>
      </w:pPr>
      <w:r>
        <w:rPr>
          <w:rFonts w:hint="eastAsia" w:ascii="宋体" w:hAnsi="宋体" w:cs="宋体"/>
          <w:color w:val="000000"/>
          <w:szCs w:val="21"/>
        </w:rPr>
        <w:t>6.2.1 发包人提供的材料和工程设备</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发包人提供的材料和工程设备验收后，由</w:t>
      </w:r>
      <w:r>
        <w:rPr>
          <w:rFonts w:hint="eastAsia" w:ascii="宋体" w:hAnsi="宋体" w:cs="宋体"/>
          <w:color w:val="000000"/>
          <w:szCs w:val="21"/>
          <w:u w:val="single"/>
        </w:rPr>
        <w:t xml:space="preserve">           </w:t>
      </w:r>
      <w:r>
        <w:rPr>
          <w:rFonts w:hint="eastAsia" w:ascii="宋体" w:hAnsi="宋体" w:cs="宋体"/>
          <w:color w:val="000000"/>
          <w:szCs w:val="21"/>
        </w:rPr>
        <w:t>负责接收、运输和保管。</w:t>
      </w:r>
    </w:p>
    <w:p>
      <w:pPr>
        <w:spacing w:line="400" w:lineRule="exact"/>
        <w:ind w:firstLine="600"/>
        <w:rPr>
          <w:rFonts w:hint="eastAsia" w:ascii="宋体" w:hAnsi="宋体" w:cs="宋体"/>
          <w:color w:val="000000"/>
          <w:szCs w:val="21"/>
        </w:rPr>
      </w:pPr>
      <w:r>
        <w:rPr>
          <w:rFonts w:hint="eastAsia" w:ascii="宋体" w:hAnsi="宋体" w:cs="宋体"/>
          <w:color w:val="000000"/>
          <w:szCs w:val="21"/>
        </w:rPr>
        <w:t>6.2.3 材料和工程设备的保管</w:t>
      </w:r>
    </w:p>
    <w:p>
      <w:pPr>
        <w:spacing w:line="400" w:lineRule="exact"/>
        <w:ind w:firstLine="600"/>
        <w:rPr>
          <w:rFonts w:hint="eastAsia" w:ascii="宋体" w:hAnsi="宋体" w:cs="宋体"/>
          <w:color w:val="000000"/>
          <w:szCs w:val="21"/>
        </w:rPr>
      </w:pPr>
      <w:r>
        <w:rPr>
          <w:rFonts w:hint="eastAsia" w:ascii="宋体" w:hAnsi="宋体" w:cs="宋体"/>
          <w:color w:val="000000"/>
          <w:szCs w:val="21"/>
        </w:rPr>
        <w:t>承包人提交保管、维护方案的时间：</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发包人提供的库房、堆场、设施和设备：</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6.3 样品</w:t>
      </w:r>
    </w:p>
    <w:p>
      <w:pPr>
        <w:spacing w:line="400" w:lineRule="exact"/>
        <w:ind w:firstLine="600"/>
        <w:rPr>
          <w:rFonts w:hint="eastAsia" w:ascii="宋体" w:hAnsi="宋体" w:cs="宋体"/>
          <w:color w:val="000000"/>
          <w:szCs w:val="21"/>
        </w:rPr>
      </w:pPr>
      <w:r>
        <w:rPr>
          <w:rFonts w:hint="eastAsia" w:ascii="宋体" w:hAnsi="宋体" w:cs="宋体"/>
          <w:color w:val="000000"/>
          <w:szCs w:val="21"/>
        </w:rPr>
        <w:t>6.3.1 样品的报送与封存</w:t>
      </w:r>
    </w:p>
    <w:p>
      <w:pPr>
        <w:spacing w:line="400" w:lineRule="exact"/>
        <w:ind w:firstLine="600"/>
        <w:rPr>
          <w:rFonts w:hint="eastAsia" w:ascii="宋体" w:hAnsi="宋体" w:cs="宋体"/>
          <w:color w:val="000000"/>
          <w:szCs w:val="21"/>
        </w:rPr>
      </w:pPr>
      <w:r>
        <w:rPr>
          <w:rFonts w:hint="eastAsia" w:ascii="宋体" w:hAnsi="宋体" w:cs="宋体"/>
          <w:color w:val="000000"/>
          <w:szCs w:val="21"/>
        </w:rPr>
        <w:t>需要承包人报送样品的材料或工程设备，样品种类、名称、规格、数量：</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6.4 质量检查</w:t>
      </w:r>
    </w:p>
    <w:p>
      <w:pPr>
        <w:spacing w:line="400" w:lineRule="exact"/>
        <w:ind w:firstLine="600"/>
        <w:rPr>
          <w:rFonts w:hint="eastAsia" w:ascii="宋体" w:hAnsi="宋体" w:cs="宋体"/>
          <w:color w:val="000000"/>
          <w:szCs w:val="21"/>
        </w:rPr>
      </w:pPr>
      <w:r>
        <w:rPr>
          <w:rFonts w:hint="eastAsia" w:ascii="宋体" w:hAnsi="宋体" w:cs="宋体"/>
          <w:color w:val="000000"/>
          <w:szCs w:val="21"/>
        </w:rPr>
        <w:t>6.4.1 工程质量要求</w:t>
      </w:r>
    </w:p>
    <w:p>
      <w:pPr>
        <w:spacing w:line="400" w:lineRule="exact"/>
        <w:ind w:firstLine="600"/>
        <w:rPr>
          <w:rFonts w:hint="eastAsia" w:ascii="宋体" w:hAnsi="宋体" w:cs="宋体"/>
          <w:color w:val="000000"/>
          <w:szCs w:val="21"/>
        </w:rPr>
      </w:pPr>
      <w:r>
        <w:rPr>
          <w:rFonts w:hint="eastAsia" w:ascii="宋体" w:hAnsi="宋体" w:cs="宋体"/>
          <w:color w:val="000000"/>
          <w:szCs w:val="21"/>
        </w:rPr>
        <w:t>工程质量的特殊标准或要求：</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6.4.2 质量检查</w:t>
      </w:r>
    </w:p>
    <w:p>
      <w:pPr>
        <w:spacing w:line="400" w:lineRule="exact"/>
        <w:ind w:firstLine="600"/>
        <w:rPr>
          <w:rFonts w:hint="eastAsia" w:ascii="宋体" w:hAnsi="宋体" w:cs="宋体"/>
          <w:color w:val="000000"/>
          <w:szCs w:val="21"/>
        </w:rPr>
      </w:pPr>
      <w:r>
        <w:rPr>
          <w:rFonts w:hint="eastAsia" w:ascii="宋体" w:hAnsi="宋体" w:cs="宋体"/>
          <w:color w:val="000000"/>
          <w:szCs w:val="21"/>
        </w:rPr>
        <w:t>除通用合同条件已列明的质量检查的地点外，发包人有权进行质量检查的其他地点：</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6.4.3 隐蔽工程检查</w:t>
      </w:r>
    </w:p>
    <w:p>
      <w:pPr>
        <w:spacing w:line="400" w:lineRule="exact"/>
        <w:ind w:firstLine="600"/>
        <w:rPr>
          <w:rFonts w:hint="eastAsia" w:ascii="宋体" w:hAnsi="宋体" w:cs="宋体"/>
          <w:color w:val="000000"/>
          <w:szCs w:val="21"/>
        </w:rPr>
      </w:pPr>
      <w:r>
        <w:rPr>
          <w:rFonts w:hint="eastAsia" w:ascii="宋体" w:hAnsi="宋体" w:cs="宋体"/>
          <w:color w:val="000000"/>
          <w:szCs w:val="21"/>
        </w:rPr>
        <w:t>关于隐蔽工程和中间验收的特别约定：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6.5 由承包人试验和检验</w:t>
      </w:r>
    </w:p>
    <w:p>
      <w:pPr>
        <w:spacing w:line="400" w:lineRule="exact"/>
        <w:ind w:firstLine="600"/>
        <w:rPr>
          <w:rFonts w:hint="eastAsia" w:ascii="宋体" w:hAnsi="宋体" w:cs="宋体"/>
          <w:color w:val="000000"/>
          <w:szCs w:val="21"/>
        </w:rPr>
      </w:pPr>
      <w:r>
        <w:rPr>
          <w:rFonts w:hint="eastAsia" w:ascii="宋体" w:hAnsi="宋体" w:cs="宋体"/>
          <w:color w:val="000000"/>
          <w:szCs w:val="21"/>
        </w:rPr>
        <w:t>6.5.1 试验设备与试验人员</w:t>
      </w:r>
    </w:p>
    <w:p>
      <w:pPr>
        <w:spacing w:line="400" w:lineRule="exact"/>
        <w:ind w:firstLine="600"/>
        <w:rPr>
          <w:rFonts w:hint="eastAsia" w:ascii="宋体" w:hAnsi="宋体" w:cs="宋体"/>
          <w:color w:val="000000"/>
          <w:szCs w:val="21"/>
        </w:rPr>
      </w:pPr>
      <w:r>
        <w:rPr>
          <w:rFonts w:hint="eastAsia" w:ascii="宋体" w:hAnsi="宋体" w:cs="宋体"/>
          <w:color w:val="000000"/>
          <w:szCs w:val="21"/>
        </w:rPr>
        <w:t>试验的内容、时间和地点：</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试验所需要的试验设备、取样装置、试验场所和试验条件：</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试验和检验费用的计价原则：</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6.6 见证取样检测及专项检测</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根据《建设工程质量检测管理办法》（建设部令第141号）以及《广西壮族自治区建设工程质量检测管理规定》（桂建管〔2013〕11号）规定，工程质量检测业务由发包人委托有相应资质的检测机构检测，费用从发包人的项目建设经费中支出并直接支付给检测机构，不计入合同价款内。</w:t>
      </w:r>
    </w:p>
    <w:p>
      <w:pPr>
        <w:pStyle w:val="690"/>
        <w:spacing w:line="400" w:lineRule="exact"/>
        <w:rPr>
          <w:rFonts w:hint="eastAsia" w:cs="宋体"/>
          <w:color w:val="000000"/>
          <w:szCs w:val="21"/>
        </w:rPr>
      </w:pPr>
      <w:bookmarkStart w:id="1675" w:name="_Toc54862338"/>
      <w:bookmarkStart w:id="1676" w:name="_Toc59203237"/>
      <w:r>
        <w:rPr>
          <w:rFonts w:hint="eastAsia" w:cs="宋体"/>
          <w:color w:val="000000"/>
          <w:szCs w:val="21"/>
        </w:rPr>
        <w:t>第7条 施工</w:t>
      </w:r>
      <w:bookmarkEnd w:id="1675"/>
      <w:bookmarkEnd w:id="1676"/>
    </w:p>
    <w:p>
      <w:pPr>
        <w:spacing w:line="400" w:lineRule="exact"/>
        <w:ind w:firstLine="600"/>
        <w:rPr>
          <w:rFonts w:hint="eastAsia" w:ascii="宋体" w:hAnsi="宋体" w:cs="宋体"/>
          <w:color w:val="000000"/>
          <w:szCs w:val="21"/>
        </w:rPr>
      </w:pPr>
      <w:r>
        <w:rPr>
          <w:rFonts w:hint="eastAsia" w:ascii="宋体" w:hAnsi="宋体" w:cs="宋体"/>
          <w:color w:val="000000"/>
          <w:szCs w:val="21"/>
        </w:rPr>
        <w:t>7.1 交通运输</w:t>
      </w:r>
    </w:p>
    <w:p>
      <w:pPr>
        <w:spacing w:line="400" w:lineRule="exact"/>
        <w:ind w:firstLine="600"/>
        <w:rPr>
          <w:rFonts w:hint="eastAsia" w:ascii="宋体" w:hAnsi="宋体" w:cs="宋体"/>
          <w:color w:val="000000"/>
          <w:szCs w:val="21"/>
        </w:rPr>
      </w:pPr>
      <w:r>
        <w:rPr>
          <w:rFonts w:hint="eastAsia" w:ascii="宋体" w:hAnsi="宋体" w:cs="宋体"/>
          <w:color w:val="000000"/>
          <w:szCs w:val="21"/>
        </w:rPr>
        <w:t>7.1.1 出入现场的权利</w:t>
      </w:r>
    </w:p>
    <w:p>
      <w:pPr>
        <w:spacing w:line="400" w:lineRule="exact"/>
        <w:ind w:firstLine="600"/>
        <w:rPr>
          <w:rFonts w:hint="eastAsia" w:ascii="宋体" w:hAnsi="宋体" w:cs="宋体"/>
          <w:color w:val="000000"/>
          <w:szCs w:val="21"/>
        </w:rPr>
      </w:pPr>
      <w:r>
        <w:rPr>
          <w:rFonts w:hint="eastAsia" w:ascii="宋体" w:hAnsi="宋体" w:cs="宋体"/>
          <w:color w:val="000000"/>
          <w:szCs w:val="21"/>
        </w:rPr>
        <w:t>关于出入现场的权利的约定：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7.1.2 场外交通</w:t>
      </w:r>
    </w:p>
    <w:p>
      <w:pPr>
        <w:spacing w:line="400" w:lineRule="exact"/>
        <w:ind w:firstLine="600"/>
        <w:rPr>
          <w:rFonts w:hint="eastAsia" w:ascii="宋体" w:hAnsi="宋体" w:cs="宋体"/>
          <w:color w:val="000000"/>
          <w:szCs w:val="21"/>
        </w:rPr>
      </w:pPr>
      <w:r>
        <w:rPr>
          <w:rFonts w:hint="eastAsia" w:ascii="宋体" w:hAnsi="宋体" w:cs="宋体"/>
          <w:color w:val="000000"/>
          <w:szCs w:val="21"/>
        </w:rPr>
        <w:t>关于场外交通的特别约定：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7.1.3 场内交通</w:t>
      </w:r>
    </w:p>
    <w:p>
      <w:pPr>
        <w:spacing w:line="400" w:lineRule="exact"/>
        <w:ind w:firstLine="600"/>
        <w:rPr>
          <w:rFonts w:hint="eastAsia" w:ascii="宋体" w:hAnsi="宋体" w:cs="宋体"/>
          <w:color w:val="000000"/>
          <w:szCs w:val="21"/>
        </w:rPr>
      </w:pPr>
      <w:r>
        <w:rPr>
          <w:rFonts w:hint="eastAsia" w:ascii="宋体" w:hAnsi="宋体" w:cs="宋体"/>
          <w:color w:val="000000"/>
          <w:szCs w:val="21"/>
        </w:rPr>
        <w:t>关于场内交通的特别约定：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关于场内交通与场外交通边界的约定：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7.1.4 超大件和超重件的运输</w:t>
      </w:r>
    </w:p>
    <w:p>
      <w:pPr>
        <w:spacing w:line="400" w:lineRule="exact"/>
        <w:ind w:firstLine="600"/>
        <w:rPr>
          <w:rFonts w:hint="eastAsia" w:ascii="宋体" w:hAnsi="宋体" w:cs="宋体"/>
          <w:color w:val="000000"/>
          <w:szCs w:val="21"/>
        </w:rPr>
      </w:pPr>
      <w:r>
        <w:rPr>
          <w:rFonts w:hint="eastAsia" w:ascii="宋体" w:hAnsi="宋体" w:cs="宋体"/>
          <w:color w:val="000000"/>
          <w:szCs w:val="21"/>
        </w:rPr>
        <w:t>运输超大件或超重件所需的道路和桥梁临时加固改造费用和其他有关费用由</w:t>
      </w:r>
      <w:r>
        <w:rPr>
          <w:rFonts w:hint="eastAsia" w:ascii="宋体" w:hAnsi="宋体" w:cs="宋体"/>
          <w:color w:val="000000"/>
          <w:szCs w:val="21"/>
          <w:u w:val="single"/>
        </w:rPr>
        <w:t xml:space="preserve">            </w:t>
      </w:r>
      <w:r>
        <w:rPr>
          <w:rFonts w:hint="eastAsia" w:ascii="宋体" w:hAnsi="宋体" w:cs="宋体"/>
          <w:color w:val="000000"/>
          <w:szCs w:val="21"/>
        </w:rPr>
        <w:t>承担。</w:t>
      </w:r>
    </w:p>
    <w:p>
      <w:pPr>
        <w:spacing w:line="400" w:lineRule="exact"/>
        <w:ind w:firstLine="600"/>
        <w:rPr>
          <w:rFonts w:hint="eastAsia" w:ascii="宋体" w:hAnsi="宋体" w:cs="宋体"/>
          <w:color w:val="000000"/>
          <w:szCs w:val="21"/>
        </w:rPr>
      </w:pPr>
      <w:r>
        <w:rPr>
          <w:rFonts w:hint="eastAsia" w:ascii="宋体" w:hAnsi="宋体" w:cs="宋体"/>
          <w:color w:val="000000"/>
          <w:szCs w:val="21"/>
        </w:rPr>
        <w:t>7.2 施工设备和临时设施</w:t>
      </w:r>
    </w:p>
    <w:p>
      <w:pPr>
        <w:spacing w:line="400" w:lineRule="exact"/>
        <w:ind w:firstLine="600"/>
        <w:rPr>
          <w:rFonts w:hint="eastAsia" w:ascii="宋体" w:hAnsi="宋体" w:cs="宋体"/>
          <w:color w:val="000000"/>
          <w:szCs w:val="21"/>
        </w:rPr>
      </w:pPr>
      <w:r>
        <w:rPr>
          <w:rFonts w:hint="eastAsia" w:ascii="宋体" w:hAnsi="宋体" w:cs="宋体"/>
          <w:color w:val="000000"/>
          <w:szCs w:val="21"/>
        </w:rPr>
        <w:t>7.2.1 承包人提供的施工设备和临时设施</w:t>
      </w:r>
    </w:p>
    <w:p>
      <w:pPr>
        <w:spacing w:line="400" w:lineRule="exact"/>
        <w:ind w:firstLine="600"/>
        <w:rPr>
          <w:rFonts w:hint="eastAsia" w:ascii="宋体" w:hAnsi="宋体" w:cs="宋体"/>
          <w:color w:val="000000"/>
          <w:szCs w:val="21"/>
        </w:rPr>
      </w:pPr>
      <w:r>
        <w:rPr>
          <w:rFonts w:hint="eastAsia" w:ascii="宋体" w:hAnsi="宋体" w:cs="宋体"/>
          <w:color w:val="000000"/>
          <w:szCs w:val="21"/>
        </w:rPr>
        <w:t>临时设施的费用和临时占地手续和费用承担的特别约定：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7.2.2 发包人提供的施工设备和临时设施</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发包人提供的施工设备或临时设施范围：</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7.3 现场合作</w:t>
      </w:r>
    </w:p>
    <w:p>
      <w:pPr>
        <w:spacing w:line="400" w:lineRule="exact"/>
        <w:ind w:firstLine="600"/>
        <w:rPr>
          <w:rFonts w:hint="eastAsia" w:ascii="宋体" w:hAnsi="宋体" w:cs="宋体"/>
          <w:color w:val="000000"/>
          <w:szCs w:val="21"/>
        </w:rPr>
      </w:pPr>
      <w:r>
        <w:rPr>
          <w:rFonts w:hint="eastAsia" w:ascii="宋体" w:hAnsi="宋体" w:cs="宋体"/>
          <w:color w:val="000000"/>
          <w:szCs w:val="21"/>
        </w:rPr>
        <w:t>关于现场合作费用的特别约定：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7.4 测量放线</w:t>
      </w:r>
    </w:p>
    <w:p>
      <w:pPr>
        <w:spacing w:line="400" w:lineRule="exact"/>
        <w:ind w:firstLine="600"/>
        <w:rPr>
          <w:rFonts w:hint="eastAsia" w:ascii="宋体" w:hAnsi="宋体" w:cs="宋体"/>
          <w:color w:val="000000"/>
          <w:szCs w:val="21"/>
        </w:rPr>
      </w:pPr>
      <w:r>
        <w:rPr>
          <w:rFonts w:hint="eastAsia" w:ascii="宋体" w:hAnsi="宋体" w:cs="宋体"/>
          <w:color w:val="000000"/>
          <w:szCs w:val="21"/>
        </w:rPr>
        <w:t>7.4.1 关于测量放线的特别约定的技术规范：</w:t>
      </w:r>
      <w:r>
        <w:rPr>
          <w:rFonts w:hint="eastAsia" w:ascii="宋体" w:hAnsi="宋体" w:cs="宋体"/>
          <w:color w:val="000000"/>
          <w:szCs w:val="21"/>
          <w:u w:val="single"/>
        </w:rPr>
        <w:t xml:space="preserve">                </w:t>
      </w:r>
      <w:r>
        <w:rPr>
          <w:rFonts w:hint="eastAsia" w:ascii="宋体" w:hAnsi="宋体" w:cs="宋体"/>
          <w:color w:val="000000"/>
          <w:szCs w:val="21"/>
        </w:rPr>
        <w:t>。施工控制网资料的告知期限：</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7.5 现场劳动用工</w:t>
      </w:r>
    </w:p>
    <w:p>
      <w:pPr>
        <w:spacing w:line="400" w:lineRule="exact"/>
        <w:ind w:firstLine="600"/>
        <w:rPr>
          <w:rFonts w:hint="eastAsia" w:ascii="宋体" w:hAnsi="宋体" w:cs="宋体"/>
          <w:color w:val="000000"/>
          <w:szCs w:val="21"/>
        </w:rPr>
      </w:pPr>
      <w:r>
        <w:rPr>
          <w:rFonts w:hint="eastAsia" w:ascii="宋体" w:hAnsi="宋体" w:cs="宋体"/>
          <w:color w:val="000000"/>
          <w:szCs w:val="21"/>
        </w:rPr>
        <w:t>7.5.2 合同当事人对建筑工人工资清偿事宜和违约责任的约定：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7.6 安全文明施工</w:t>
      </w:r>
    </w:p>
    <w:p>
      <w:pPr>
        <w:spacing w:line="400" w:lineRule="exact"/>
        <w:ind w:firstLine="600"/>
        <w:rPr>
          <w:rFonts w:hint="eastAsia" w:ascii="宋体" w:hAnsi="宋体" w:cs="宋体"/>
          <w:color w:val="000000"/>
          <w:szCs w:val="21"/>
        </w:rPr>
      </w:pPr>
      <w:r>
        <w:rPr>
          <w:rFonts w:hint="eastAsia" w:ascii="宋体" w:hAnsi="宋体" w:cs="宋体"/>
          <w:color w:val="000000"/>
          <w:szCs w:val="21"/>
        </w:rPr>
        <w:t>7.6.1 安全生产要求</w:t>
      </w:r>
    </w:p>
    <w:p>
      <w:pPr>
        <w:spacing w:line="400" w:lineRule="exact"/>
        <w:ind w:left="124" w:leftChars="59" w:firstLine="600"/>
        <w:rPr>
          <w:rFonts w:hint="eastAsia" w:ascii="宋体" w:hAnsi="宋体" w:cs="宋体"/>
          <w:color w:val="000000"/>
          <w:szCs w:val="21"/>
        </w:rPr>
      </w:pPr>
      <w:r>
        <w:rPr>
          <w:rFonts w:hint="eastAsia" w:ascii="宋体" w:hAnsi="宋体" w:cs="宋体"/>
          <w:color w:val="000000"/>
          <w:szCs w:val="21"/>
        </w:rPr>
        <w:t>合同当事人对安全施工的要求：</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7.6.3 文明施工</w:t>
      </w:r>
    </w:p>
    <w:p>
      <w:pPr>
        <w:spacing w:line="400" w:lineRule="exact"/>
        <w:ind w:firstLine="600"/>
        <w:rPr>
          <w:rFonts w:hint="eastAsia" w:ascii="宋体" w:hAnsi="宋体" w:cs="宋体"/>
          <w:color w:val="000000"/>
          <w:szCs w:val="21"/>
        </w:rPr>
      </w:pPr>
      <w:r>
        <w:rPr>
          <w:rFonts w:hint="eastAsia" w:ascii="宋体" w:hAnsi="宋体" w:cs="宋体"/>
          <w:color w:val="000000"/>
          <w:szCs w:val="21"/>
        </w:rPr>
        <w:t>合同当事人对文明施工的要求：</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7.9 临时性公用设施</w:t>
      </w:r>
    </w:p>
    <w:p>
      <w:pPr>
        <w:spacing w:line="400" w:lineRule="exact"/>
        <w:ind w:firstLine="600"/>
        <w:rPr>
          <w:rFonts w:hint="eastAsia" w:ascii="宋体" w:hAnsi="宋体" w:cs="宋体"/>
          <w:color w:val="000000"/>
          <w:szCs w:val="21"/>
        </w:rPr>
      </w:pPr>
      <w:r>
        <w:rPr>
          <w:rFonts w:hint="eastAsia" w:ascii="宋体" w:hAnsi="宋体" w:cs="宋体"/>
          <w:color w:val="000000"/>
          <w:szCs w:val="21"/>
        </w:rPr>
        <w:t>关于临时性公用设施的特别约定：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7.10 现场安保</w:t>
      </w:r>
    </w:p>
    <w:p>
      <w:pPr>
        <w:spacing w:line="400" w:lineRule="exact"/>
        <w:ind w:firstLine="600"/>
        <w:rPr>
          <w:rFonts w:hint="eastAsia" w:ascii="宋体" w:hAnsi="宋体" w:cs="宋体"/>
          <w:color w:val="000000"/>
          <w:szCs w:val="21"/>
        </w:rPr>
      </w:pPr>
      <w:r>
        <w:rPr>
          <w:rFonts w:hint="eastAsia" w:ascii="宋体" w:hAnsi="宋体" w:cs="宋体"/>
          <w:color w:val="000000"/>
          <w:szCs w:val="21"/>
        </w:rPr>
        <w:t>承包人现场安保义务的特别约定：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7.12安全文明施工费支付约定：在本合同签订后</w:t>
      </w:r>
      <w:r>
        <w:rPr>
          <w:rFonts w:hint="eastAsia" w:ascii="宋体" w:hAnsi="宋体" w:cs="宋体"/>
          <w:color w:val="000000"/>
          <w:szCs w:val="21"/>
          <w:u w:val="single"/>
        </w:rPr>
        <w:t xml:space="preserve">   </w:t>
      </w:r>
      <w:r>
        <w:rPr>
          <w:rFonts w:hint="eastAsia" w:ascii="宋体" w:hAnsi="宋体" w:cs="宋体"/>
          <w:color w:val="000000"/>
          <w:szCs w:val="21"/>
        </w:rPr>
        <w:t>个工作日内，预付安全文明施工费总额的</w:t>
      </w:r>
      <w:r>
        <w:rPr>
          <w:rFonts w:hint="eastAsia" w:ascii="宋体" w:hAnsi="宋体" w:cs="宋体"/>
          <w:color w:val="000000"/>
          <w:szCs w:val="21"/>
          <w:u w:val="single"/>
        </w:rPr>
        <w:t xml:space="preserve">   </w:t>
      </w:r>
      <w:r>
        <w:rPr>
          <w:rFonts w:hint="eastAsia" w:ascii="宋体" w:hAnsi="宋体" w:cs="宋体"/>
          <w:color w:val="000000"/>
          <w:szCs w:val="21"/>
        </w:rPr>
        <w:t>%，其余部分与进度款同期支付，安全文明施工费预付款在每月支付给承包商的工程款内同比例扣回。</w:t>
      </w:r>
    </w:p>
    <w:p>
      <w:pPr>
        <w:pStyle w:val="690"/>
        <w:spacing w:line="400" w:lineRule="exact"/>
        <w:rPr>
          <w:rFonts w:hint="eastAsia" w:cs="宋体"/>
          <w:b w:val="0"/>
          <w:color w:val="000000"/>
          <w:szCs w:val="21"/>
        </w:rPr>
      </w:pPr>
      <w:bookmarkStart w:id="1677" w:name="_Toc59203238"/>
      <w:bookmarkStart w:id="1678" w:name="_Toc54862339"/>
      <w:r>
        <w:rPr>
          <w:rFonts w:hint="eastAsia" w:cs="宋体"/>
          <w:b w:val="0"/>
          <w:color w:val="000000"/>
          <w:szCs w:val="21"/>
        </w:rPr>
        <w:t>第8条 工期和进度</w:t>
      </w:r>
      <w:bookmarkEnd w:id="1677"/>
      <w:bookmarkEnd w:id="1678"/>
    </w:p>
    <w:p>
      <w:pPr>
        <w:spacing w:line="400" w:lineRule="exact"/>
        <w:ind w:firstLine="600"/>
        <w:rPr>
          <w:rFonts w:hint="eastAsia" w:ascii="宋体" w:hAnsi="宋体" w:cs="宋体"/>
          <w:color w:val="000000"/>
          <w:szCs w:val="21"/>
        </w:rPr>
      </w:pPr>
      <w:r>
        <w:rPr>
          <w:rFonts w:hint="eastAsia" w:ascii="宋体" w:hAnsi="宋体" w:cs="宋体"/>
          <w:color w:val="000000"/>
          <w:szCs w:val="21"/>
        </w:rPr>
        <w:t>8.1 开始工作</w:t>
      </w:r>
    </w:p>
    <w:p>
      <w:pPr>
        <w:spacing w:line="400" w:lineRule="exact"/>
        <w:ind w:firstLine="600"/>
        <w:rPr>
          <w:rFonts w:hint="eastAsia" w:ascii="宋体" w:hAnsi="宋体" w:cs="宋体"/>
          <w:color w:val="000000"/>
          <w:szCs w:val="21"/>
        </w:rPr>
      </w:pPr>
      <w:r>
        <w:rPr>
          <w:rFonts w:hint="eastAsia" w:ascii="宋体" w:hAnsi="宋体" w:cs="宋体"/>
          <w:color w:val="000000"/>
          <w:szCs w:val="21"/>
        </w:rPr>
        <w:t>8.1.1 开始准备工作：</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8.1.2 发包人可在计划开始工作之日起84日后发出开始工作通知的特殊情形：</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8.2 竣工日期</w:t>
      </w:r>
    </w:p>
    <w:p>
      <w:pPr>
        <w:spacing w:line="400" w:lineRule="exact"/>
        <w:ind w:firstLine="600"/>
        <w:rPr>
          <w:rFonts w:hint="eastAsia" w:ascii="宋体" w:hAnsi="宋体" w:cs="宋体"/>
          <w:color w:val="000000"/>
          <w:szCs w:val="21"/>
        </w:rPr>
      </w:pPr>
      <w:r>
        <w:rPr>
          <w:rFonts w:hint="eastAsia" w:ascii="宋体" w:hAnsi="宋体" w:cs="宋体"/>
          <w:color w:val="000000"/>
          <w:szCs w:val="21"/>
        </w:rPr>
        <w:t>竣工日期的约定：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8.3 项目实施计划</w:t>
      </w:r>
    </w:p>
    <w:p>
      <w:pPr>
        <w:spacing w:line="400" w:lineRule="exact"/>
        <w:ind w:firstLine="600"/>
        <w:rPr>
          <w:rFonts w:hint="eastAsia" w:ascii="宋体" w:hAnsi="宋体" w:cs="宋体"/>
          <w:color w:val="000000"/>
          <w:szCs w:val="21"/>
        </w:rPr>
      </w:pPr>
      <w:r>
        <w:rPr>
          <w:rFonts w:hint="eastAsia" w:ascii="宋体" w:hAnsi="宋体" w:cs="宋体"/>
          <w:color w:val="000000"/>
          <w:szCs w:val="21"/>
        </w:rPr>
        <w:t>8.3.1 项目实施计划的内容</w:t>
      </w:r>
    </w:p>
    <w:p>
      <w:pPr>
        <w:spacing w:line="400" w:lineRule="exact"/>
        <w:ind w:firstLine="600"/>
        <w:rPr>
          <w:rFonts w:hint="eastAsia" w:ascii="宋体" w:hAnsi="宋体" w:cs="宋体"/>
          <w:color w:val="000000"/>
          <w:szCs w:val="21"/>
        </w:rPr>
      </w:pPr>
      <w:r>
        <w:rPr>
          <w:rFonts w:hint="eastAsia" w:ascii="宋体" w:hAnsi="宋体" w:cs="宋体"/>
          <w:color w:val="000000"/>
          <w:szCs w:val="21"/>
        </w:rPr>
        <w:t>项目实施计划的内容：</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8.3.2 项目实施计划的提交和修改</w:t>
      </w:r>
    </w:p>
    <w:p>
      <w:pPr>
        <w:spacing w:line="400" w:lineRule="exact"/>
        <w:ind w:firstLine="600"/>
        <w:rPr>
          <w:rFonts w:hint="eastAsia" w:ascii="宋体" w:hAnsi="宋体" w:cs="宋体"/>
          <w:color w:val="000000"/>
          <w:szCs w:val="21"/>
        </w:rPr>
      </w:pPr>
      <w:r>
        <w:rPr>
          <w:rFonts w:hint="eastAsia" w:ascii="宋体" w:hAnsi="宋体" w:cs="宋体"/>
          <w:color w:val="000000"/>
          <w:szCs w:val="21"/>
        </w:rPr>
        <w:t>项目实施计划的提交及修改期限：</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8.4 项目进度计划</w:t>
      </w:r>
    </w:p>
    <w:p>
      <w:pPr>
        <w:spacing w:line="400" w:lineRule="exact"/>
        <w:ind w:firstLine="600"/>
        <w:rPr>
          <w:rFonts w:hint="eastAsia" w:ascii="宋体" w:hAnsi="宋体" w:cs="宋体"/>
          <w:color w:val="000000"/>
          <w:szCs w:val="21"/>
        </w:rPr>
      </w:pPr>
      <w:r>
        <w:rPr>
          <w:rFonts w:hint="eastAsia" w:ascii="宋体" w:hAnsi="宋体" w:cs="宋体"/>
          <w:color w:val="000000"/>
          <w:szCs w:val="21"/>
        </w:rPr>
        <w:t>8.4.1 工程师在收到进度计划后确认或提出修改意见的期限：</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8.4.2 进度计划的具体要求：</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关键路径及关键路径变化的确定原则：</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承包人提交项目进度计划的份数和时间：</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8.4.3 进度计划的修订</w:t>
      </w:r>
    </w:p>
    <w:p>
      <w:pPr>
        <w:spacing w:line="400" w:lineRule="exact"/>
        <w:ind w:firstLine="600"/>
        <w:rPr>
          <w:rFonts w:hint="eastAsia" w:ascii="宋体" w:hAnsi="宋体" w:cs="宋体"/>
          <w:color w:val="000000"/>
          <w:szCs w:val="21"/>
        </w:rPr>
      </w:pPr>
      <w:r>
        <w:rPr>
          <w:rFonts w:hint="eastAsia" w:ascii="宋体" w:hAnsi="宋体" w:cs="宋体"/>
          <w:color w:val="000000"/>
          <w:szCs w:val="21"/>
        </w:rPr>
        <w:t>承包人提交修订项目进度计划申请报告的期限：</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发包人批复修订项目进度计划申请报告的期限：</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承包人答复发包人提出修订合同计划的期限：</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8.5 进度报告</w:t>
      </w:r>
    </w:p>
    <w:p>
      <w:pPr>
        <w:spacing w:line="400" w:lineRule="exact"/>
        <w:ind w:firstLine="600"/>
        <w:rPr>
          <w:rFonts w:hint="eastAsia" w:ascii="宋体" w:hAnsi="宋体" w:cs="宋体"/>
          <w:color w:val="000000"/>
          <w:szCs w:val="21"/>
        </w:rPr>
      </w:pPr>
      <w:r>
        <w:rPr>
          <w:rFonts w:hint="eastAsia" w:ascii="宋体" w:hAnsi="宋体" w:cs="宋体"/>
          <w:color w:val="000000"/>
          <w:szCs w:val="21"/>
        </w:rPr>
        <w:t>进度报告的具体要求：</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8.7 工期延误</w:t>
      </w:r>
    </w:p>
    <w:p>
      <w:pPr>
        <w:spacing w:line="400" w:lineRule="exact"/>
        <w:ind w:firstLine="600"/>
        <w:rPr>
          <w:rFonts w:hint="eastAsia" w:ascii="宋体" w:hAnsi="宋体" w:cs="宋体"/>
          <w:color w:val="000000"/>
          <w:szCs w:val="21"/>
        </w:rPr>
      </w:pPr>
      <w:r>
        <w:rPr>
          <w:rFonts w:hint="eastAsia" w:ascii="宋体" w:hAnsi="宋体" w:cs="宋体"/>
          <w:color w:val="000000"/>
          <w:szCs w:val="21"/>
        </w:rPr>
        <w:t>8.7.2 因承包人原因导致工期延误</w:t>
      </w:r>
    </w:p>
    <w:p>
      <w:pPr>
        <w:spacing w:line="400" w:lineRule="exact"/>
        <w:ind w:firstLine="600"/>
        <w:rPr>
          <w:rFonts w:hint="eastAsia" w:ascii="宋体" w:hAnsi="宋体" w:cs="宋体"/>
          <w:color w:val="000000"/>
          <w:szCs w:val="21"/>
        </w:rPr>
      </w:pPr>
      <w:r>
        <w:rPr>
          <w:rFonts w:hint="eastAsia" w:ascii="宋体" w:hAnsi="宋体" w:cs="宋体"/>
          <w:color w:val="000000"/>
          <w:szCs w:val="21"/>
        </w:rPr>
        <w:t>因承包人原因使竣工日期延误，每延误1日的误期赔偿金额为合同协议书的合同价格的</w:t>
      </w:r>
      <w:r>
        <w:rPr>
          <w:rFonts w:hint="eastAsia" w:ascii="宋体" w:hAnsi="宋体" w:cs="宋体"/>
          <w:color w:val="000000"/>
          <w:szCs w:val="21"/>
          <w:u w:val="single"/>
        </w:rPr>
        <w:t xml:space="preserve">    </w:t>
      </w:r>
      <w:r>
        <w:rPr>
          <w:rFonts w:hint="eastAsia" w:ascii="宋体" w:hAnsi="宋体" w:cs="宋体"/>
          <w:color w:val="000000"/>
          <w:szCs w:val="21"/>
        </w:rPr>
        <w:t>%或人民币金额为：</w:t>
      </w:r>
      <w:r>
        <w:rPr>
          <w:rFonts w:hint="eastAsia" w:ascii="宋体" w:hAnsi="宋体" w:cs="宋体"/>
          <w:color w:val="000000"/>
          <w:szCs w:val="21"/>
          <w:u w:val="single"/>
        </w:rPr>
        <w:t xml:space="preserve">          </w:t>
      </w:r>
      <w:r>
        <w:rPr>
          <w:rFonts w:hint="eastAsia" w:ascii="宋体" w:hAnsi="宋体" w:cs="宋体"/>
          <w:color w:val="000000"/>
          <w:szCs w:val="21"/>
        </w:rPr>
        <w:t>、累计最高赔偿金额为合同协议书的合同价格的：</w:t>
      </w:r>
      <w:r>
        <w:rPr>
          <w:rFonts w:hint="eastAsia" w:ascii="宋体" w:hAnsi="宋体" w:cs="宋体"/>
          <w:color w:val="000000"/>
          <w:szCs w:val="21"/>
          <w:u w:val="single"/>
        </w:rPr>
        <w:t xml:space="preserve">    </w:t>
      </w:r>
      <w:r>
        <w:rPr>
          <w:rFonts w:hint="eastAsia" w:ascii="宋体" w:hAnsi="宋体" w:cs="宋体"/>
          <w:color w:val="000000"/>
          <w:szCs w:val="21"/>
        </w:rPr>
        <w:t>%或人民币金额为：</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8.7.3 行政审批迟延</w:t>
      </w:r>
    </w:p>
    <w:p>
      <w:pPr>
        <w:spacing w:line="400" w:lineRule="exact"/>
        <w:ind w:firstLine="600"/>
        <w:rPr>
          <w:rFonts w:hint="eastAsia" w:ascii="宋体" w:hAnsi="宋体" w:cs="宋体"/>
          <w:color w:val="000000"/>
          <w:szCs w:val="21"/>
        </w:rPr>
      </w:pPr>
      <w:r>
        <w:rPr>
          <w:rFonts w:hint="eastAsia" w:ascii="宋体" w:hAnsi="宋体" w:cs="宋体"/>
          <w:color w:val="000000"/>
          <w:szCs w:val="21"/>
        </w:rPr>
        <w:t>行政审批报送的职责分工：</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8.7.4 异常恶劣的气候条件</w:t>
      </w:r>
    </w:p>
    <w:p>
      <w:pPr>
        <w:spacing w:line="400" w:lineRule="exact"/>
        <w:ind w:firstLine="600"/>
        <w:rPr>
          <w:rFonts w:hint="eastAsia" w:ascii="宋体" w:hAnsi="宋体" w:cs="宋体"/>
          <w:color w:val="000000"/>
          <w:szCs w:val="21"/>
        </w:rPr>
      </w:pPr>
      <w:r>
        <w:rPr>
          <w:rFonts w:hint="eastAsia" w:ascii="宋体" w:hAnsi="宋体" w:cs="宋体"/>
          <w:color w:val="000000"/>
          <w:szCs w:val="21"/>
        </w:rPr>
        <w:t>双方约定视为异常恶劣的气候条件的情形：</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8.8 工期提前</w:t>
      </w:r>
    </w:p>
    <w:p>
      <w:pPr>
        <w:spacing w:line="400" w:lineRule="exact"/>
        <w:ind w:firstLine="600"/>
        <w:rPr>
          <w:rFonts w:hint="eastAsia" w:ascii="宋体" w:hAnsi="宋体" w:cs="宋体"/>
          <w:color w:val="000000"/>
          <w:szCs w:val="21"/>
        </w:rPr>
      </w:pPr>
      <w:r>
        <w:rPr>
          <w:rFonts w:hint="eastAsia" w:ascii="宋体" w:hAnsi="宋体" w:cs="宋体"/>
          <w:color w:val="000000"/>
          <w:szCs w:val="21"/>
        </w:rPr>
        <w:t>8.8.2 承包人提前竣工的奖励：</w:t>
      </w:r>
      <w:r>
        <w:rPr>
          <w:rFonts w:hint="eastAsia" w:ascii="宋体" w:hAnsi="宋体" w:cs="宋体"/>
          <w:color w:val="000000"/>
          <w:szCs w:val="21"/>
          <w:u w:val="single"/>
        </w:rPr>
        <w:t xml:space="preserve">                       </w:t>
      </w:r>
      <w:r>
        <w:rPr>
          <w:rFonts w:hint="eastAsia" w:ascii="宋体" w:hAnsi="宋体" w:cs="宋体"/>
          <w:color w:val="000000"/>
          <w:szCs w:val="21"/>
        </w:rPr>
        <w:t>。</w:t>
      </w:r>
    </w:p>
    <w:p>
      <w:pPr>
        <w:pStyle w:val="690"/>
        <w:spacing w:line="400" w:lineRule="exact"/>
        <w:rPr>
          <w:rFonts w:hint="eastAsia" w:cs="宋体"/>
          <w:b w:val="0"/>
          <w:color w:val="000000"/>
          <w:szCs w:val="21"/>
        </w:rPr>
      </w:pPr>
      <w:bookmarkStart w:id="1679" w:name="_Toc59203239"/>
      <w:bookmarkStart w:id="1680" w:name="_Toc54862340"/>
      <w:r>
        <w:rPr>
          <w:rFonts w:hint="eastAsia" w:cs="宋体"/>
          <w:b w:val="0"/>
          <w:color w:val="000000"/>
          <w:szCs w:val="21"/>
        </w:rPr>
        <w:t>第9条 竣工试验</w:t>
      </w:r>
      <w:bookmarkEnd w:id="1679"/>
      <w:bookmarkEnd w:id="1680"/>
    </w:p>
    <w:p>
      <w:pPr>
        <w:spacing w:line="400" w:lineRule="exact"/>
        <w:ind w:firstLine="600"/>
        <w:rPr>
          <w:rFonts w:hint="eastAsia" w:ascii="宋体" w:hAnsi="宋体" w:cs="宋体"/>
          <w:color w:val="000000"/>
          <w:szCs w:val="21"/>
        </w:rPr>
      </w:pPr>
      <w:r>
        <w:rPr>
          <w:rFonts w:hint="eastAsia" w:ascii="宋体" w:hAnsi="宋体" w:cs="宋体"/>
          <w:color w:val="000000"/>
          <w:szCs w:val="21"/>
        </w:rPr>
        <w:t>9.1 竣工试验的义务</w:t>
      </w:r>
    </w:p>
    <w:p>
      <w:pPr>
        <w:spacing w:line="400" w:lineRule="exact"/>
        <w:ind w:firstLine="600"/>
        <w:rPr>
          <w:rFonts w:hint="eastAsia" w:ascii="宋体" w:hAnsi="宋体" w:cs="宋体"/>
          <w:color w:val="000000"/>
          <w:szCs w:val="21"/>
        </w:rPr>
      </w:pPr>
      <w:r>
        <w:rPr>
          <w:rFonts w:hint="eastAsia" w:ascii="宋体" w:hAnsi="宋体" w:cs="宋体"/>
          <w:color w:val="000000"/>
          <w:szCs w:val="21"/>
        </w:rPr>
        <w:t>9.1.3 竣工试验的阶段、内容和顺序：</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竣工试验的操作要求：</w:t>
      </w:r>
      <w:r>
        <w:rPr>
          <w:rFonts w:hint="eastAsia" w:ascii="宋体" w:hAnsi="宋体" w:cs="宋体"/>
          <w:color w:val="000000"/>
          <w:szCs w:val="21"/>
          <w:u w:val="single"/>
        </w:rPr>
        <w:t xml:space="preserve">                               </w:t>
      </w:r>
      <w:r>
        <w:rPr>
          <w:rFonts w:hint="eastAsia" w:ascii="宋体" w:hAnsi="宋体" w:cs="宋体"/>
          <w:color w:val="000000"/>
          <w:szCs w:val="21"/>
        </w:rPr>
        <w:t>。</w:t>
      </w:r>
    </w:p>
    <w:p>
      <w:pPr>
        <w:pStyle w:val="690"/>
        <w:spacing w:line="400" w:lineRule="exact"/>
        <w:rPr>
          <w:rFonts w:hint="eastAsia" w:cs="宋体"/>
          <w:b w:val="0"/>
          <w:color w:val="000000"/>
          <w:szCs w:val="21"/>
        </w:rPr>
      </w:pPr>
      <w:bookmarkStart w:id="1681" w:name="_Toc54862341"/>
      <w:bookmarkStart w:id="1682" w:name="_Toc59203240"/>
      <w:r>
        <w:rPr>
          <w:rFonts w:hint="eastAsia" w:cs="宋体"/>
          <w:b w:val="0"/>
          <w:color w:val="000000"/>
          <w:szCs w:val="21"/>
        </w:rPr>
        <w:t>第10条 验收和工程接收</w:t>
      </w:r>
      <w:bookmarkEnd w:id="1681"/>
      <w:bookmarkEnd w:id="1682"/>
    </w:p>
    <w:p>
      <w:pPr>
        <w:spacing w:line="400" w:lineRule="exact"/>
        <w:ind w:firstLine="600"/>
        <w:rPr>
          <w:rFonts w:hint="eastAsia" w:ascii="宋体" w:hAnsi="宋体" w:cs="宋体"/>
          <w:color w:val="000000"/>
          <w:szCs w:val="21"/>
        </w:rPr>
      </w:pPr>
      <w:r>
        <w:rPr>
          <w:rFonts w:hint="eastAsia" w:ascii="宋体" w:hAnsi="宋体" w:cs="宋体"/>
          <w:color w:val="000000"/>
          <w:szCs w:val="21"/>
        </w:rPr>
        <w:t>10.1 竣工验收</w:t>
      </w:r>
    </w:p>
    <w:p>
      <w:pPr>
        <w:spacing w:line="400" w:lineRule="exact"/>
        <w:ind w:firstLine="600"/>
        <w:rPr>
          <w:rFonts w:hint="eastAsia" w:ascii="宋体" w:hAnsi="宋体" w:cs="宋体"/>
          <w:color w:val="000000"/>
          <w:szCs w:val="21"/>
        </w:rPr>
      </w:pPr>
      <w:r>
        <w:rPr>
          <w:rFonts w:hint="eastAsia" w:ascii="宋体" w:hAnsi="宋体" w:cs="宋体"/>
          <w:color w:val="000000"/>
          <w:szCs w:val="21"/>
        </w:rPr>
        <w:t>10.1.2 关于竣工验收程序的约定：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bookmarkStart w:id="1683" w:name="_Hlk46406260"/>
      <w:r>
        <w:rPr>
          <w:rFonts w:hint="eastAsia" w:ascii="宋体" w:hAnsi="宋体" w:cs="宋体"/>
          <w:color w:val="000000"/>
          <w:szCs w:val="21"/>
        </w:rPr>
        <w:t>发包人不按照合同约定组织竣工验收、颁发工程接受证书的违约金的计算方式：</w:t>
      </w:r>
      <w:r>
        <w:rPr>
          <w:rFonts w:hint="eastAsia" w:ascii="宋体" w:hAnsi="宋体" w:cs="宋体"/>
          <w:color w:val="000000"/>
          <w:szCs w:val="21"/>
          <w:u w:val="single"/>
        </w:rPr>
        <w:t xml:space="preserve">                                    </w:t>
      </w:r>
      <w:r>
        <w:rPr>
          <w:rFonts w:hint="eastAsia" w:ascii="宋体" w:hAnsi="宋体" w:cs="宋体"/>
          <w:color w:val="000000"/>
          <w:szCs w:val="21"/>
        </w:rPr>
        <w:t>。</w:t>
      </w:r>
    </w:p>
    <w:bookmarkEnd w:id="1683"/>
    <w:p>
      <w:pPr>
        <w:spacing w:line="400" w:lineRule="exact"/>
        <w:ind w:firstLine="600"/>
        <w:rPr>
          <w:rFonts w:hint="eastAsia" w:ascii="宋体" w:hAnsi="宋体" w:cs="宋体"/>
          <w:color w:val="000000"/>
          <w:szCs w:val="21"/>
        </w:rPr>
      </w:pPr>
      <w:r>
        <w:rPr>
          <w:rFonts w:hint="eastAsia" w:ascii="宋体" w:hAnsi="宋体" w:cs="宋体"/>
          <w:color w:val="000000"/>
          <w:szCs w:val="21"/>
        </w:rPr>
        <w:t>10.3</w:t>
      </w:r>
      <w:r>
        <w:rPr>
          <w:rFonts w:hint="eastAsia" w:ascii="宋体" w:hAnsi="宋体" w:cs="宋体"/>
          <w:color w:val="000000"/>
          <w:szCs w:val="21"/>
        </w:rPr>
        <w:tab/>
      </w:r>
      <w:r>
        <w:rPr>
          <w:rFonts w:hint="eastAsia" w:ascii="宋体" w:hAnsi="宋体" w:cs="宋体"/>
          <w:color w:val="000000"/>
          <w:szCs w:val="21"/>
        </w:rPr>
        <w:t xml:space="preserve"> 工程的接收</w:t>
      </w:r>
    </w:p>
    <w:p>
      <w:pPr>
        <w:spacing w:line="400" w:lineRule="exact"/>
        <w:ind w:firstLine="600"/>
        <w:rPr>
          <w:rFonts w:hint="eastAsia" w:ascii="宋体" w:hAnsi="宋体" w:cs="宋体"/>
          <w:color w:val="000000"/>
          <w:szCs w:val="21"/>
        </w:rPr>
      </w:pPr>
      <w:r>
        <w:rPr>
          <w:rFonts w:hint="eastAsia" w:ascii="宋体" w:hAnsi="宋体" w:cs="宋体"/>
          <w:color w:val="000000"/>
          <w:szCs w:val="21"/>
        </w:rPr>
        <w:t>10.3.1工程接收的先后顺序、时间安排和其他要求：</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10.3.2 接受工程时承包人需提交竣工验收资料的类别、内容、份数和提交时间：</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10.3.3 发包人逾期接收工程的违约责任：</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10.3.4 承包人无正当理由不移交工程的违约责任：</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10.4 接收证书</w:t>
      </w:r>
    </w:p>
    <w:p>
      <w:pPr>
        <w:spacing w:line="400" w:lineRule="exact"/>
        <w:ind w:firstLine="600"/>
        <w:rPr>
          <w:rFonts w:hint="eastAsia" w:ascii="宋体" w:hAnsi="宋体" w:cs="宋体"/>
          <w:color w:val="000000"/>
          <w:szCs w:val="21"/>
        </w:rPr>
      </w:pPr>
      <w:r>
        <w:rPr>
          <w:rFonts w:hint="eastAsia" w:ascii="宋体" w:hAnsi="宋体" w:cs="宋体"/>
          <w:color w:val="000000"/>
          <w:szCs w:val="21"/>
        </w:rPr>
        <w:t>10.4.1 工程接收证书颁发时间：</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10.5 竣工退场</w:t>
      </w:r>
    </w:p>
    <w:p>
      <w:pPr>
        <w:spacing w:line="400" w:lineRule="exact"/>
        <w:ind w:firstLine="600"/>
        <w:rPr>
          <w:rFonts w:hint="eastAsia" w:ascii="宋体" w:hAnsi="宋体" w:cs="宋体"/>
          <w:color w:val="000000"/>
          <w:szCs w:val="21"/>
        </w:rPr>
      </w:pPr>
      <w:r>
        <w:rPr>
          <w:rFonts w:hint="eastAsia" w:ascii="宋体" w:hAnsi="宋体" w:cs="宋体"/>
          <w:color w:val="000000"/>
          <w:szCs w:val="21"/>
        </w:rPr>
        <w:t>10.5.1 竣工退场的相关约定：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10.5.3人员撤离</w:t>
      </w:r>
    </w:p>
    <w:p>
      <w:pPr>
        <w:spacing w:line="400" w:lineRule="exact"/>
        <w:ind w:firstLine="600"/>
        <w:rPr>
          <w:rFonts w:hint="eastAsia" w:ascii="宋体" w:hAnsi="宋体" w:cs="宋体"/>
          <w:color w:val="000000"/>
          <w:szCs w:val="21"/>
        </w:rPr>
      </w:pPr>
      <w:r>
        <w:rPr>
          <w:rFonts w:hint="eastAsia" w:ascii="宋体" w:hAnsi="宋体" w:cs="宋体"/>
          <w:color w:val="000000"/>
          <w:szCs w:val="21"/>
        </w:rPr>
        <w:t>工程师同意需在缺陷责任期内继续工作和使用的人员、施工设备和临时工程的内容：</w:t>
      </w:r>
      <w:r>
        <w:rPr>
          <w:rFonts w:hint="eastAsia" w:ascii="宋体" w:hAnsi="宋体" w:cs="宋体"/>
          <w:color w:val="000000"/>
          <w:szCs w:val="21"/>
          <w:u w:val="single"/>
        </w:rPr>
        <w:t xml:space="preserve">                        </w:t>
      </w:r>
      <w:r>
        <w:rPr>
          <w:rFonts w:hint="eastAsia" w:ascii="宋体" w:hAnsi="宋体" w:cs="宋体"/>
          <w:color w:val="000000"/>
          <w:szCs w:val="21"/>
        </w:rPr>
        <w:t>。</w:t>
      </w:r>
    </w:p>
    <w:p>
      <w:pPr>
        <w:pStyle w:val="690"/>
        <w:spacing w:line="400" w:lineRule="exact"/>
        <w:rPr>
          <w:rFonts w:hint="eastAsia" w:cs="宋体"/>
          <w:b w:val="0"/>
          <w:color w:val="000000"/>
          <w:szCs w:val="21"/>
        </w:rPr>
      </w:pPr>
      <w:bookmarkStart w:id="1684" w:name="_Toc54862342"/>
      <w:bookmarkStart w:id="1685" w:name="_Toc59203241"/>
      <w:r>
        <w:rPr>
          <w:rFonts w:hint="eastAsia" w:cs="宋体"/>
          <w:b w:val="0"/>
          <w:color w:val="000000"/>
          <w:szCs w:val="21"/>
        </w:rPr>
        <w:t>第11条 缺陷责任与保修</w:t>
      </w:r>
      <w:bookmarkEnd w:id="1684"/>
      <w:bookmarkEnd w:id="1685"/>
    </w:p>
    <w:p>
      <w:pPr>
        <w:spacing w:line="400" w:lineRule="exact"/>
        <w:ind w:firstLine="600"/>
        <w:rPr>
          <w:rFonts w:hint="eastAsia" w:ascii="宋体" w:hAnsi="宋体" w:cs="宋体"/>
          <w:color w:val="000000"/>
          <w:szCs w:val="21"/>
        </w:rPr>
      </w:pPr>
      <w:r>
        <w:rPr>
          <w:rFonts w:hint="eastAsia" w:ascii="宋体" w:hAnsi="宋体" w:cs="宋体"/>
          <w:color w:val="000000"/>
          <w:szCs w:val="21"/>
        </w:rPr>
        <w:t>11.2 缺陷责任期</w:t>
      </w:r>
    </w:p>
    <w:p>
      <w:pPr>
        <w:spacing w:line="400" w:lineRule="exact"/>
        <w:ind w:firstLine="600"/>
        <w:rPr>
          <w:rFonts w:hint="eastAsia" w:ascii="宋体" w:hAnsi="宋体" w:cs="宋体"/>
          <w:color w:val="000000"/>
          <w:szCs w:val="21"/>
        </w:rPr>
      </w:pPr>
      <w:r>
        <w:rPr>
          <w:rFonts w:hint="eastAsia" w:ascii="宋体" w:hAnsi="宋体" w:cs="宋体"/>
          <w:color w:val="000000"/>
          <w:szCs w:val="21"/>
        </w:rPr>
        <w:t>缺陷责任期的期限：</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11.3 缺陷调查</w:t>
      </w:r>
    </w:p>
    <w:p>
      <w:pPr>
        <w:spacing w:line="400" w:lineRule="exact"/>
        <w:ind w:firstLine="600"/>
        <w:rPr>
          <w:rFonts w:hint="eastAsia" w:ascii="宋体" w:hAnsi="宋体" w:cs="宋体"/>
          <w:color w:val="000000"/>
          <w:szCs w:val="21"/>
        </w:rPr>
      </w:pPr>
      <w:r>
        <w:rPr>
          <w:rFonts w:hint="eastAsia" w:ascii="宋体" w:hAnsi="宋体" w:cs="宋体"/>
          <w:color w:val="000000"/>
          <w:szCs w:val="21"/>
        </w:rPr>
        <w:t>11.3.4 修复通知</w:t>
      </w:r>
    </w:p>
    <w:p>
      <w:pPr>
        <w:spacing w:line="400" w:lineRule="exact"/>
        <w:ind w:firstLine="600"/>
        <w:rPr>
          <w:rFonts w:hint="eastAsia" w:ascii="宋体" w:hAnsi="宋体" w:cs="宋体"/>
          <w:color w:val="000000"/>
          <w:szCs w:val="21"/>
        </w:rPr>
      </w:pPr>
      <w:r>
        <w:rPr>
          <w:rFonts w:hint="eastAsia" w:ascii="宋体" w:hAnsi="宋体" w:cs="宋体"/>
          <w:color w:val="000000"/>
          <w:szCs w:val="21"/>
        </w:rPr>
        <w:t>承包人收到保修通知并到达工程现场的合理时间：</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11.6 缺陷责任期终止证书</w:t>
      </w:r>
    </w:p>
    <w:p>
      <w:pPr>
        <w:spacing w:line="400" w:lineRule="exact"/>
        <w:ind w:firstLine="600"/>
        <w:rPr>
          <w:rFonts w:hint="eastAsia" w:ascii="宋体" w:hAnsi="宋体" w:cs="宋体"/>
          <w:color w:val="000000"/>
          <w:szCs w:val="21"/>
        </w:rPr>
      </w:pPr>
      <w:r>
        <w:rPr>
          <w:rFonts w:hint="eastAsia" w:ascii="宋体" w:hAnsi="宋体" w:cs="宋体"/>
          <w:color w:val="000000"/>
          <w:szCs w:val="21"/>
        </w:rPr>
        <w:t>承包人应于缺陷责任期届满后</w:t>
      </w:r>
      <w:r>
        <w:rPr>
          <w:rFonts w:hint="eastAsia" w:ascii="宋体" w:hAnsi="宋体" w:cs="宋体"/>
          <w:color w:val="000000"/>
          <w:szCs w:val="21"/>
          <w:u w:val="single"/>
        </w:rPr>
        <w:t xml:space="preserve">    </w:t>
      </w:r>
      <w:r>
        <w:rPr>
          <w:rFonts w:hint="eastAsia" w:ascii="宋体" w:hAnsi="宋体" w:cs="宋体"/>
          <w:color w:val="000000"/>
          <w:szCs w:val="21"/>
        </w:rPr>
        <w:t>天内向发包人发出缺陷责任期届满通知，发包人应在收到缺陷责任期满通知后</w:t>
      </w:r>
      <w:r>
        <w:rPr>
          <w:rFonts w:hint="eastAsia" w:ascii="宋体" w:hAnsi="宋体" w:cs="宋体"/>
          <w:color w:val="000000"/>
          <w:szCs w:val="21"/>
          <w:u w:val="single"/>
        </w:rPr>
        <w:t xml:space="preserve">    </w:t>
      </w:r>
      <w:r>
        <w:rPr>
          <w:rFonts w:hint="eastAsia" w:ascii="宋体" w:hAnsi="宋体" w:cs="宋体"/>
          <w:color w:val="000000"/>
          <w:szCs w:val="21"/>
        </w:rPr>
        <w:t>天内核实承包人是否履行缺陷修复义务，承包人未能履行缺陷修复义务的，发包人有权扣除相应金额的维修费用。发包人应在收到缺陷责任期届满通知后</w:t>
      </w:r>
      <w:r>
        <w:rPr>
          <w:rFonts w:hint="eastAsia" w:ascii="宋体" w:hAnsi="宋体" w:cs="宋体"/>
          <w:color w:val="000000"/>
          <w:szCs w:val="21"/>
          <w:u w:val="single"/>
        </w:rPr>
        <w:t xml:space="preserve">    </w:t>
      </w:r>
      <w:r>
        <w:rPr>
          <w:rFonts w:hint="eastAsia" w:ascii="宋体" w:hAnsi="宋体" w:cs="宋体"/>
          <w:color w:val="000000"/>
          <w:szCs w:val="21"/>
        </w:rPr>
        <w:t>天内，向承包人颁发缺陷责任期终止证书。</w:t>
      </w:r>
    </w:p>
    <w:p>
      <w:pPr>
        <w:spacing w:line="400" w:lineRule="exact"/>
        <w:ind w:firstLine="600"/>
        <w:rPr>
          <w:rFonts w:hint="eastAsia" w:ascii="宋体" w:hAnsi="宋体" w:cs="宋体"/>
          <w:color w:val="000000"/>
          <w:szCs w:val="21"/>
        </w:rPr>
      </w:pPr>
      <w:r>
        <w:rPr>
          <w:rFonts w:hint="eastAsia" w:ascii="宋体" w:hAnsi="宋体" w:cs="宋体"/>
          <w:color w:val="000000"/>
          <w:szCs w:val="21"/>
        </w:rPr>
        <w:t>11.7 保修责任</w:t>
      </w:r>
    </w:p>
    <w:p>
      <w:pPr>
        <w:spacing w:line="400" w:lineRule="exact"/>
        <w:ind w:firstLine="600"/>
        <w:rPr>
          <w:rFonts w:hint="eastAsia" w:ascii="宋体" w:hAnsi="宋体" w:cs="宋体"/>
          <w:color w:val="000000"/>
          <w:szCs w:val="21"/>
        </w:rPr>
      </w:pPr>
      <w:r>
        <w:rPr>
          <w:rFonts w:hint="eastAsia" w:ascii="宋体" w:hAnsi="宋体" w:cs="宋体"/>
          <w:color w:val="000000"/>
          <w:szCs w:val="21"/>
        </w:rPr>
        <w:t>工程质量保修范围、期限和责任为：</w:t>
      </w:r>
      <w:r>
        <w:rPr>
          <w:rFonts w:hint="eastAsia" w:ascii="宋体" w:hAnsi="宋体" w:cs="宋体"/>
          <w:color w:val="000000"/>
          <w:szCs w:val="21"/>
          <w:u w:val="single"/>
        </w:rPr>
        <w:t xml:space="preserve">                  </w:t>
      </w:r>
      <w:r>
        <w:rPr>
          <w:rFonts w:hint="eastAsia" w:ascii="宋体" w:hAnsi="宋体" w:cs="宋体"/>
          <w:color w:val="000000"/>
          <w:szCs w:val="21"/>
        </w:rPr>
        <w:t>。</w:t>
      </w:r>
    </w:p>
    <w:p>
      <w:pPr>
        <w:pStyle w:val="690"/>
        <w:spacing w:line="400" w:lineRule="exact"/>
        <w:rPr>
          <w:rFonts w:hint="eastAsia" w:cs="宋体"/>
          <w:b w:val="0"/>
          <w:color w:val="000000"/>
          <w:szCs w:val="21"/>
        </w:rPr>
      </w:pPr>
      <w:bookmarkStart w:id="1686" w:name="_Toc59203242"/>
      <w:bookmarkStart w:id="1687" w:name="_Toc54862343"/>
      <w:r>
        <w:rPr>
          <w:rFonts w:hint="eastAsia" w:cs="宋体"/>
          <w:b w:val="0"/>
          <w:color w:val="000000"/>
          <w:szCs w:val="21"/>
        </w:rPr>
        <w:t>第12条 竣工后试验</w:t>
      </w:r>
      <w:bookmarkEnd w:id="1686"/>
      <w:bookmarkEnd w:id="1687"/>
    </w:p>
    <w:p>
      <w:pPr>
        <w:spacing w:line="400" w:lineRule="exact"/>
        <w:ind w:firstLine="600"/>
        <w:rPr>
          <w:rFonts w:hint="eastAsia" w:ascii="宋体" w:hAnsi="宋体" w:cs="宋体"/>
          <w:color w:val="000000"/>
          <w:szCs w:val="21"/>
        </w:rPr>
      </w:pPr>
      <w:r>
        <w:rPr>
          <w:rFonts w:hint="eastAsia" w:ascii="宋体" w:hAnsi="宋体" w:cs="宋体"/>
          <w:color w:val="000000"/>
          <w:szCs w:val="21"/>
        </w:rPr>
        <w:t>本合同工程是否包含竣工后试验：</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12.1 竣工后试验的程序</w:t>
      </w:r>
    </w:p>
    <w:p>
      <w:pPr>
        <w:spacing w:line="400" w:lineRule="exact"/>
        <w:ind w:firstLine="600"/>
        <w:rPr>
          <w:rFonts w:hint="eastAsia" w:ascii="宋体" w:hAnsi="宋体" w:cs="宋体"/>
          <w:color w:val="000000"/>
          <w:szCs w:val="21"/>
        </w:rPr>
      </w:pPr>
      <w:r>
        <w:rPr>
          <w:rFonts w:hint="eastAsia" w:ascii="宋体" w:hAnsi="宋体" w:cs="宋体"/>
          <w:color w:val="000000"/>
          <w:szCs w:val="21"/>
        </w:rPr>
        <w:t>12.1.2 竣工后试验全部电力、水、污水处理、燃料、消耗品和材料，以及全部其他仪器、协助、文件或其他信息、设备、工具、劳力，启动工程设备，并组织安排有适当资质、经验和能力的工作人员等必要条件的提供方：</w:t>
      </w:r>
      <w:r>
        <w:rPr>
          <w:rFonts w:hint="eastAsia" w:ascii="宋体" w:hAnsi="宋体" w:cs="宋体"/>
          <w:color w:val="000000"/>
          <w:szCs w:val="21"/>
          <w:u w:val="single"/>
        </w:rPr>
        <w:t xml:space="preserve">                      </w:t>
      </w:r>
      <w:r>
        <w:rPr>
          <w:rFonts w:hint="eastAsia" w:ascii="宋体" w:hAnsi="宋体" w:cs="宋体"/>
          <w:color w:val="000000"/>
          <w:szCs w:val="21"/>
        </w:rPr>
        <w:t>。</w:t>
      </w:r>
    </w:p>
    <w:p>
      <w:pPr>
        <w:pStyle w:val="690"/>
        <w:spacing w:line="400" w:lineRule="exact"/>
        <w:rPr>
          <w:rFonts w:hint="eastAsia" w:cs="宋体"/>
          <w:b w:val="0"/>
          <w:color w:val="000000"/>
          <w:szCs w:val="21"/>
        </w:rPr>
      </w:pPr>
      <w:bookmarkStart w:id="1688" w:name="_Toc54862344"/>
      <w:bookmarkStart w:id="1689" w:name="_Toc59203243"/>
      <w:r>
        <w:rPr>
          <w:rFonts w:hint="eastAsia" w:cs="宋体"/>
          <w:b w:val="0"/>
          <w:color w:val="000000"/>
          <w:szCs w:val="21"/>
        </w:rPr>
        <w:t>第13条 变更与调整</w:t>
      </w:r>
      <w:bookmarkEnd w:id="1688"/>
      <w:bookmarkEnd w:id="1689"/>
    </w:p>
    <w:p>
      <w:pPr>
        <w:spacing w:line="400" w:lineRule="exact"/>
        <w:ind w:firstLine="600"/>
        <w:rPr>
          <w:rFonts w:hint="eastAsia" w:ascii="宋体" w:hAnsi="宋体" w:cs="宋体"/>
          <w:color w:val="000000"/>
          <w:szCs w:val="21"/>
        </w:rPr>
      </w:pPr>
      <w:r>
        <w:rPr>
          <w:rFonts w:hint="eastAsia" w:ascii="宋体" w:hAnsi="宋体" w:cs="宋体"/>
          <w:color w:val="000000"/>
          <w:szCs w:val="21"/>
        </w:rPr>
        <w:t>13.2 承包人的合理化建议</w:t>
      </w:r>
    </w:p>
    <w:p>
      <w:pPr>
        <w:spacing w:line="400" w:lineRule="exact"/>
        <w:ind w:firstLine="600"/>
        <w:rPr>
          <w:rFonts w:hint="eastAsia" w:ascii="宋体" w:hAnsi="宋体" w:cs="宋体"/>
          <w:color w:val="000000"/>
          <w:szCs w:val="21"/>
        </w:rPr>
      </w:pPr>
      <w:r>
        <w:rPr>
          <w:rFonts w:hint="eastAsia" w:ascii="宋体" w:hAnsi="宋体" w:cs="宋体"/>
          <w:color w:val="000000"/>
          <w:szCs w:val="21"/>
        </w:rPr>
        <w:t>13.2.2 工程师应在收到承包人提交的合理化建议后</w:t>
      </w:r>
      <w:r>
        <w:rPr>
          <w:rFonts w:hint="eastAsia" w:ascii="宋体" w:hAnsi="宋体" w:cs="宋体"/>
          <w:color w:val="000000"/>
          <w:szCs w:val="21"/>
          <w:u w:val="single"/>
        </w:rPr>
        <w:t xml:space="preserve">    </w:t>
      </w:r>
      <w:r>
        <w:rPr>
          <w:rFonts w:hint="eastAsia" w:ascii="宋体" w:hAnsi="宋体" w:cs="宋体"/>
          <w:color w:val="000000"/>
          <w:szCs w:val="21"/>
        </w:rPr>
        <w:t>日内审查完毕并报送发包人，发现其中存在技术上的缺陷，应通知承包人修改。发包人应在收到工程师报送的合理化建议后</w:t>
      </w:r>
      <w:r>
        <w:rPr>
          <w:rFonts w:hint="eastAsia" w:ascii="宋体" w:hAnsi="宋体" w:cs="宋体"/>
          <w:color w:val="000000"/>
          <w:szCs w:val="21"/>
          <w:u w:val="single"/>
        </w:rPr>
        <w:t xml:space="preserve">    </w:t>
      </w:r>
      <w:r>
        <w:rPr>
          <w:rFonts w:hint="eastAsia" w:ascii="宋体" w:hAnsi="宋体" w:cs="宋体"/>
          <w:color w:val="000000"/>
          <w:szCs w:val="21"/>
        </w:rPr>
        <w:t>日内审批完毕。合理化建议经发包人批准的，工程师应及时发出变更指示，由此引起的合同价格调整按照</w:t>
      </w:r>
      <w:r>
        <w:rPr>
          <w:rFonts w:hint="eastAsia" w:ascii="宋体" w:hAnsi="宋体" w:cs="宋体"/>
          <w:color w:val="000000"/>
          <w:szCs w:val="21"/>
          <w:u w:val="single"/>
        </w:rPr>
        <w:t xml:space="preserve">              </w:t>
      </w:r>
      <w:r>
        <w:rPr>
          <w:rFonts w:hint="eastAsia" w:ascii="宋体" w:hAnsi="宋体" w:cs="宋体"/>
          <w:color w:val="000000"/>
          <w:szCs w:val="21"/>
        </w:rPr>
        <w:t>执行。发包人不同意变更的，工程师应书面通知承包人</w:t>
      </w:r>
    </w:p>
    <w:p>
      <w:pPr>
        <w:spacing w:line="400" w:lineRule="exact"/>
        <w:ind w:firstLine="600"/>
        <w:rPr>
          <w:rFonts w:hint="eastAsia" w:ascii="宋体" w:hAnsi="宋体" w:cs="宋体"/>
          <w:color w:val="000000"/>
          <w:szCs w:val="21"/>
        </w:rPr>
      </w:pPr>
      <w:r>
        <w:rPr>
          <w:rFonts w:hint="eastAsia" w:ascii="宋体" w:hAnsi="宋体" w:cs="宋体"/>
          <w:color w:val="000000"/>
          <w:szCs w:val="21"/>
        </w:rPr>
        <w:t>13.2.3 承包人提出的合理化变更建议的利益分享约定：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13.3 变更程序</w:t>
      </w:r>
    </w:p>
    <w:p>
      <w:pPr>
        <w:spacing w:line="400" w:lineRule="exact"/>
        <w:ind w:firstLine="600"/>
        <w:rPr>
          <w:rFonts w:hint="eastAsia" w:ascii="宋体" w:hAnsi="宋体" w:cs="宋体"/>
          <w:color w:val="000000"/>
          <w:szCs w:val="21"/>
        </w:rPr>
      </w:pPr>
      <w:r>
        <w:rPr>
          <w:rFonts w:hint="eastAsia" w:ascii="宋体" w:hAnsi="宋体" w:cs="宋体"/>
          <w:color w:val="000000"/>
          <w:szCs w:val="21"/>
        </w:rPr>
        <w:t>13.3.3 变更估价</w:t>
      </w:r>
    </w:p>
    <w:p>
      <w:pPr>
        <w:spacing w:line="400" w:lineRule="exact"/>
        <w:ind w:firstLine="600"/>
        <w:rPr>
          <w:rFonts w:hint="eastAsia" w:ascii="宋体" w:hAnsi="宋体" w:cs="宋体"/>
          <w:color w:val="000000"/>
          <w:szCs w:val="21"/>
        </w:rPr>
      </w:pPr>
      <w:r>
        <w:rPr>
          <w:rFonts w:hint="eastAsia" w:ascii="宋体" w:hAnsi="宋体" w:cs="宋体"/>
          <w:color w:val="000000"/>
          <w:szCs w:val="21"/>
        </w:rPr>
        <w:t>13.3.3.1 变更估价原则</w:t>
      </w:r>
    </w:p>
    <w:p>
      <w:pPr>
        <w:spacing w:line="400" w:lineRule="exact"/>
        <w:ind w:firstLine="420" w:firstLineChars="200"/>
        <w:rPr>
          <w:rFonts w:hint="eastAsia" w:ascii="宋体" w:hAnsi="宋体" w:cs="宋体"/>
          <w:bCs/>
          <w:color w:val="000000"/>
          <w:szCs w:val="21"/>
          <w:u w:val="single"/>
        </w:rPr>
      </w:pPr>
      <w:r>
        <w:rPr>
          <w:rFonts w:hint="eastAsia" w:ascii="宋体" w:hAnsi="宋体" w:cs="宋体"/>
          <w:color w:val="000000"/>
          <w:szCs w:val="21"/>
        </w:rPr>
        <w:t>关于变更估价原则的约定：</w:t>
      </w:r>
      <w:r>
        <w:rPr>
          <w:rFonts w:hint="eastAsia" w:ascii="宋体" w:hAnsi="宋体" w:cs="宋体"/>
          <w:bCs/>
          <w:color w:val="000000"/>
          <w:szCs w:val="21"/>
          <w:u w:val="single"/>
        </w:rPr>
        <w:t>因变更引起工程项目、工程量变化的，变更合同价款按下列方法进行：</w:t>
      </w:r>
    </w:p>
    <w:p>
      <w:pPr>
        <w:spacing w:line="400" w:lineRule="exact"/>
        <w:ind w:firstLine="420" w:firstLineChars="200"/>
        <w:rPr>
          <w:rFonts w:hint="eastAsia" w:ascii="宋体" w:hAnsi="宋体" w:cs="宋体"/>
          <w:bCs/>
          <w:color w:val="000000"/>
          <w:szCs w:val="21"/>
          <w:u w:val="single"/>
        </w:rPr>
      </w:pPr>
      <w:r>
        <w:rPr>
          <w:rFonts w:hint="eastAsia" w:ascii="宋体" w:hAnsi="宋体" w:cs="宋体"/>
          <w:bCs/>
          <w:color w:val="000000"/>
          <w:szCs w:val="21"/>
          <w:u w:val="single"/>
        </w:rPr>
        <w:t>（1）合同中已有相同子目的，按合同该子目价格进行计算；</w:t>
      </w:r>
    </w:p>
    <w:p>
      <w:pPr>
        <w:spacing w:line="400" w:lineRule="exact"/>
        <w:ind w:firstLine="420" w:firstLineChars="200"/>
        <w:rPr>
          <w:rFonts w:hint="eastAsia" w:ascii="宋体" w:hAnsi="宋体" w:cs="宋体"/>
          <w:bCs/>
          <w:color w:val="000000"/>
          <w:szCs w:val="21"/>
          <w:u w:val="single"/>
        </w:rPr>
      </w:pPr>
      <w:r>
        <w:rPr>
          <w:rFonts w:hint="eastAsia" w:ascii="宋体" w:hAnsi="宋体" w:cs="宋体"/>
          <w:bCs/>
          <w:color w:val="000000"/>
          <w:szCs w:val="21"/>
          <w:u w:val="single"/>
        </w:rPr>
        <w:t>（2）合同中只有类似子目的，参照该类似子目价格进行计算；</w:t>
      </w:r>
    </w:p>
    <w:p>
      <w:pPr>
        <w:spacing w:line="400" w:lineRule="exact"/>
        <w:ind w:firstLine="420" w:firstLineChars="200"/>
        <w:rPr>
          <w:rFonts w:hint="eastAsia" w:ascii="宋体" w:hAnsi="宋体" w:cs="宋体"/>
          <w:bCs/>
          <w:color w:val="000000"/>
          <w:szCs w:val="21"/>
          <w:u w:val="single"/>
        </w:rPr>
      </w:pPr>
      <w:r>
        <w:rPr>
          <w:rFonts w:hint="eastAsia" w:ascii="宋体" w:hAnsi="宋体" w:cs="宋体"/>
          <w:bCs/>
          <w:color w:val="000000"/>
          <w:szCs w:val="21"/>
          <w:u w:val="single"/>
        </w:rPr>
        <w:t>（3）合同中没有适用或类似子目的价格计算方法：</w:t>
      </w:r>
    </w:p>
    <w:p>
      <w:pPr>
        <w:spacing w:line="400" w:lineRule="exact"/>
        <w:ind w:firstLine="420" w:firstLineChars="200"/>
        <w:rPr>
          <w:rFonts w:hint="eastAsia" w:ascii="宋体" w:hAnsi="宋体" w:cs="宋体"/>
          <w:bCs/>
          <w:color w:val="000000"/>
          <w:szCs w:val="21"/>
          <w:u w:val="single"/>
        </w:rPr>
      </w:pPr>
      <w:r>
        <w:rPr>
          <w:rFonts w:hint="eastAsia" w:ascii="宋体" w:hAnsi="宋体" w:cs="宋体"/>
          <w:bCs/>
          <w:color w:val="000000"/>
          <w:szCs w:val="21"/>
          <w:u w:val="single"/>
        </w:rPr>
        <w:t>□有定额的套定额，并乘以下浮系数（中标价/招标控制价）计算，其中材料价格按施工期间的《XX市建设工程造价信息》相应价格信息进行计算；《XX市建设工程造价信息》没有相应价格信息的按市场价计算；无定额可套的，根据市场价格协商确定综合价格。</w:t>
      </w:r>
    </w:p>
    <w:p>
      <w:pPr>
        <w:spacing w:line="400" w:lineRule="exact"/>
        <w:ind w:firstLine="420" w:firstLineChars="200"/>
        <w:rPr>
          <w:rFonts w:hint="eastAsia" w:ascii="宋体" w:hAnsi="宋体" w:cs="宋体"/>
          <w:bCs/>
          <w:color w:val="000000"/>
          <w:szCs w:val="21"/>
          <w:u w:val="single"/>
        </w:rPr>
      </w:pPr>
      <w:r>
        <w:rPr>
          <w:rFonts w:hint="eastAsia" w:ascii="宋体" w:hAnsi="宋体" w:cs="宋体"/>
          <w:bCs/>
          <w:color w:val="000000"/>
          <w:szCs w:val="21"/>
          <w:u w:val="single"/>
        </w:rPr>
        <w:t>□根据市场价格协商确定                                        。</w:t>
      </w:r>
    </w:p>
    <w:p>
      <w:pPr>
        <w:spacing w:line="400" w:lineRule="exact"/>
        <w:ind w:firstLine="600"/>
        <w:rPr>
          <w:rFonts w:hint="eastAsia" w:ascii="宋体" w:hAnsi="宋体" w:cs="宋体"/>
          <w:color w:val="000000"/>
          <w:szCs w:val="21"/>
        </w:rPr>
      </w:pPr>
      <w:r>
        <w:rPr>
          <w:rFonts w:hint="eastAsia" w:ascii="宋体" w:hAnsi="宋体" w:cs="宋体"/>
          <w:color w:val="000000"/>
          <w:szCs w:val="21"/>
        </w:rPr>
        <w:t>13.4 暂估价</w:t>
      </w:r>
    </w:p>
    <w:p>
      <w:pPr>
        <w:spacing w:line="400" w:lineRule="exact"/>
        <w:ind w:firstLine="600"/>
        <w:rPr>
          <w:rFonts w:hint="eastAsia" w:ascii="宋体" w:hAnsi="宋体" w:cs="宋体"/>
          <w:color w:val="000000"/>
          <w:szCs w:val="21"/>
        </w:rPr>
      </w:pPr>
      <w:r>
        <w:rPr>
          <w:rFonts w:hint="eastAsia" w:ascii="宋体" w:hAnsi="宋体" w:cs="宋体"/>
          <w:color w:val="000000"/>
          <w:szCs w:val="21"/>
        </w:rPr>
        <w:t>13.4.1 依法必须招标的暂估价项目</w:t>
      </w:r>
    </w:p>
    <w:p>
      <w:pPr>
        <w:spacing w:line="400" w:lineRule="exact"/>
        <w:ind w:firstLine="600"/>
        <w:rPr>
          <w:rFonts w:hint="eastAsia" w:ascii="宋体" w:hAnsi="宋体" w:cs="宋体"/>
          <w:color w:val="000000"/>
          <w:szCs w:val="21"/>
        </w:rPr>
      </w:pPr>
      <w:r>
        <w:rPr>
          <w:rFonts w:hint="eastAsia" w:ascii="宋体" w:hAnsi="宋体" w:cs="宋体"/>
          <w:color w:val="000000"/>
          <w:szCs w:val="21"/>
        </w:rPr>
        <w:t>由承包人作为招标人的暂估价项目范围：</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由发包人和承包人共同作为招标人的暂估价项目范围：</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招投标程序及其他约定：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13.4.2 不属于依法必须招标的暂估价项目</w:t>
      </w:r>
    </w:p>
    <w:p>
      <w:pPr>
        <w:spacing w:line="400" w:lineRule="exact"/>
        <w:ind w:firstLine="600"/>
        <w:rPr>
          <w:rFonts w:hint="eastAsia" w:ascii="宋体" w:hAnsi="宋体" w:cs="宋体"/>
          <w:color w:val="000000"/>
          <w:szCs w:val="21"/>
        </w:rPr>
      </w:pPr>
      <w:r>
        <w:rPr>
          <w:rFonts w:hint="eastAsia" w:ascii="宋体" w:hAnsi="宋体" w:cs="宋体"/>
          <w:color w:val="000000"/>
          <w:szCs w:val="21"/>
        </w:rPr>
        <w:t>不属于依法必须招标的暂估价项目的协商及估价的约定：</w:t>
      </w:r>
      <w:r>
        <w:rPr>
          <w:rFonts w:hint="eastAsia" w:ascii="宋体" w:hAnsi="宋体" w:cs="宋体"/>
          <w:color w:val="000000"/>
          <w:szCs w:val="21"/>
          <w:u w:val="single"/>
        </w:rPr>
        <w:t xml:space="preserve">                                                  </w:t>
      </w:r>
      <w:r>
        <w:rPr>
          <w:rFonts w:hint="eastAsia" w:ascii="宋体" w:hAnsi="宋体" w:cs="宋体"/>
          <w:color w:val="000000"/>
          <w:szCs w:val="21"/>
        </w:rPr>
        <w:t>。</w:t>
      </w:r>
    </w:p>
    <w:p>
      <w:pPr>
        <w:pStyle w:val="76"/>
        <w:adjustRightInd w:val="0"/>
        <w:snapToGrid w:val="0"/>
        <w:spacing w:before="0" w:beforeAutospacing="0" w:after="0" w:afterAutospacing="0" w:line="400" w:lineRule="exact"/>
        <w:ind w:firstLine="420" w:firstLineChars="200"/>
        <w:jc w:val="both"/>
        <w:rPr>
          <w:rFonts w:hint="eastAsia"/>
          <w:color w:val="000000"/>
          <w:sz w:val="21"/>
          <w:szCs w:val="21"/>
          <w:shd w:val="clear" w:color="auto" w:fill="FFFFFF"/>
        </w:rPr>
      </w:pPr>
      <w:r>
        <w:rPr>
          <w:rFonts w:hint="eastAsia"/>
          <w:color w:val="000000"/>
          <w:sz w:val="21"/>
          <w:szCs w:val="21"/>
          <w:shd w:val="clear" w:color="auto" w:fill="FFFFFF"/>
        </w:rPr>
        <w:t>13.5暂估价专业工程应按招标人给定的暂估价进行限额设计并编制施工图预算（依法必须招标的暂估价专业工程为招标控制价），施工图预算（或招标控制价）超过暂估价的，经发包人组织专家论证并经有关部门审核后认为设计不合理的，承包人应无偿修改设计，并按承担相关违约责任；如果确认为设计合理的允许施工图预算（或招标控制价）超过暂估价。</w:t>
      </w:r>
    </w:p>
    <w:p>
      <w:pPr>
        <w:spacing w:line="400" w:lineRule="exact"/>
        <w:ind w:firstLine="600"/>
        <w:rPr>
          <w:rFonts w:hint="eastAsia" w:ascii="宋体" w:hAnsi="宋体" w:cs="宋体"/>
          <w:color w:val="000000"/>
          <w:szCs w:val="21"/>
        </w:rPr>
      </w:pPr>
      <w:r>
        <w:rPr>
          <w:rFonts w:hint="eastAsia" w:ascii="宋体" w:hAnsi="宋体" w:cs="宋体"/>
          <w:color w:val="000000"/>
          <w:szCs w:val="21"/>
        </w:rPr>
        <w:t>13.5 暂列金额</w:t>
      </w:r>
    </w:p>
    <w:p>
      <w:pPr>
        <w:spacing w:line="400" w:lineRule="exact"/>
        <w:ind w:firstLine="600"/>
        <w:rPr>
          <w:rFonts w:hint="eastAsia" w:ascii="宋体" w:hAnsi="宋体" w:cs="宋体"/>
          <w:color w:val="000000"/>
          <w:szCs w:val="21"/>
        </w:rPr>
      </w:pPr>
      <w:r>
        <w:rPr>
          <w:rFonts w:hint="eastAsia" w:ascii="宋体" w:hAnsi="宋体" w:cs="宋体"/>
          <w:color w:val="000000"/>
          <w:szCs w:val="21"/>
        </w:rPr>
        <w:t>其他关于暂列金额使用的约定：</w:t>
      </w:r>
      <w:r>
        <w:rPr>
          <w:rFonts w:hint="eastAsia" w:ascii="宋体" w:hAnsi="宋体" w:cs="宋体"/>
          <w:color w:val="000000"/>
          <w:szCs w:val="21"/>
          <w:shd w:val="clear" w:color="auto" w:fill="FFFFFF"/>
        </w:rPr>
        <w:t>暂列金额应由发包人掌握使用，用于合同约定允许调整合同价款所发生的费用。</w:t>
      </w:r>
    </w:p>
    <w:p>
      <w:pPr>
        <w:spacing w:line="400" w:lineRule="exact"/>
        <w:ind w:firstLine="600"/>
        <w:rPr>
          <w:rFonts w:hint="eastAsia" w:ascii="宋体" w:hAnsi="宋体" w:cs="宋体"/>
          <w:color w:val="000000"/>
          <w:szCs w:val="21"/>
        </w:rPr>
      </w:pPr>
      <w:r>
        <w:rPr>
          <w:rFonts w:hint="eastAsia" w:ascii="宋体" w:hAnsi="宋体" w:cs="宋体"/>
          <w:color w:val="000000"/>
          <w:szCs w:val="21"/>
        </w:rPr>
        <w:t>13.8 市场价格波动引起的调整</w:t>
      </w:r>
    </w:p>
    <w:p>
      <w:pPr>
        <w:spacing w:line="400" w:lineRule="exact"/>
        <w:ind w:firstLine="600"/>
        <w:rPr>
          <w:rFonts w:hint="eastAsia" w:ascii="宋体" w:hAnsi="宋体" w:cs="宋体"/>
          <w:color w:val="000000"/>
          <w:szCs w:val="21"/>
        </w:rPr>
      </w:pPr>
      <w:r>
        <w:rPr>
          <w:rFonts w:hint="eastAsia" w:ascii="宋体" w:hAnsi="宋体" w:cs="宋体"/>
          <w:color w:val="000000"/>
          <w:szCs w:val="21"/>
        </w:rPr>
        <w:t>13.8.2 关于是否采用《价格指数权重表》的约定：</w:t>
      </w:r>
      <w:r>
        <w:rPr>
          <w:rFonts w:hint="eastAsia" w:ascii="宋体" w:hAnsi="宋体" w:cs="宋体"/>
          <w:color w:val="000000"/>
          <w:szCs w:val="21"/>
          <w:u w:val="single"/>
        </w:rPr>
        <w:t xml:space="preserve">                                          </w:t>
      </w:r>
      <w:r>
        <w:rPr>
          <w:rFonts w:hint="eastAsia" w:ascii="宋体" w:hAnsi="宋体" w:cs="宋体"/>
          <w:color w:val="000000"/>
          <w:szCs w:val="21"/>
        </w:rPr>
        <w:t>。</w:t>
      </w:r>
    </w:p>
    <w:p>
      <w:pPr>
        <w:pStyle w:val="76"/>
        <w:adjustRightInd w:val="0"/>
        <w:snapToGrid w:val="0"/>
        <w:spacing w:beforeAutospacing="0" w:afterAutospacing="0" w:line="400" w:lineRule="exact"/>
        <w:ind w:left="1260" w:leftChars="200" w:hanging="840" w:hangingChars="400"/>
        <w:jc w:val="both"/>
        <w:rPr>
          <w:rFonts w:hint="eastAsia"/>
          <w:color w:val="000000"/>
          <w:sz w:val="21"/>
          <w:szCs w:val="21"/>
        </w:rPr>
      </w:pPr>
      <w:r>
        <w:rPr>
          <w:rFonts w:hint="eastAsia"/>
          <w:color w:val="000000"/>
          <w:sz w:val="21"/>
          <w:szCs w:val="21"/>
        </w:rPr>
        <w:t>13.8.3 关于采用其他方式调整合同价款的约定：</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u w:val="single"/>
        </w:rPr>
        <w:t>1</w:t>
      </w:r>
      <w:r>
        <w:rPr>
          <w:rFonts w:hint="eastAsia" w:ascii="宋体" w:hAnsi="宋体" w:cs="宋体"/>
          <w:color w:val="000000"/>
          <w:szCs w:val="21"/>
        </w:rPr>
        <w:t>．人工费调整</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□按照我区建设行政主管部门发布的人工费调整文件进行调整。</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□双方商定的其他调整办法：</w:t>
      </w:r>
      <w:r>
        <w:rPr>
          <w:rFonts w:hint="eastAsia" w:ascii="宋体" w:hAnsi="宋体" w:cs="宋体"/>
          <w:color w:val="000000"/>
          <w:szCs w:val="21"/>
          <w:u w:val="single"/>
        </w:rPr>
        <w:t xml:space="preserve">                                       </w:t>
      </w:r>
      <w:r>
        <w:rPr>
          <w:rFonts w:hint="eastAsia" w:ascii="宋体" w:hAnsi="宋体" w:cs="宋体"/>
          <w:color w:val="000000"/>
          <w:szCs w:val="21"/>
        </w:rPr>
        <w:t>。</w:t>
      </w:r>
    </w:p>
    <w:p>
      <w:pPr>
        <w:pStyle w:val="76"/>
        <w:spacing w:line="400" w:lineRule="exact"/>
        <w:ind w:left="1260" w:leftChars="200" w:hanging="840" w:hangingChars="400"/>
        <w:rPr>
          <w:rFonts w:hint="eastAsia"/>
          <w:color w:val="000000"/>
          <w:sz w:val="21"/>
          <w:szCs w:val="21"/>
        </w:rPr>
      </w:pPr>
      <w:r>
        <w:rPr>
          <w:rFonts w:hint="eastAsia"/>
          <w:color w:val="000000"/>
          <w:sz w:val="21"/>
          <w:szCs w:val="21"/>
          <w:u w:val="single"/>
        </w:rPr>
        <w:t>2.材料价差调整采用</w:t>
      </w:r>
      <w:r>
        <w:rPr>
          <w:rFonts w:hint="eastAsia"/>
          <w:color w:val="000000"/>
          <w:sz w:val="21"/>
          <w:szCs w:val="21"/>
        </w:rPr>
        <w:t>造价信息调整价格差额法</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fldChar w:fldCharType="begin"/>
      </w:r>
      <w:r>
        <w:rPr>
          <w:rFonts w:hint="eastAsia" w:ascii="宋体" w:hAnsi="宋体" w:cs="宋体"/>
          <w:color w:val="000000"/>
          <w:szCs w:val="21"/>
        </w:rPr>
        <w:instrText xml:space="preserve"> = 1 \* GB3 </w:instrText>
      </w:r>
      <w:r>
        <w:rPr>
          <w:rFonts w:hint="eastAsia" w:ascii="宋体" w:hAnsi="宋体" w:cs="宋体"/>
          <w:color w:val="000000"/>
          <w:szCs w:val="21"/>
        </w:rPr>
        <w:fldChar w:fldCharType="separate"/>
      </w:r>
      <w:r>
        <w:rPr>
          <w:rFonts w:hint="eastAsia" w:ascii="宋体" w:hAnsi="宋体" w:cs="宋体"/>
          <w:color w:val="000000"/>
          <w:szCs w:val="21"/>
        </w:rPr>
        <w:t>①</w:t>
      </w:r>
      <w:r>
        <w:rPr>
          <w:rFonts w:hint="eastAsia" w:ascii="宋体" w:hAnsi="宋体" w:cs="宋体"/>
          <w:color w:val="000000"/>
          <w:szCs w:val="21"/>
        </w:rPr>
        <w:fldChar w:fldCharType="end"/>
      </w:r>
      <w:r>
        <w:rPr>
          <w:rFonts w:hint="eastAsia" w:ascii="宋体" w:hAnsi="宋体" w:cs="宋体"/>
          <w:color w:val="000000"/>
          <w:szCs w:val="21"/>
        </w:rPr>
        <w:t>关于基准价格的约定：允许调整的主要材料设备基准价格和承包人承担的风险系数详见工程量清单“允许调整价格的主要材料和设备一览表”（表18）。</w:t>
      </w:r>
    </w:p>
    <w:p>
      <w:pPr>
        <w:spacing w:line="400" w:lineRule="exact"/>
        <w:ind w:firstLine="420"/>
        <w:rPr>
          <w:rFonts w:hint="eastAsia" w:ascii="宋体" w:hAnsi="宋体" w:cs="宋体"/>
          <w:color w:val="000000"/>
          <w:szCs w:val="21"/>
        </w:rPr>
      </w:pPr>
      <w:r>
        <w:rPr>
          <w:rFonts w:hint="eastAsia" w:ascii="宋体" w:hAnsi="宋体" w:cs="宋体"/>
          <w:color w:val="000000"/>
          <w:szCs w:val="21"/>
        </w:rPr>
        <w:fldChar w:fldCharType="begin"/>
      </w:r>
      <w:r>
        <w:rPr>
          <w:rFonts w:hint="eastAsia" w:ascii="宋体" w:hAnsi="宋体" w:cs="宋体"/>
          <w:color w:val="000000"/>
          <w:szCs w:val="21"/>
        </w:rPr>
        <w:instrText xml:space="preserve"> = 2 \* GB3 </w:instrText>
      </w:r>
      <w:r>
        <w:rPr>
          <w:rFonts w:hint="eastAsia" w:ascii="宋体" w:hAnsi="宋体" w:cs="宋体"/>
          <w:color w:val="000000"/>
          <w:szCs w:val="21"/>
        </w:rPr>
        <w:fldChar w:fldCharType="separate"/>
      </w:r>
      <w:r>
        <w:rPr>
          <w:rFonts w:hint="eastAsia" w:ascii="宋体" w:hAnsi="宋体" w:cs="宋体"/>
          <w:color w:val="000000"/>
          <w:szCs w:val="21"/>
        </w:rPr>
        <w:t>②</w:t>
      </w:r>
      <w:r>
        <w:rPr>
          <w:rFonts w:hint="eastAsia" w:ascii="宋体" w:hAnsi="宋体" w:cs="宋体"/>
          <w:color w:val="000000"/>
          <w:szCs w:val="21"/>
        </w:rPr>
        <w:fldChar w:fldCharType="end"/>
      </w:r>
      <w:r>
        <w:rPr>
          <w:rFonts w:hint="eastAsia" w:ascii="宋体" w:hAnsi="宋体" w:cs="宋体"/>
          <w:color w:val="000000"/>
          <w:szCs w:val="21"/>
        </w:rPr>
        <w:t>超过合同约定风险系数的材料设备价格确认价计算采用如下</w:t>
      </w:r>
      <w:r>
        <w:rPr>
          <w:rFonts w:hint="eastAsia" w:ascii="宋体" w:hAnsi="宋体" w:cs="宋体"/>
          <w:color w:val="000000"/>
          <w:szCs w:val="21"/>
          <w:u w:val="single"/>
        </w:rPr>
        <w:t xml:space="preserve">   </w:t>
      </w:r>
      <w:r>
        <w:rPr>
          <w:rFonts w:hint="eastAsia" w:ascii="宋体" w:hAnsi="宋体" w:cs="宋体"/>
          <w:color w:val="000000"/>
          <w:szCs w:val="21"/>
        </w:rPr>
        <w:t>方案。</w:t>
      </w:r>
    </w:p>
    <w:p>
      <w:pPr>
        <w:spacing w:line="400" w:lineRule="exact"/>
        <w:ind w:firstLine="420"/>
        <w:rPr>
          <w:rFonts w:hint="eastAsia" w:ascii="宋体" w:hAnsi="宋体" w:cs="宋体"/>
          <w:color w:val="000000"/>
          <w:szCs w:val="21"/>
        </w:rPr>
      </w:pPr>
      <w:r>
        <w:rPr>
          <w:rFonts w:hint="eastAsia" w:ascii="宋体" w:hAnsi="宋体" w:cs="宋体"/>
          <w:color w:val="000000"/>
          <w:szCs w:val="21"/>
        </w:rPr>
        <w:t>□A方案  承包人应在采购材料前将采购数量和新的材料单价报发包人核对，发包人确认用于工程时，发包人应确认采购材料的数量和单价。发包人在收到承包人报送的确认资料后5个工作日内不予答复的视为认可，作为调整合同价格的依据。未经发包人事先核对，承包人自行采购材料的，发包人有权不予调整合同价格。发包人同意的，可以调整合同价格。</w:t>
      </w:r>
    </w:p>
    <w:p>
      <w:pPr>
        <w:spacing w:line="400" w:lineRule="exact"/>
        <w:ind w:firstLine="420"/>
        <w:rPr>
          <w:rFonts w:hint="eastAsia" w:ascii="宋体" w:hAnsi="宋体" w:cs="宋体"/>
          <w:color w:val="000000"/>
          <w:szCs w:val="21"/>
        </w:rPr>
      </w:pPr>
      <w:r>
        <w:rPr>
          <w:rFonts w:hint="eastAsia" w:ascii="宋体" w:hAnsi="宋体" w:cs="宋体"/>
          <w:color w:val="000000"/>
          <w:szCs w:val="21"/>
        </w:rPr>
        <w:t xml:space="preserve">□B方案  根据建设工程造价管理机构发布的造价信息加权平均值计算。本工程确认价参照《    市造价信息价》材料设备使用期间的加权平均价计算。信息价没有的，按照 A方案执行。  </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fldChar w:fldCharType="begin"/>
      </w:r>
      <w:r>
        <w:rPr>
          <w:rFonts w:hint="eastAsia" w:ascii="宋体" w:hAnsi="宋体" w:cs="宋体"/>
          <w:color w:val="000000"/>
          <w:szCs w:val="21"/>
        </w:rPr>
        <w:instrText xml:space="preserve"> = 3 \* GB3 </w:instrText>
      </w:r>
      <w:r>
        <w:rPr>
          <w:rFonts w:hint="eastAsia" w:ascii="宋体" w:hAnsi="宋体" w:cs="宋体"/>
          <w:color w:val="000000"/>
          <w:szCs w:val="21"/>
        </w:rPr>
        <w:fldChar w:fldCharType="separate"/>
      </w:r>
      <w:r>
        <w:rPr>
          <w:rFonts w:hint="eastAsia" w:ascii="宋体" w:hAnsi="宋体" w:cs="宋体"/>
          <w:color w:val="000000"/>
          <w:szCs w:val="21"/>
        </w:rPr>
        <w:t>③</w:t>
      </w:r>
      <w:r>
        <w:rPr>
          <w:rFonts w:hint="eastAsia" w:ascii="宋体" w:hAnsi="宋体" w:cs="宋体"/>
          <w:color w:val="000000"/>
          <w:szCs w:val="21"/>
        </w:rPr>
        <w:fldChar w:fldCharType="end"/>
      </w:r>
      <w:r>
        <w:rPr>
          <w:rFonts w:hint="eastAsia" w:ascii="宋体" w:hAnsi="宋体" w:cs="宋体"/>
          <w:color w:val="000000"/>
          <w:szCs w:val="21"/>
        </w:rPr>
        <w:t>材料、工程设备价格变化的价款调整按照发包人提供的基准价格及确认价，按以下规定计算:</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A承包人在已标价工程量清单或预算书中载明的主要材料、工程设备单价低于基准价格的：合同履</w:t>
      </w:r>
    </w:p>
    <w:p>
      <w:pPr>
        <w:spacing w:line="400" w:lineRule="exact"/>
        <w:rPr>
          <w:rFonts w:hint="eastAsia" w:ascii="宋体" w:hAnsi="宋体" w:cs="宋体"/>
          <w:color w:val="000000"/>
          <w:szCs w:val="21"/>
        </w:rPr>
      </w:pPr>
      <w:r>
        <w:rPr>
          <w:rFonts w:hint="eastAsia" w:ascii="宋体" w:hAnsi="宋体" w:cs="宋体"/>
          <w:color w:val="000000"/>
          <w:szCs w:val="21"/>
        </w:rPr>
        <w:t>行期间材料单价涨幅以基准价格为基础超过约定</w:t>
      </w:r>
      <w:r>
        <w:rPr>
          <w:rFonts w:hint="eastAsia" w:ascii="宋体" w:hAnsi="宋体" w:cs="宋体"/>
          <w:color w:val="000000"/>
          <w:szCs w:val="21"/>
          <w:u w:val="single"/>
        </w:rPr>
        <w:t xml:space="preserve">     </w:t>
      </w:r>
      <w:r>
        <w:rPr>
          <w:rFonts w:hint="eastAsia" w:ascii="宋体" w:hAnsi="宋体" w:cs="宋体"/>
          <w:color w:val="000000"/>
          <w:szCs w:val="21"/>
        </w:rPr>
        <w:t xml:space="preserve"> %时，或材料单价跌幅以在已标价工程量清单或预算书中载明的主要材料、工程设备单价为基础超过约定</w:t>
      </w:r>
      <w:r>
        <w:rPr>
          <w:rFonts w:hint="eastAsia" w:ascii="宋体" w:hAnsi="宋体" w:cs="宋体"/>
          <w:color w:val="000000"/>
          <w:szCs w:val="21"/>
          <w:u w:val="single"/>
        </w:rPr>
        <w:t xml:space="preserve">     </w:t>
      </w:r>
      <w:r>
        <w:rPr>
          <w:rFonts w:hint="eastAsia" w:ascii="宋体" w:hAnsi="宋体" w:cs="宋体"/>
          <w:color w:val="000000"/>
          <w:szCs w:val="21"/>
        </w:rPr>
        <w:t>%时，对其超过部分进行价差调整，价差计算公式：价格上涨价差＝确认价-基准价×（1＋风险系数），价格下跌价差＝确认价－投标报价×（1-风险系数）。</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B承包人在已标价工程量清单或预算书中载明的主要材料、工程设备单价高于基准价格的：合同履行期间材料单价跌幅以基准价格为基础超过约定</w:t>
      </w:r>
      <w:r>
        <w:rPr>
          <w:rFonts w:hint="eastAsia" w:ascii="宋体" w:hAnsi="宋体" w:cs="宋体"/>
          <w:color w:val="000000"/>
          <w:szCs w:val="21"/>
          <w:u w:val="single"/>
        </w:rPr>
        <w:t xml:space="preserve">     </w:t>
      </w:r>
      <w:r>
        <w:rPr>
          <w:rFonts w:hint="eastAsia" w:ascii="宋体" w:hAnsi="宋体" w:cs="宋体"/>
          <w:color w:val="000000"/>
          <w:szCs w:val="21"/>
        </w:rPr>
        <w:t>% 时，材料单价涨幅以在已标价工程量清单或预算书中载明材料单价为基础超过约定</w:t>
      </w:r>
      <w:r>
        <w:rPr>
          <w:rFonts w:hint="eastAsia" w:ascii="宋体" w:hAnsi="宋体" w:cs="宋体"/>
          <w:color w:val="000000"/>
          <w:szCs w:val="21"/>
          <w:u w:val="single"/>
        </w:rPr>
        <w:t xml:space="preserve">     </w:t>
      </w:r>
      <w:r>
        <w:rPr>
          <w:rFonts w:hint="eastAsia" w:ascii="宋体" w:hAnsi="宋体" w:cs="宋体"/>
          <w:color w:val="000000"/>
          <w:szCs w:val="21"/>
        </w:rPr>
        <w:t>% 时，对其超过部分进行价差调整。价差计算公式：价格上涨价差＝确认价-投标报价×（1＋风险系数），价格下跌价差＝确认价－基准价×（1-风险系数）。</w:t>
      </w:r>
    </w:p>
    <w:p>
      <w:pPr>
        <w:spacing w:line="400" w:lineRule="exact"/>
        <w:rPr>
          <w:rFonts w:hint="eastAsia" w:ascii="宋体" w:hAnsi="宋体" w:cs="宋体"/>
          <w:color w:val="000000"/>
          <w:szCs w:val="21"/>
        </w:rPr>
      </w:pPr>
      <w:r>
        <w:rPr>
          <w:rFonts w:hint="eastAsia" w:ascii="宋体" w:hAnsi="宋体" w:cs="宋体"/>
          <w:color w:val="000000"/>
          <w:szCs w:val="21"/>
        </w:rPr>
        <w:t xml:space="preserve">    C承包人在已标价工程量清单或预算书中载明的主要材料、工程设备单价等于基准价格的：合同履行期间材料单价涨跌幅以基准价格为基础超过</w:t>
      </w:r>
      <w:r>
        <w:rPr>
          <w:rFonts w:hint="eastAsia" w:ascii="宋体" w:hAnsi="宋体" w:cs="宋体"/>
          <w:color w:val="000000"/>
          <w:szCs w:val="21"/>
          <w:u w:val="single"/>
        </w:rPr>
        <w:t xml:space="preserve">     </w:t>
      </w:r>
      <w:r>
        <w:rPr>
          <w:rFonts w:hint="eastAsia" w:ascii="宋体" w:hAnsi="宋体" w:cs="宋体"/>
          <w:color w:val="000000"/>
          <w:szCs w:val="21"/>
        </w:rPr>
        <w:t>%时，对其超过部分进行价差调整。价差计算公式：价格上涨价差＝确认价-基准单价×（1＋风险系数）。价格下跌价差＝确认价-基准单价×（1-风险系数）</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left="1155" w:leftChars="200" w:hanging="735" w:hangingChars="350"/>
        <w:rPr>
          <w:rFonts w:hint="eastAsia" w:ascii="宋体" w:hAnsi="宋体" w:cs="宋体"/>
          <w:color w:val="000000"/>
          <w:szCs w:val="21"/>
        </w:rPr>
      </w:pPr>
      <w:bookmarkStart w:id="1690" w:name="_Toc54862345"/>
      <w:r>
        <w:rPr>
          <w:rFonts w:hint="eastAsia" w:ascii="宋体" w:hAnsi="宋体" w:cs="宋体"/>
          <w:bCs/>
          <w:color w:val="000000"/>
          <w:szCs w:val="21"/>
        </w:rPr>
        <w:t xml:space="preserve"> 13.9</w:t>
      </w:r>
      <w:r>
        <w:rPr>
          <w:rFonts w:hint="eastAsia" w:ascii="宋体" w:hAnsi="宋体" w:cs="宋体"/>
          <w:color w:val="000000"/>
          <w:szCs w:val="21"/>
        </w:rPr>
        <w:t>设计费为固定价，如业主提出设计变更工作量较大，对设计费调整的约定：                。</w:t>
      </w:r>
    </w:p>
    <w:p>
      <w:pPr>
        <w:pStyle w:val="690"/>
        <w:spacing w:line="400" w:lineRule="exact"/>
        <w:rPr>
          <w:rFonts w:hint="eastAsia" w:cs="宋体"/>
          <w:b w:val="0"/>
          <w:color w:val="000000"/>
          <w:szCs w:val="21"/>
        </w:rPr>
      </w:pPr>
      <w:bookmarkStart w:id="1691" w:name="_Toc59203244"/>
      <w:r>
        <w:rPr>
          <w:rFonts w:hint="eastAsia" w:cs="宋体"/>
          <w:b w:val="0"/>
          <w:color w:val="000000"/>
          <w:szCs w:val="21"/>
        </w:rPr>
        <w:t>第14条 合同价格与支付</w:t>
      </w:r>
      <w:bookmarkEnd w:id="1690"/>
      <w:bookmarkEnd w:id="1691"/>
    </w:p>
    <w:p>
      <w:pPr>
        <w:spacing w:line="400" w:lineRule="exact"/>
        <w:ind w:firstLine="600"/>
        <w:rPr>
          <w:rFonts w:hint="eastAsia" w:ascii="宋体" w:hAnsi="宋体" w:cs="宋体"/>
          <w:color w:val="000000"/>
          <w:szCs w:val="21"/>
        </w:rPr>
      </w:pPr>
      <w:r>
        <w:rPr>
          <w:rFonts w:hint="eastAsia" w:ascii="宋体" w:hAnsi="宋体" w:cs="宋体"/>
          <w:color w:val="000000"/>
          <w:szCs w:val="21"/>
        </w:rPr>
        <w:t>14.1 合同价格形式</w:t>
      </w:r>
    </w:p>
    <w:p>
      <w:pPr>
        <w:spacing w:line="400" w:lineRule="exact"/>
        <w:ind w:firstLine="600"/>
        <w:rPr>
          <w:rFonts w:hint="eastAsia" w:ascii="宋体" w:hAnsi="宋体" w:cs="宋体"/>
          <w:color w:val="000000"/>
          <w:szCs w:val="21"/>
        </w:rPr>
      </w:pPr>
      <w:r>
        <w:rPr>
          <w:rFonts w:hint="eastAsia" w:ascii="宋体" w:hAnsi="宋体" w:cs="宋体"/>
          <w:color w:val="000000"/>
          <w:szCs w:val="21"/>
        </w:rPr>
        <w:t>14.1.1 关于其他合同价格形式的约定：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14.1.2 关于其他合同形式价格调整的约定：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14.1.3 按实际完成的工程量支付工程价款的计量方法、估价方法：</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420" w:firstLineChars="200"/>
        <w:rPr>
          <w:rFonts w:hint="eastAsia" w:ascii="宋体" w:hAnsi="宋体" w:cs="宋体"/>
          <w:color w:val="000000"/>
          <w:kern w:val="0"/>
          <w:szCs w:val="21"/>
          <w:shd w:val="clear" w:color="auto" w:fill="FFFFFF"/>
        </w:rPr>
      </w:pPr>
      <w:r>
        <w:rPr>
          <w:rFonts w:hint="eastAsia" w:ascii="宋体" w:hAnsi="宋体" w:cs="宋体"/>
          <w:color w:val="000000"/>
          <w:szCs w:val="21"/>
        </w:rPr>
        <w:t>14.1.4本工程合同价款已包含安全防护、文明施工措施费</w:t>
      </w:r>
      <w:r>
        <w:rPr>
          <w:rFonts w:hint="eastAsia" w:ascii="宋体" w:hAnsi="宋体" w:cs="宋体"/>
          <w:color w:val="000000"/>
          <w:szCs w:val="21"/>
          <w:u w:val="single"/>
        </w:rPr>
        <w:t xml:space="preserve">        </w:t>
      </w:r>
      <w:r>
        <w:rPr>
          <w:rFonts w:hint="eastAsia" w:ascii="宋体" w:hAnsi="宋体" w:cs="宋体"/>
          <w:color w:val="000000"/>
          <w:szCs w:val="21"/>
        </w:rPr>
        <w:t>元。使用要求：专款专用，具体按</w:t>
      </w:r>
      <w:r>
        <w:rPr>
          <w:rFonts w:hint="eastAsia" w:ascii="宋体" w:hAnsi="宋体" w:cs="宋体"/>
          <w:bCs/>
          <w:color w:val="000000"/>
          <w:szCs w:val="21"/>
        </w:rPr>
        <w:t>《广西壮族自治区建设工程安全文明施工费使用管理细则》</w:t>
      </w:r>
      <w:r>
        <w:rPr>
          <w:rFonts w:hint="eastAsia" w:ascii="宋体" w:hAnsi="宋体" w:cs="宋体"/>
          <w:color w:val="000000"/>
          <w:szCs w:val="21"/>
        </w:rPr>
        <w:t>（桂建质【2015】16号）</w:t>
      </w:r>
      <w:r>
        <w:rPr>
          <w:rFonts w:hint="eastAsia" w:ascii="宋体" w:hAnsi="宋体" w:cs="宋体"/>
          <w:color w:val="000000"/>
          <w:kern w:val="0"/>
          <w:szCs w:val="21"/>
        </w:rPr>
        <w:t>和</w:t>
      </w:r>
      <w:r>
        <w:rPr>
          <w:rFonts w:hint="eastAsia" w:ascii="宋体" w:hAnsi="宋体" w:cs="宋体"/>
          <w:color w:val="000000"/>
          <w:kern w:val="0"/>
          <w:szCs w:val="21"/>
          <w:u w:val="single"/>
        </w:rPr>
        <w:t xml:space="preserve">       </w:t>
      </w:r>
      <w:r>
        <w:rPr>
          <w:rFonts w:hint="eastAsia" w:ascii="宋体" w:hAnsi="宋体" w:cs="宋体"/>
          <w:color w:val="000000"/>
          <w:kern w:val="0"/>
          <w:szCs w:val="21"/>
        </w:rPr>
        <w:t>市相关规定执行</w:t>
      </w:r>
      <w:r>
        <w:rPr>
          <w:rFonts w:hint="eastAsia" w:ascii="宋体" w:hAnsi="宋体" w:cs="宋体"/>
          <w:color w:val="000000"/>
          <w:szCs w:val="21"/>
        </w:rPr>
        <w:t>。安全防护、文明施工措施费与工程款同步</w:t>
      </w:r>
      <w:r>
        <w:rPr>
          <w:rFonts w:hint="eastAsia" w:ascii="宋体" w:hAnsi="宋体" w:cs="宋体"/>
          <w:color w:val="000000"/>
          <w:kern w:val="0"/>
          <w:szCs w:val="21"/>
          <w:shd w:val="clear" w:color="auto" w:fill="FFFFFF"/>
        </w:rPr>
        <w:t>支付（按相关规定缴纳及支付）。工程施工完成后安全生产费用尚有结余的，结余部分由建设单位收回。施工单位将安全生产费用使用情况定期报告建设单位和监理单位，并提供相应的材料接受建设行政主管部门对此事项监管。</w:t>
      </w:r>
    </w:p>
    <w:p>
      <w:pPr>
        <w:spacing w:line="400" w:lineRule="exact"/>
        <w:ind w:firstLine="600"/>
        <w:rPr>
          <w:rFonts w:hint="eastAsia" w:ascii="宋体" w:hAnsi="宋体" w:cs="宋体"/>
          <w:color w:val="000000"/>
          <w:szCs w:val="21"/>
        </w:rPr>
      </w:pPr>
      <w:r>
        <w:rPr>
          <w:rFonts w:hint="eastAsia" w:ascii="宋体" w:hAnsi="宋体" w:cs="宋体"/>
          <w:color w:val="000000"/>
          <w:szCs w:val="21"/>
        </w:rPr>
        <w:t>14.2 预付款</w:t>
      </w:r>
    </w:p>
    <w:p>
      <w:pPr>
        <w:spacing w:line="400" w:lineRule="exact"/>
        <w:ind w:firstLine="600"/>
        <w:rPr>
          <w:rFonts w:hint="eastAsia" w:ascii="宋体" w:hAnsi="宋体" w:cs="宋体"/>
          <w:color w:val="000000"/>
          <w:szCs w:val="21"/>
        </w:rPr>
      </w:pPr>
      <w:r>
        <w:rPr>
          <w:rFonts w:hint="eastAsia" w:ascii="宋体" w:hAnsi="宋体" w:cs="宋体"/>
          <w:color w:val="000000"/>
          <w:szCs w:val="21"/>
        </w:rPr>
        <w:t>14.2.1 预付款支付</w:t>
      </w:r>
    </w:p>
    <w:p>
      <w:pPr>
        <w:widowControl/>
        <w:spacing w:line="400" w:lineRule="exact"/>
        <w:ind w:firstLine="420" w:firstLineChars="200"/>
        <w:jc w:val="left"/>
        <w:rPr>
          <w:rFonts w:hint="eastAsia" w:ascii="宋体" w:hAnsi="宋体" w:cs="宋体"/>
          <w:color w:val="000000"/>
          <w:szCs w:val="21"/>
        </w:rPr>
      </w:pPr>
      <w:r>
        <w:rPr>
          <w:rFonts w:hint="eastAsia" w:ascii="宋体" w:hAnsi="宋体" w:cs="宋体"/>
          <w:color w:val="000000"/>
          <w:szCs w:val="21"/>
        </w:rPr>
        <w:t>预付款的金额或比例为：</w:t>
      </w:r>
      <w:r>
        <w:rPr>
          <w:rFonts w:hint="eastAsia" w:ascii="宋体" w:hAnsi="宋体" w:cs="宋体"/>
          <w:color w:val="000000"/>
          <w:szCs w:val="21"/>
          <w:u w:val="single"/>
        </w:rPr>
        <w:t>按照签约合同价（扣除暂列金额、安全文明施工费）   %。</w:t>
      </w:r>
      <w:r>
        <w:rPr>
          <w:rFonts w:hint="eastAsia" w:ascii="宋体" w:hAnsi="宋体" w:cs="宋体"/>
          <w:color w:val="000000"/>
          <w:szCs w:val="21"/>
        </w:rPr>
        <w:t xml:space="preserve">  注：【不低于签约合同价（扣除暂列金额、安全文明施工费）的10%，不宜高于签约合同价（扣除暂列金额、安全文明施工费）的30%】。 </w:t>
      </w:r>
    </w:p>
    <w:p>
      <w:pPr>
        <w:spacing w:line="400" w:lineRule="exact"/>
        <w:ind w:firstLine="600"/>
        <w:rPr>
          <w:rFonts w:hint="eastAsia" w:ascii="宋体" w:hAnsi="宋体" w:cs="宋体"/>
          <w:color w:val="000000"/>
          <w:szCs w:val="21"/>
        </w:rPr>
      </w:pPr>
      <w:r>
        <w:rPr>
          <w:rFonts w:hint="eastAsia" w:ascii="宋体" w:hAnsi="宋体" w:cs="宋体"/>
          <w:color w:val="000000"/>
          <w:szCs w:val="21"/>
        </w:rPr>
        <w:t>预付款支付期限：</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预付款扣回的方式：</w:t>
      </w:r>
      <w:r>
        <w:rPr>
          <w:rFonts w:hint="eastAsia" w:ascii="宋体" w:hAnsi="宋体" w:cs="宋体"/>
          <w:color w:val="000000"/>
          <w:szCs w:val="21"/>
          <w:u w:val="single"/>
        </w:rPr>
        <w:t xml:space="preserve">                                </w:t>
      </w:r>
      <w:r>
        <w:rPr>
          <w:rFonts w:hint="eastAsia" w:ascii="宋体" w:hAnsi="宋体" w:cs="宋体"/>
          <w:color w:val="000000"/>
          <w:szCs w:val="21"/>
        </w:rPr>
        <w:t>。</w:t>
      </w:r>
    </w:p>
    <w:p>
      <w:pPr>
        <w:widowControl/>
        <w:spacing w:line="400" w:lineRule="exact"/>
        <w:ind w:firstLine="420" w:firstLineChars="200"/>
        <w:jc w:val="left"/>
        <w:rPr>
          <w:rFonts w:hint="eastAsia" w:ascii="宋体" w:hAnsi="宋体" w:cs="宋体"/>
          <w:color w:val="000000"/>
          <w:szCs w:val="21"/>
        </w:rPr>
      </w:pPr>
      <w:r>
        <w:rPr>
          <w:rFonts w:hint="eastAsia" w:ascii="宋体" w:hAnsi="宋体" w:cs="宋体"/>
          <w:color w:val="000000"/>
          <w:szCs w:val="21"/>
        </w:rPr>
        <w:t>预付款格式详见附件7。</w:t>
      </w:r>
    </w:p>
    <w:p>
      <w:pPr>
        <w:spacing w:line="400" w:lineRule="exact"/>
        <w:ind w:firstLine="600"/>
        <w:rPr>
          <w:rFonts w:hint="eastAsia" w:ascii="宋体" w:hAnsi="宋体" w:cs="宋体"/>
          <w:color w:val="000000"/>
          <w:szCs w:val="21"/>
        </w:rPr>
      </w:pPr>
      <w:r>
        <w:rPr>
          <w:rFonts w:hint="eastAsia" w:ascii="宋体" w:hAnsi="宋体" w:cs="宋体"/>
          <w:color w:val="000000"/>
          <w:szCs w:val="21"/>
        </w:rPr>
        <w:t>14.2.2预付款担保</w:t>
      </w:r>
    </w:p>
    <w:p>
      <w:pPr>
        <w:spacing w:line="400" w:lineRule="exact"/>
        <w:ind w:firstLine="600"/>
        <w:rPr>
          <w:rFonts w:hint="eastAsia" w:ascii="宋体" w:hAnsi="宋体" w:cs="宋体"/>
          <w:color w:val="000000"/>
          <w:szCs w:val="21"/>
        </w:rPr>
      </w:pPr>
      <w:r>
        <w:rPr>
          <w:rFonts w:hint="eastAsia" w:ascii="宋体" w:hAnsi="宋体" w:cs="宋体"/>
          <w:color w:val="000000"/>
          <w:szCs w:val="21"/>
        </w:rPr>
        <w:t>提供预付款担保期限：</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预付款担保形式：</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14.3 工程进度款</w:t>
      </w:r>
    </w:p>
    <w:p>
      <w:pPr>
        <w:spacing w:line="400" w:lineRule="exact"/>
        <w:ind w:firstLine="600"/>
        <w:rPr>
          <w:rFonts w:hint="eastAsia" w:ascii="宋体" w:hAnsi="宋体" w:cs="宋体"/>
          <w:color w:val="000000"/>
          <w:szCs w:val="21"/>
        </w:rPr>
      </w:pPr>
      <w:r>
        <w:rPr>
          <w:rFonts w:hint="eastAsia" w:ascii="宋体" w:hAnsi="宋体" w:cs="宋体"/>
          <w:color w:val="000000"/>
          <w:szCs w:val="21"/>
        </w:rPr>
        <w:t>14.3.1 工程进度付款申请</w:t>
      </w:r>
    </w:p>
    <w:p>
      <w:pPr>
        <w:spacing w:line="400" w:lineRule="exact"/>
        <w:ind w:firstLine="420" w:firstLineChars="200"/>
        <w:jc w:val="left"/>
        <w:rPr>
          <w:rFonts w:hint="eastAsia" w:ascii="宋体" w:hAnsi="宋体" w:cs="宋体"/>
          <w:color w:val="000000"/>
          <w:szCs w:val="21"/>
        </w:rPr>
      </w:pPr>
      <w:r>
        <w:rPr>
          <w:rFonts w:hint="eastAsia" w:ascii="宋体" w:hAnsi="宋体" w:cs="宋体"/>
          <w:color w:val="000000"/>
          <w:szCs w:val="21"/>
        </w:rPr>
        <w:t>(1) 人工费的申请</w:t>
      </w:r>
    </w:p>
    <w:p>
      <w:pPr>
        <w:autoSpaceDE w:val="0"/>
        <w:autoSpaceDN w:val="0"/>
        <w:adjustRightInd w:val="0"/>
        <w:spacing w:line="400" w:lineRule="exact"/>
        <w:ind w:firstLine="420" w:firstLineChars="200"/>
        <w:jc w:val="left"/>
        <w:rPr>
          <w:rFonts w:hint="eastAsia" w:ascii="宋体" w:hAnsi="宋体" w:cs="宋体"/>
          <w:color w:val="000000"/>
          <w:szCs w:val="21"/>
        </w:rPr>
      </w:pPr>
      <w:r>
        <w:rPr>
          <w:rFonts w:hint="eastAsia" w:ascii="宋体" w:hAnsi="宋体" w:cs="宋体"/>
          <w:color w:val="000000"/>
          <w:kern w:val="0"/>
          <w:szCs w:val="21"/>
        </w:rPr>
        <w:t>1）人工费指建筑工人人工工资，也即</w:t>
      </w:r>
      <w:r>
        <w:rPr>
          <w:rFonts w:hint="eastAsia" w:ascii="宋体" w:hAnsi="宋体" w:cs="宋体"/>
          <w:color w:val="000000"/>
          <w:szCs w:val="21"/>
        </w:rPr>
        <w:t>农民工工资。</w:t>
      </w:r>
    </w:p>
    <w:p>
      <w:pPr>
        <w:autoSpaceDE w:val="0"/>
        <w:autoSpaceDN w:val="0"/>
        <w:adjustRightInd w:val="0"/>
        <w:spacing w:line="400" w:lineRule="exact"/>
        <w:ind w:firstLine="420" w:firstLineChars="200"/>
        <w:jc w:val="left"/>
        <w:rPr>
          <w:rFonts w:hint="eastAsia" w:ascii="宋体" w:hAnsi="宋体" w:cs="宋体"/>
          <w:color w:val="000000"/>
          <w:szCs w:val="21"/>
        </w:rPr>
      </w:pPr>
      <w:r>
        <w:rPr>
          <w:rFonts w:hint="eastAsia" w:ascii="宋体" w:hAnsi="宋体" w:cs="宋体"/>
          <w:color w:val="000000"/>
          <w:szCs w:val="21"/>
        </w:rPr>
        <w:t>2）人工费</w:t>
      </w:r>
      <w:r>
        <w:rPr>
          <w:rFonts w:hint="eastAsia" w:ascii="宋体" w:hAnsi="宋体" w:cs="宋体"/>
          <w:color w:val="000000"/>
          <w:kern w:val="0"/>
          <w:szCs w:val="21"/>
        </w:rPr>
        <w:t>应与其它工程进度款分帐管理。必须按时足额支付，人工费拨付周期不得超过1个月，最少每月支付一次，无工程款申请的月份，承包人单独上报人工费划拨申请；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必须把工程款分帐出来的</w:t>
      </w:r>
      <w:r>
        <w:rPr>
          <w:rFonts w:hint="eastAsia" w:ascii="宋体" w:hAnsi="宋体" w:cs="宋体"/>
          <w:color w:val="000000"/>
          <w:szCs w:val="21"/>
        </w:rPr>
        <w:t>人工费</w:t>
      </w:r>
      <w:r>
        <w:rPr>
          <w:rFonts w:hint="eastAsia" w:ascii="宋体" w:hAnsi="宋体" w:cs="宋体"/>
          <w:color w:val="000000"/>
          <w:kern w:val="0"/>
          <w:szCs w:val="21"/>
        </w:rPr>
        <w:t>转入承包人农民工工资支付专用账户，转入农民工工资支付专用账户环节必须有银行流水凭证。</w:t>
      </w:r>
    </w:p>
    <w:p>
      <w:pPr>
        <w:spacing w:line="400" w:lineRule="exact"/>
        <w:ind w:firstLine="525" w:firstLineChars="250"/>
        <w:jc w:val="left"/>
        <w:rPr>
          <w:rFonts w:hint="eastAsia" w:ascii="宋体" w:hAnsi="宋体" w:cs="宋体"/>
          <w:color w:val="000000"/>
          <w:szCs w:val="21"/>
        </w:rPr>
      </w:pPr>
      <w:r>
        <w:rPr>
          <w:rFonts w:hint="eastAsia" w:ascii="宋体" w:hAnsi="宋体" w:cs="宋体"/>
          <w:color w:val="000000"/>
          <w:szCs w:val="21"/>
        </w:rPr>
        <w:t>3）发包人依据工程进度，审核承包人申报的工程进度款，按照与承包人约定的人工费支付比例</w:t>
      </w:r>
      <w:r>
        <w:rPr>
          <w:rFonts w:hint="eastAsia" w:ascii="宋体" w:hAnsi="宋体" w:cs="宋体"/>
          <w:color w:val="000000"/>
          <w:szCs w:val="21"/>
          <w:u w:val="single"/>
        </w:rPr>
        <w:t xml:space="preserve">     </w:t>
      </w:r>
      <w:r>
        <w:rPr>
          <w:rFonts w:hint="eastAsia" w:ascii="宋体" w:hAnsi="宋体" w:cs="宋体"/>
          <w:color w:val="000000"/>
          <w:szCs w:val="21"/>
        </w:rPr>
        <w:t>%，将人工费及时足额拨付至承包人的农民工工资专用账户，其余工程进度款项由发包人支付到承包人的单位基本户。</w:t>
      </w:r>
    </w:p>
    <w:p>
      <w:pPr>
        <w:spacing w:line="400" w:lineRule="exact"/>
        <w:ind w:firstLine="525" w:firstLineChars="250"/>
        <w:jc w:val="left"/>
        <w:rPr>
          <w:rFonts w:hint="eastAsia" w:ascii="宋体" w:hAnsi="宋体" w:cs="宋体"/>
          <w:color w:val="000000"/>
          <w:szCs w:val="21"/>
        </w:rPr>
      </w:pPr>
      <w:r>
        <w:rPr>
          <w:rFonts w:hint="eastAsia" w:ascii="宋体" w:hAnsi="宋体" w:cs="宋体"/>
          <w:color w:val="000000"/>
          <w:szCs w:val="21"/>
        </w:rPr>
        <w:t>4）承包人依据分包专业工程进度，按与分包人约定人工费支付比例，通过承包人</w:t>
      </w:r>
      <w:r>
        <w:rPr>
          <w:rFonts w:hint="eastAsia" w:ascii="宋体" w:hAnsi="宋体" w:cs="宋体"/>
          <w:color w:val="000000"/>
          <w:kern w:val="0"/>
          <w:szCs w:val="21"/>
        </w:rPr>
        <w:t>农民工工资支付专用账户</w:t>
      </w:r>
      <w:r>
        <w:rPr>
          <w:rFonts w:hint="eastAsia" w:ascii="宋体" w:hAnsi="宋体" w:cs="宋体"/>
          <w:color w:val="000000"/>
          <w:szCs w:val="21"/>
        </w:rPr>
        <w:t>将分包工程的人工费分账支付到分包人的</w:t>
      </w:r>
      <w:r>
        <w:rPr>
          <w:rFonts w:hint="eastAsia" w:ascii="宋体" w:hAnsi="宋体" w:cs="宋体"/>
          <w:color w:val="000000"/>
          <w:kern w:val="0"/>
          <w:szCs w:val="21"/>
        </w:rPr>
        <w:t>农民工工资支付专用账户</w:t>
      </w:r>
      <w:r>
        <w:rPr>
          <w:rFonts w:hint="eastAsia" w:ascii="宋体" w:hAnsi="宋体" w:cs="宋体"/>
          <w:color w:val="000000"/>
          <w:szCs w:val="21"/>
        </w:rPr>
        <w:t>，专业分包工程完工时承包人向分包人</w:t>
      </w:r>
      <w:r>
        <w:rPr>
          <w:rFonts w:hint="eastAsia" w:ascii="宋体" w:hAnsi="宋体" w:cs="宋体"/>
          <w:color w:val="000000"/>
          <w:kern w:val="0"/>
          <w:szCs w:val="21"/>
        </w:rPr>
        <w:t>农民工工资专用账户</w:t>
      </w:r>
      <w:r>
        <w:rPr>
          <w:rFonts w:hint="eastAsia" w:ascii="宋体" w:hAnsi="宋体" w:cs="宋体"/>
          <w:color w:val="000000"/>
          <w:szCs w:val="21"/>
        </w:rPr>
        <w:t>支付完工工程量的人工费支付比例不低于</w:t>
      </w:r>
      <w:r>
        <w:rPr>
          <w:rFonts w:hint="eastAsia" w:ascii="宋体" w:hAnsi="宋体" w:cs="宋体"/>
          <w:color w:val="000000"/>
          <w:szCs w:val="21"/>
          <w:u w:val="single"/>
        </w:rPr>
        <w:t xml:space="preserve">   </w:t>
      </w:r>
      <w:r>
        <w:rPr>
          <w:rFonts w:hint="eastAsia" w:ascii="宋体" w:hAnsi="宋体" w:cs="宋体"/>
          <w:color w:val="000000"/>
          <w:szCs w:val="21"/>
        </w:rPr>
        <w:t>%。其余分包工程进度款项由承包人支付到分包人的单位基本户。</w:t>
      </w:r>
    </w:p>
    <w:p>
      <w:pPr>
        <w:spacing w:line="400" w:lineRule="exact"/>
        <w:ind w:firstLine="525" w:firstLineChars="250"/>
        <w:jc w:val="left"/>
        <w:rPr>
          <w:rFonts w:hint="eastAsia" w:ascii="宋体" w:hAnsi="宋体" w:cs="宋体"/>
          <w:color w:val="000000"/>
          <w:szCs w:val="21"/>
        </w:rPr>
      </w:pPr>
      <w:r>
        <w:rPr>
          <w:rFonts w:hint="eastAsia" w:ascii="宋体" w:hAnsi="宋体" w:cs="宋体"/>
          <w:color w:val="000000"/>
          <w:szCs w:val="21"/>
        </w:rPr>
        <w:t>5）凡未向付款单位提供农民工工资专用账户的，或者请款单位在申请工程进度款时未将人工费单列的，付款单位有权拒绝支付工程进度款。</w:t>
      </w:r>
    </w:p>
    <w:p>
      <w:pPr>
        <w:autoSpaceDE w:val="0"/>
        <w:autoSpaceDN w:val="0"/>
        <w:adjustRightInd w:val="0"/>
        <w:spacing w:line="400" w:lineRule="exact"/>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6）人工费使用要求：专款专用，除发放农民工工资外，不得用于其他用途。</w:t>
      </w:r>
    </w:p>
    <w:p>
      <w:pPr>
        <w:autoSpaceDE w:val="0"/>
        <w:autoSpaceDN w:val="0"/>
        <w:adjustRightInd w:val="0"/>
        <w:spacing w:line="400" w:lineRule="exact"/>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7）承包人将人工费支付情况定期报告发包人和监理单位，并提供相应的材料接受建设行政主管部门和劳动保障行政主管部门对此事项监管。</w:t>
      </w:r>
    </w:p>
    <w:p>
      <w:pPr>
        <w:autoSpaceDE w:val="0"/>
        <w:autoSpaceDN w:val="0"/>
        <w:adjustRightInd w:val="0"/>
        <w:spacing w:line="400" w:lineRule="exact"/>
        <w:ind w:firstLine="420" w:firstLineChars="200"/>
        <w:jc w:val="left"/>
        <w:rPr>
          <w:rFonts w:hint="eastAsia" w:ascii="宋体" w:hAnsi="宋体" w:cs="宋体"/>
          <w:color w:val="000000"/>
          <w:szCs w:val="21"/>
        </w:rPr>
      </w:pPr>
      <w:r>
        <w:rPr>
          <w:rFonts w:hint="eastAsia" w:ascii="宋体" w:hAnsi="宋体" w:cs="宋体"/>
          <w:color w:val="000000"/>
          <w:kern w:val="0"/>
          <w:szCs w:val="21"/>
        </w:rPr>
        <w:t>8）人工费支付专用账户：××××公司农民工工资支付专用账户 。账号：</w:t>
      </w:r>
      <w:r>
        <w:rPr>
          <w:rFonts w:hint="eastAsia" w:ascii="宋体" w:hAnsi="宋体" w:cs="宋体"/>
          <w:color w:val="000000"/>
          <w:kern w:val="0"/>
          <w:szCs w:val="21"/>
          <w:u w:val="single"/>
        </w:rPr>
        <w:t xml:space="preserve">        。</w:t>
      </w:r>
    </w:p>
    <w:p>
      <w:pPr>
        <w:spacing w:line="400" w:lineRule="exact"/>
        <w:ind w:firstLine="600"/>
        <w:rPr>
          <w:rFonts w:hint="eastAsia" w:ascii="宋体" w:hAnsi="宋体" w:cs="宋体"/>
          <w:color w:val="000000"/>
          <w:szCs w:val="21"/>
        </w:rPr>
      </w:pPr>
      <w:r>
        <w:rPr>
          <w:rFonts w:hint="eastAsia" w:ascii="宋体" w:hAnsi="宋体" w:cs="宋体"/>
          <w:color w:val="000000"/>
          <w:szCs w:val="21"/>
        </w:rPr>
        <w:t>（2）进度付款申请单应包括的内容：</w:t>
      </w:r>
    </w:p>
    <w:p>
      <w:pPr>
        <w:spacing w:line="400" w:lineRule="exact"/>
        <w:ind w:firstLine="600"/>
        <w:rPr>
          <w:rFonts w:hint="eastAsia" w:ascii="宋体" w:hAnsi="宋体" w:cs="宋体"/>
          <w:color w:val="000000"/>
          <w:szCs w:val="21"/>
        </w:rPr>
      </w:pPr>
      <w:r>
        <w:rPr>
          <w:rFonts w:hint="eastAsia" w:ascii="宋体" w:hAnsi="宋体" w:cs="宋体"/>
          <w:color w:val="000000"/>
          <w:szCs w:val="21"/>
        </w:rPr>
        <w:t>1） 累计已完成的工程价款；</w:t>
      </w:r>
    </w:p>
    <w:p>
      <w:pPr>
        <w:spacing w:line="400" w:lineRule="exact"/>
        <w:ind w:firstLine="600"/>
        <w:rPr>
          <w:rFonts w:hint="eastAsia" w:ascii="宋体" w:hAnsi="宋体" w:cs="宋体"/>
          <w:color w:val="000000"/>
          <w:szCs w:val="21"/>
        </w:rPr>
      </w:pPr>
      <w:r>
        <w:rPr>
          <w:rFonts w:hint="eastAsia" w:ascii="宋体" w:hAnsi="宋体" w:cs="宋体"/>
          <w:color w:val="000000"/>
          <w:szCs w:val="21"/>
        </w:rPr>
        <w:t>2） 累计已实际支付的工程价款；</w:t>
      </w:r>
    </w:p>
    <w:p>
      <w:pPr>
        <w:spacing w:line="400" w:lineRule="exact"/>
        <w:ind w:firstLine="600"/>
        <w:rPr>
          <w:rFonts w:hint="eastAsia" w:ascii="宋体" w:hAnsi="宋体" w:cs="宋体"/>
          <w:color w:val="000000"/>
          <w:szCs w:val="21"/>
        </w:rPr>
      </w:pPr>
      <w:r>
        <w:rPr>
          <w:rFonts w:hint="eastAsia" w:ascii="宋体" w:hAnsi="宋体" w:cs="宋体"/>
          <w:color w:val="000000"/>
          <w:szCs w:val="21"/>
        </w:rPr>
        <w:t>3） 本周期已完成的工程价款（包括变更、索赔等）；</w:t>
      </w:r>
    </w:p>
    <w:p>
      <w:pPr>
        <w:spacing w:line="400" w:lineRule="exact"/>
        <w:ind w:firstLine="600"/>
        <w:rPr>
          <w:rFonts w:hint="eastAsia" w:ascii="宋体" w:hAnsi="宋体" w:cs="宋体"/>
          <w:color w:val="000000"/>
          <w:szCs w:val="21"/>
        </w:rPr>
      </w:pPr>
      <w:r>
        <w:rPr>
          <w:rFonts w:hint="eastAsia" w:ascii="宋体" w:hAnsi="宋体" w:cs="宋体"/>
          <w:color w:val="000000"/>
          <w:szCs w:val="21"/>
        </w:rPr>
        <w:t>4）本周期应扣除的费用；</w:t>
      </w:r>
    </w:p>
    <w:p>
      <w:pPr>
        <w:spacing w:line="400" w:lineRule="exact"/>
        <w:ind w:firstLine="600"/>
        <w:rPr>
          <w:rFonts w:hint="eastAsia" w:ascii="宋体" w:hAnsi="宋体" w:cs="宋体"/>
          <w:color w:val="000000"/>
          <w:szCs w:val="21"/>
        </w:rPr>
      </w:pPr>
      <w:r>
        <w:rPr>
          <w:rFonts w:hint="eastAsia" w:ascii="宋体" w:hAnsi="宋体" w:cs="宋体"/>
          <w:color w:val="000000"/>
          <w:szCs w:val="21"/>
        </w:rPr>
        <w:fldChar w:fldCharType="begin"/>
      </w:r>
      <w:r>
        <w:rPr>
          <w:rFonts w:hint="eastAsia" w:ascii="宋体" w:hAnsi="宋体" w:cs="宋体"/>
          <w:color w:val="000000"/>
          <w:szCs w:val="21"/>
        </w:rPr>
        <w:instrText xml:space="preserve"> = 1 \* GB3 \* MERGEFORMAT </w:instrText>
      </w:r>
      <w:r>
        <w:rPr>
          <w:rFonts w:hint="eastAsia" w:ascii="宋体" w:hAnsi="宋体" w:cs="宋体"/>
          <w:color w:val="000000"/>
          <w:szCs w:val="21"/>
        </w:rPr>
        <w:fldChar w:fldCharType="separate"/>
      </w:r>
      <w:r>
        <w:rPr>
          <w:rFonts w:hint="eastAsia" w:ascii="宋体" w:hAnsi="宋体" w:cs="宋体"/>
          <w:color w:val="000000"/>
          <w:szCs w:val="21"/>
        </w:rPr>
        <w:t>①</w:t>
      </w:r>
      <w:r>
        <w:rPr>
          <w:rFonts w:hint="eastAsia" w:ascii="宋体" w:hAnsi="宋体" w:cs="宋体"/>
          <w:color w:val="000000"/>
          <w:szCs w:val="21"/>
        </w:rPr>
        <w:fldChar w:fldCharType="end"/>
      </w:r>
      <w:r>
        <w:rPr>
          <w:rFonts w:hint="eastAsia" w:ascii="宋体" w:hAnsi="宋体" w:cs="宋体"/>
          <w:color w:val="000000"/>
          <w:szCs w:val="21"/>
        </w:rPr>
        <w:t>扣除本周期已单独支付的人工费；</w:t>
      </w:r>
    </w:p>
    <w:p>
      <w:pPr>
        <w:spacing w:line="400" w:lineRule="exact"/>
        <w:ind w:firstLine="600"/>
        <w:rPr>
          <w:rFonts w:hint="eastAsia" w:ascii="宋体" w:hAnsi="宋体" w:cs="宋体"/>
          <w:color w:val="000000"/>
          <w:szCs w:val="21"/>
        </w:rPr>
      </w:pPr>
      <w:r>
        <w:rPr>
          <w:rFonts w:hint="eastAsia" w:ascii="宋体" w:hAnsi="宋体" w:cs="宋体"/>
          <w:color w:val="000000"/>
          <w:szCs w:val="21"/>
        </w:rPr>
        <w:fldChar w:fldCharType="begin"/>
      </w:r>
      <w:r>
        <w:rPr>
          <w:rFonts w:hint="eastAsia" w:ascii="宋体" w:hAnsi="宋体" w:cs="宋体"/>
          <w:color w:val="000000"/>
          <w:szCs w:val="21"/>
        </w:rPr>
        <w:instrText xml:space="preserve"> = 2 \* GB3 \* MERGEFORMAT </w:instrText>
      </w:r>
      <w:r>
        <w:rPr>
          <w:rFonts w:hint="eastAsia" w:ascii="宋体" w:hAnsi="宋体" w:cs="宋体"/>
          <w:color w:val="000000"/>
          <w:szCs w:val="21"/>
        </w:rPr>
        <w:fldChar w:fldCharType="separate"/>
      </w:r>
      <w:r>
        <w:rPr>
          <w:rFonts w:hint="eastAsia" w:ascii="宋体" w:hAnsi="宋体" w:cs="宋体"/>
          <w:color w:val="000000"/>
          <w:szCs w:val="21"/>
        </w:rPr>
        <w:t>②</w:t>
      </w:r>
      <w:r>
        <w:rPr>
          <w:rFonts w:hint="eastAsia" w:ascii="宋体" w:hAnsi="宋体" w:cs="宋体"/>
          <w:color w:val="000000"/>
          <w:szCs w:val="21"/>
        </w:rPr>
        <w:fldChar w:fldCharType="end"/>
      </w:r>
      <w:r>
        <w:rPr>
          <w:rFonts w:hint="eastAsia" w:ascii="宋体" w:hAnsi="宋体" w:cs="宋体"/>
          <w:color w:val="000000"/>
          <w:szCs w:val="21"/>
        </w:rPr>
        <w:t>扣除本周期应抵扣的预付款；</w:t>
      </w:r>
    </w:p>
    <w:p>
      <w:pPr>
        <w:spacing w:line="400" w:lineRule="exact"/>
        <w:ind w:firstLine="600"/>
        <w:rPr>
          <w:rFonts w:hint="eastAsia" w:ascii="宋体" w:hAnsi="宋体" w:cs="宋体"/>
          <w:color w:val="000000"/>
          <w:szCs w:val="21"/>
        </w:rPr>
      </w:pPr>
      <w:r>
        <w:rPr>
          <w:rFonts w:hint="eastAsia" w:ascii="宋体" w:hAnsi="宋体" w:cs="宋体"/>
          <w:color w:val="000000"/>
          <w:szCs w:val="21"/>
        </w:rPr>
        <w:fldChar w:fldCharType="begin"/>
      </w:r>
      <w:r>
        <w:rPr>
          <w:rFonts w:hint="eastAsia" w:ascii="宋体" w:hAnsi="宋体" w:cs="宋体"/>
          <w:color w:val="000000"/>
          <w:szCs w:val="21"/>
        </w:rPr>
        <w:instrText xml:space="preserve"> = 3 \* GB3 \* MERGEFORMAT </w:instrText>
      </w:r>
      <w:r>
        <w:rPr>
          <w:rFonts w:hint="eastAsia" w:ascii="宋体" w:hAnsi="宋体" w:cs="宋体"/>
          <w:color w:val="000000"/>
          <w:szCs w:val="21"/>
        </w:rPr>
        <w:fldChar w:fldCharType="separate"/>
      </w:r>
      <w:r>
        <w:rPr>
          <w:rFonts w:hint="eastAsia" w:ascii="宋体" w:hAnsi="宋体" w:cs="宋体"/>
          <w:color w:val="000000"/>
          <w:szCs w:val="21"/>
        </w:rPr>
        <w:t>③</w:t>
      </w:r>
      <w:r>
        <w:rPr>
          <w:rFonts w:hint="eastAsia" w:ascii="宋体" w:hAnsi="宋体" w:cs="宋体"/>
          <w:color w:val="000000"/>
          <w:szCs w:val="21"/>
        </w:rPr>
        <w:fldChar w:fldCharType="end"/>
      </w:r>
      <w:r>
        <w:rPr>
          <w:rFonts w:hint="eastAsia" w:ascii="宋体" w:hAnsi="宋体" w:cs="宋体"/>
          <w:color w:val="000000"/>
          <w:szCs w:val="21"/>
        </w:rPr>
        <w:t xml:space="preserve"> 扣除本周期应预留的质量保证金（如有）；</w:t>
      </w:r>
    </w:p>
    <w:p>
      <w:pPr>
        <w:spacing w:line="400" w:lineRule="exact"/>
        <w:ind w:firstLine="600"/>
        <w:rPr>
          <w:rFonts w:hint="eastAsia" w:ascii="宋体" w:hAnsi="宋体" w:cs="宋体"/>
          <w:color w:val="000000"/>
          <w:szCs w:val="21"/>
        </w:rPr>
      </w:pPr>
      <w:r>
        <w:rPr>
          <w:rFonts w:hint="eastAsia" w:ascii="宋体" w:hAnsi="宋体" w:cs="宋体"/>
          <w:color w:val="000000"/>
          <w:szCs w:val="21"/>
        </w:rPr>
        <w:fldChar w:fldCharType="begin"/>
      </w:r>
      <w:r>
        <w:rPr>
          <w:rFonts w:hint="eastAsia" w:ascii="宋体" w:hAnsi="宋体" w:cs="宋体"/>
          <w:color w:val="000000"/>
          <w:szCs w:val="21"/>
        </w:rPr>
        <w:instrText xml:space="preserve"> = 4 \* GB3 \* MERGEFORMAT </w:instrText>
      </w:r>
      <w:r>
        <w:rPr>
          <w:rFonts w:hint="eastAsia" w:ascii="宋体" w:hAnsi="宋体" w:cs="宋体"/>
          <w:color w:val="000000"/>
          <w:szCs w:val="21"/>
        </w:rPr>
        <w:fldChar w:fldCharType="separate"/>
      </w:r>
      <w:r>
        <w:rPr>
          <w:rFonts w:hint="eastAsia" w:ascii="宋体" w:hAnsi="宋体" w:cs="宋体"/>
          <w:color w:val="000000"/>
          <w:szCs w:val="21"/>
        </w:rPr>
        <w:t>④</w:t>
      </w:r>
      <w:r>
        <w:rPr>
          <w:rFonts w:hint="eastAsia" w:ascii="宋体" w:hAnsi="宋体" w:cs="宋体"/>
          <w:color w:val="000000"/>
          <w:szCs w:val="21"/>
        </w:rPr>
        <w:fldChar w:fldCharType="end"/>
      </w:r>
      <w:r>
        <w:rPr>
          <w:rFonts w:hint="eastAsia" w:ascii="宋体" w:hAnsi="宋体" w:cs="宋体"/>
          <w:color w:val="000000"/>
          <w:szCs w:val="21"/>
        </w:rPr>
        <w:t>扣除本周期应抵扣的安全文明施工费。</w:t>
      </w:r>
    </w:p>
    <w:p>
      <w:pPr>
        <w:spacing w:line="400" w:lineRule="exact"/>
        <w:ind w:firstLine="600"/>
        <w:rPr>
          <w:rFonts w:hint="eastAsia" w:ascii="宋体" w:hAnsi="宋体" w:cs="宋体"/>
          <w:color w:val="000000"/>
          <w:szCs w:val="21"/>
        </w:rPr>
      </w:pPr>
      <w:r>
        <w:rPr>
          <w:rFonts w:hint="eastAsia" w:ascii="宋体" w:hAnsi="宋体" w:cs="宋体"/>
          <w:color w:val="000000"/>
          <w:szCs w:val="21"/>
        </w:rPr>
        <w:t>5） 已签发的进度款支付证书中出现错误需在本周期中支付或扣除的工程价款；</w:t>
      </w:r>
    </w:p>
    <w:p>
      <w:pPr>
        <w:spacing w:line="400" w:lineRule="exact"/>
        <w:ind w:firstLine="600"/>
        <w:rPr>
          <w:rFonts w:hint="eastAsia" w:ascii="宋体" w:hAnsi="宋体" w:cs="宋体"/>
          <w:color w:val="000000"/>
          <w:szCs w:val="21"/>
        </w:rPr>
      </w:pPr>
      <w:r>
        <w:rPr>
          <w:rFonts w:hint="eastAsia" w:ascii="宋体" w:hAnsi="宋体" w:cs="宋体"/>
          <w:color w:val="000000"/>
          <w:szCs w:val="21"/>
        </w:rPr>
        <w:t>6）本周期应支付的进度款。</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（3）工程进度付款申请时间、支付比例：</w:t>
      </w:r>
    </w:p>
    <w:p>
      <w:pPr>
        <w:spacing w:line="400" w:lineRule="exact"/>
        <w:ind w:firstLine="600"/>
        <w:rPr>
          <w:rFonts w:hint="eastAsia" w:ascii="宋体" w:hAnsi="宋体" w:cs="宋体"/>
          <w:color w:val="000000"/>
          <w:szCs w:val="21"/>
        </w:rPr>
      </w:pPr>
      <w:r>
        <w:rPr>
          <w:rFonts w:hint="eastAsia" w:ascii="宋体" w:hAnsi="宋体" w:cs="宋体"/>
          <w:color w:val="000000"/>
          <w:szCs w:val="21"/>
        </w:rPr>
        <w:fldChar w:fldCharType="begin"/>
      </w:r>
      <w:r>
        <w:rPr>
          <w:rFonts w:hint="eastAsia" w:ascii="宋体" w:hAnsi="宋体" w:cs="宋体"/>
          <w:color w:val="000000"/>
          <w:szCs w:val="21"/>
        </w:rPr>
        <w:instrText xml:space="preserve"> = 1 \* GB3 \* MERGEFORMAT </w:instrText>
      </w:r>
      <w:r>
        <w:rPr>
          <w:rFonts w:hint="eastAsia" w:ascii="宋体" w:hAnsi="宋体" w:cs="宋体"/>
          <w:color w:val="000000"/>
          <w:szCs w:val="21"/>
        </w:rPr>
        <w:fldChar w:fldCharType="separate"/>
      </w:r>
      <w:r>
        <w:rPr>
          <w:rFonts w:hint="eastAsia" w:ascii="宋体" w:hAnsi="宋体" w:cs="宋体"/>
          <w:color w:val="000000"/>
          <w:szCs w:val="21"/>
        </w:rPr>
        <w:t>①</w:t>
      </w:r>
      <w:r>
        <w:rPr>
          <w:rFonts w:hint="eastAsia" w:ascii="宋体" w:hAnsi="宋体" w:cs="宋体"/>
          <w:color w:val="000000"/>
          <w:szCs w:val="21"/>
        </w:rPr>
        <w:fldChar w:fldCharType="end"/>
      </w:r>
      <w:r>
        <w:rPr>
          <w:rFonts w:hint="eastAsia" w:ascii="宋体" w:hAnsi="宋体" w:cs="宋体"/>
          <w:color w:val="000000"/>
          <w:szCs w:val="21"/>
        </w:rPr>
        <w:t>承包人提交进度付款申请时间：</w:t>
      </w:r>
    </w:p>
    <w:p>
      <w:pPr>
        <w:spacing w:line="400" w:lineRule="exact"/>
        <w:ind w:firstLine="420" w:firstLineChars="200"/>
        <w:rPr>
          <w:rFonts w:hint="eastAsia" w:ascii="宋体" w:hAnsi="宋体" w:cs="宋体"/>
          <w:color w:val="000000"/>
          <w:kern w:val="0"/>
          <w:szCs w:val="21"/>
        </w:rPr>
      </w:pPr>
      <w:r>
        <w:rPr>
          <w:rFonts w:hint="eastAsia" w:ascii="宋体" w:hAnsi="宋体" w:cs="宋体"/>
          <w:color w:val="000000"/>
          <w:kern w:val="0"/>
          <w:szCs w:val="21"/>
        </w:rPr>
        <w:fldChar w:fldCharType="begin"/>
      </w:r>
      <w:r>
        <w:rPr>
          <w:rFonts w:hint="eastAsia" w:ascii="宋体" w:hAnsi="宋体" w:cs="宋体"/>
          <w:color w:val="000000"/>
          <w:kern w:val="0"/>
          <w:szCs w:val="21"/>
        </w:rPr>
        <w:instrText xml:space="preserve"> = 2 \* GB3 \* MERGEFORMAT </w:instrText>
      </w:r>
      <w:r>
        <w:rPr>
          <w:rFonts w:hint="eastAsia" w:ascii="宋体" w:hAnsi="宋体" w:cs="宋体"/>
          <w:color w:val="000000"/>
          <w:kern w:val="0"/>
          <w:szCs w:val="21"/>
        </w:rPr>
        <w:fldChar w:fldCharType="separate"/>
      </w:r>
      <w:r>
        <w:rPr>
          <w:rFonts w:hint="eastAsia" w:ascii="宋体" w:hAnsi="宋体" w:cs="宋体"/>
          <w:color w:val="000000"/>
          <w:szCs w:val="21"/>
        </w:rPr>
        <w:t>②</w:t>
      </w:r>
      <w:r>
        <w:rPr>
          <w:rFonts w:hint="eastAsia" w:ascii="宋体" w:hAnsi="宋体" w:cs="宋体"/>
          <w:color w:val="000000"/>
          <w:kern w:val="0"/>
          <w:szCs w:val="21"/>
        </w:rPr>
        <w:fldChar w:fldCharType="end"/>
      </w:r>
      <w:r>
        <w:rPr>
          <w:rFonts w:hint="eastAsia" w:ascii="宋体" w:hAnsi="宋体" w:cs="宋体"/>
          <w:color w:val="000000"/>
          <w:szCs w:val="21"/>
        </w:rPr>
        <w:t>工程进度付款支付方式及比例：</w:t>
      </w:r>
    </w:p>
    <w:p>
      <w:pPr>
        <w:spacing w:line="400" w:lineRule="exact"/>
        <w:ind w:firstLine="420" w:firstLineChars="200"/>
        <w:rPr>
          <w:rFonts w:hint="eastAsia" w:ascii="宋体" w:hAnsi="宋体" w:cs="宋体"/>
          <w:color w:val="000000"/>
          <w:kern w:val="0"/>
          <w:szCs w:val="21"/>
        </w:rPr>
      </w:pPr>
      <w:r>
        <w:rPr>
          <w:rFonts w:hint="eastAsia" w:ascii="宋体" w:hAnsi="宋体" w:cs="宋体"/>
          <w:color w:val="000000"/>
          <w:kern w:val="0"/>
          <w:szCs w:val="21"/>
        </w:rPr>
        <w:sym w:font="Wingdings 2" w:char="00A3"/>
      </w:r>
      <w:r>
        <w:rPr>
          <w:rFonts w:hint="eastAsia" w:ascii="宋体" w:hAnsi="宋体" w:cs="宋体"/>
          <w:color w:val="000000"/>
          <w:kern w:val="0"/>
          <w:szCs w:val="21"/>
        </w:rPr>
        <w:t>按月支付工程进度款，支付比例为</w:t>
      </w:r>
      <w:r>
        <w:rPr>
          <w:rFonts w:hint="eastAsia" w:ascii="宋体" w:hAnsi="宋体" w:cs="宋体"/>
          <w:color w:val="000000"/>
          <w:kern w:val="0"/>
          <w:szCs w:val="21"/>
          <w:u w:val="single"/>
        </w:rPr>
        <w:t xml:space="preserve">         </w:t>
      </w:r>
      <w:r>
        <w:rPr>
          <w:rFonts w:hint="eastAsia" w:ascii="宋体" w:hAnsi="宋体" w:cs="宋体"/>
          <w:color w:val="000000"/>
          <w:kern w:val="0"/>
          <w:szCs w:val="21"/>
        </w:rPr>
        <w:t>。（80%以上）。</w:t>
      </w:r>
    </w:p>
    <w:p>
      <w:pPr>
        <w:spacing w:line="400" w:lineRule="exact"/>
        <w:ind w:firstLine="420" w:firstLineChars="200"/>
        <w:rPr>
          <w:rFonts w:hint="eastAsia" w:ascii="宋体" w:hAnsi="宋体" w:cs="宋体"/>
          <w:color w:val="000000"/>
          <w:kern w:val="0"/>
          <w:szCs w:val="21"/>
        </w:rPr>
      </w:pPr>
      <w:r>
        <w:rPr>
          <w:rFonts w:hint="eastAsia" w:ascii="宋体" w:hAnsi="宋体" w:cs="宋体"/>
          <w:color w:val="000000"/>
          <w:kern w:val="0"/>
          <w:szCs w:val="21"/>
        </w:rPr>
        <w:sym w:font="Wingdings 2" w:char="00A3"/>
      </w:r>
      <w:r>
        <w:rPr>
          <w:rFonts w:hint="eastAsia" w:ascii="宋体" w:hAnsi="宋体" w:cs="宋体"/>
          <w:color w:val="000000"/>
          <w:kern w:val="0"/>
          <w:szCs w:val="21"/>
        </w:rPr>
        <w:t>按形象进度支付工程进度款，支付比例为</w:t>
      </w:r>
      <w:r>
        <w:rPr>
          <w:rFonts w:hint="eastAsia" w:ascii="宋体" w:hAnsi="宋体" w:cs="宋体"/>
          <w:color w:val="000000"/>
          <w:kern w:val="0"/>
          <w:szCs w:val="21"/>
          <w:u w:val="single"/>
        </w:rPr>
        <w:t xml:space="preserve">         </w:t>
      </w:r>
      <w:r>
        <w:rPr>
          <w:rFonts w:hint="eastAsia" w:ascii="宋体" w:hAnsi="宋体" w:cs="宋体"/>
          <w:color w:val="000000"/>
          <w:kern w:val="0"/>
          <w:szCs w:val="21"/>
        </w:rPr>
        <w:t>。（80%以上）</w:t>
      </w:r>
    </w:p>
    <w:p>
      <w:pPr>
        <w:spacing w:line="400" w:lineRule="exact"/>
        <w:ind w:firstLine="420" w:firstLineChars="200"/>
        <w:rPr>
          <w:rFonts w:hint="eastAsia" w:ascii="宋体" w:hAnsi="宋体" w:cs="宋体"/>
          <w:color w:val="000000"/>
          <w:kern w:val="0"/>
          <w:szCs w:val="21"/>
        </w:rPr>
      </w:pPr>
      <w:r>
        <w:rPr>
          <w:rFonts w:hint="eastAsia" w:ascii="宋体" w:hAnsi="宋体" w:cs="宋体"/>
          <w:color w:val="000000"/>
          <w:kern w:val="0"/>
          <w:szCs w:val="21"/>
        </w:rPr>
        <w:t>工程进度款支付表格式详见附件10，按形象进度支付的支付分解表格式详见附件13。</w:t>
      </w:r>
    </w:p>
    <w:p>
      <w:pPr>
        <w:spacing w:line="400" w:lineRule="exact"/>
        <w:ind w:firstLine="600"/>
        <w:rPr>
          <w:rFonts w:hint="eastAsia" w:ascii="宋体" w:hAnsi="宋体" w:cs="宋体"/>
          <w:color w:val="000000"/>
          <w:szCs w:val="21"/>
        </w:rPr>
      </w:pPr>
      <w:r>
        <w:rPr>
          <w:rFonts w:hint="eastAsia" w:ascii="宋体" w:hAnsi="宋体" w:cs="宋体"/>
          <w:color w:val="000000"/>
          <w:szCs w:val="21"/>
        </w:rPr>
        <w:t>14.3.2 进度付款审核和支付</w:t>
      </w:r>
    </w:p>
    <w:p>
      <w:pPr>
        <w:spacing w:line="400" w:lineRule="exact"/>
        <w:ind w:firstLine="600"/>
        <w:rPr>
          <w:rFonts w:hint="eastAsia" w:ascii="宋体" w:hAnsi="宋体" w:cs="宋体"/>
          <w:color w:val="000000"/>
          <w:szCs w:val="21"/>
        </w:rPr>
      </w:pPr>
      <w:r>
        <w:rPr>
          <w:rFonts w:hint="eastAsia" w:ascii="宋体" w:hAnsi="宋体" w:cs="宋体"/>
          <w:color w:val="000000"/>
          <w:szCs w:val="21"/>
        </w:rPr>
        <w:t>进度付款的审核方式和支付的约定：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420" w:firstLineChars="200"/>
        <w:jc w:val="left"/>
        <w:rPr>
          <w:rFonts w:hint="eastAsia" w:ascii="宋体" w:hAnsi="宋体" w:cs="宋体"/>
          <w:color w:val="000000"/>
          <w:szCs w:val="21"/>
        </w:rPr>
      </w:pPr>
      <w:r>
        <w:rPr>
          <w:rFonts w:hint="eastAsia" w:ascii="宋体" w:hAnsi="宋体" w:cs="宋体"/>
          <w:color w:val="000000"/>
          <w:szCs w:val="21"/>
        </w:rPr>
        <w:t>发包人应在进度款支付证书或临时进度款支付证书签发后的</w:t>
      </w:r>
      <w:r>
        <w:rPr>
          <w:rFonts w:hint="eastAsia" w:ascii="宋体" w:hAnsi="宋体" w:cs="宋体"/>
          <w:color w:val="000000"/>
          <w:szCs w:val="21"/>
          <w:u w:val="single"/>
        </w:rPr>
        <w:t xml:space="preserve">     </w:t>
      </w:r>
      <w:r>
        <w:rPr>
          <w:rFonts w:hint="eastAsia" w:ascii="宋体" w:hAnsi="宋体" w:cs="宋体"/>
          <w:color w:val="000000"/>
          <w:szCs w:val="21"/>
        </w:rPr>
        <w:t>天内完成支付，发包人逾期支付进度款的，应按照</w:t>
      </w:r>
      <w:r>
        <w:rPr>
          <w:rFonts w:hint="eastAsia" w:ascii="宋体" w:hAnsi="宋体" w:cs="宋体"/>
          <w:color w:val="000000"/>
          <w:szCs w:val="21"/>
          <w:u w:val="single"/>
        </w:rPr>
        <w:t xml:space="preserve">    </w:t>
      </w:r>
      <w:r>
        <w:rPr>
          <w:rFonts w:hint="eastAsia" w:ascii="宋体" w:hAnsi="宋体" w:cs="宋体"/>
          <w:color w:val="000000"/>
          <w:szCs w:val="21"/>
        </w:rPr>
        <w:t>支付违约金。</w:t>
      </w:r>
    </w:p>
    <w:p>
      <w:pPr>
        <w:spacing w:line="400" w:lineRule="exact"/>
        <w:ind w:firstLine="600"/>
        <w:rPr>
          <w:rFonts w:hint="eastAsia" w:ascii="宋体" w:hAnsi="宋体" w:cs="宋体"/>
          <w:color w:val="000000"/>
          <w:szCs w:val="21"/>
        </w:rPr>
      </w:pPr>
      <w:r>
        <w:rPr>
          <w:rFonts w:hint="eastAsia" w:ascii="宋体" w:hAnsi="宋体" w:cs="宋体"/>
          <w:color w:val="000000"/>
          <w:szCs w:val="21"/>
        </w:rPr>
        <w:t>14.4 付款计划表</w:t>
      </w:r>
    </w:p>
    <w:p>
      <w:pPr>
        <w:spacing w:line="400" w:lineRule="exact"/>
        <w:ind w:firstLine="600"/>
        <w:rPr>
          <w:rFonts w:hint="eastAsia" w:ascii="宋体" w:hAnsi="宋体" w:cs="宋体"/>
          <w:color w:val="000000"/>
          <w:szCs w:val="21"/>
        </w:rPr>
      </w:pPr>
      <w:r>
        <w:rPr>
          <w:rFonts w:hint="eastAsia" w:ascii="宋体" w:hAnsi="宋体" w:cs="宋体"/>
          <w:color w:val="000000"/>
          <w:szCs w:val="21"/>
        </w:rPr>
        <w:t>14.4.1 付款计划表的编制要求：</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14.4.2 付款计划表的编制与审批</w:t>
      </w:r>
    </w:p>
    <w:p>
      <w:pPr>
        <w:spacing w:line="400" w:lineRule="exact"/>
        <w:ind w:firstLine="600"/>
        <w:rPr>
          <w:rFonts w:hint="eastAsia" w:ascii="宋体" w:hAnsi="宋体" w:cs="宋体"/>
          <w:color w:val="000000"/>
          <w:szCs w:val="21"/>
        </w:rPr>
      </w:pPr>
      <w:r>
        <w:rPr>
          <w:rFonts w:hint="eastAsia" w:ascii="宋体" w:hAnsi="宋体" w:cs="宋体"/>
          <w:color w:val="000000"/>
          <w:szCs w:val="21"/>
        </w:rPr>
        <w:t>付款计划表的编制：</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14.5 竣工结算</w:t>
      </w:r>
    </w:p>
    <w:p>
      <w:pPr>
        <w:spacing w:line="400" w:lineRule="exact"/>
        <w:ind w:firstLine="600"/>
        <w:rPr>
          <w:rFonts w:hint="eastAsia" w:ascii="宋体" w:hAnsi="宋体" w:cs="宋体"/>
          <w:color w:val="000000"/>
          <w:szCs w:val="21"/>
        </w:rPr>
      </w:pPr>
      <w:r>
        <w:rPr>
          <w:rFonts w:hint="eastAsia" w:ascii="宋体" w:hAnsi="宋体" w:cs="宋体"/>
          <w:color w:val="000000"/>
          <w:szCs w:val="21"/>
        </w:rPr>
        <w:t>14.5.1 竣工结算申请</w:t>
      </w:r>
    </w:p>
    <w:p>
      <w:pPr>
        <w:spacing w:line="400" w:lineRule="exact"/>
        <w:ind w:firstLine="600"/>
        <w:rPr>
          <w:rFonts w:hint="eastAsia" w:ascii="宋体" w:hAnsi="宋体" w:cs="宋体"/>
          <w:color w:val="000000"/>
          <w:szCs w:val="21"/>
        </w:rPr>
      </w:pPr>
      <w:r>
        <w:rPr>
          <w:rFonts w:hint="eastAsia" w:ascii="宋体" w:hAnsi="宋体" w:cs="宋体"/>
          <w:color w:val="000000"/>
          <w:szCs w:val="21"/>
        </w:rPr>
        <w:t>承包人提交竣工结算申请的时间：</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竣工结算申请的资料清单和份数：</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竣工结算申请单的内容应包括：</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14.5.2 竣工结算审核</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发包人审批竣工付款申请单的期限：</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发包人完成竣工付款的期限：</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关于竣工付款证书异议部分复核的方式和程序：</w:t>
      </w:r>
      <w:r>
        <w:rPr>
          <w:rFonts w:hint="eastAsia" w:ascii="宋体" w:hAnsi="宋体" w:cs="宋体"/>
          <w:color w:val="000000"/>
          <w:szCs w:val="21"/>
          <w:u w:val="single"/>
        </w:rPr>
        <w:t xml:space="preserve">                              </w:t>
      </w:r>
      <w:r>
        <w:rPr>
          <w:rFonts w:hint="eastAsia" w:ascii="宋体" w:hAnsi="宋体" w:cs="宋体"/>
          <w:color w:val="000000"/>
          <w:szCs w:val="21"/>
        </w:rPr>
        <w:t>。</w:t>
      </w:r>
    </w:p>
    <w:p>
      <w:pPr>
        <w:spacing w:before="120" w:beforeLines="50" w:after="120" w:afterLines="50" w:line="400" w:lineRule="exact"/>
        <w:ind w:firstLine="630" w:firstLineChars="300"/>
        <w:rPr>
          <w:rFonts w:hint="eastAsia" w:ascii="宋体" w:hAnsi="宋体" w:cs="宋体"/>
          <w:color w:val="000000"/>
          <w:szCs w:val="21"/>
        </w:rPr>
      </w:pPr>
      <w:r>
        <w:rPr>
          <w:rFonts w:hint="eastAsia" w:ascii="宋体" w:hAnsi="宋体" w:cs="宋体"/>
          <w:color w:val="000000"/>
          <w:szCs w:val="21"/>
        </w:rPr>
        <w:t>竣工结算表及最终结清表格格式详见附件11、12。</w:t>
      </w:r>
    </w:p>
    <w:p>
      <w:pPr>
        <w:spacing w:line="400" w:lineRule="exact"/>
        <w:ind w:firstLine="600"/>
        <w:rPr>
          <w:rFonts w:hint="eastAsia" w:ascii="宋体" w:hAnsi="宋体" w:cs="宋体"/>
          <w:color w:val="000000"/>
          <w:szCs w:val="21"/>
        </w:rPr>
      </w:pPr>
      <w:r>
        <w:rPr>
          <w:rFonts w:hint="eastAsia" w:ascii="宋体" w:hAnsi="宋体" w:cs="宋体"/>
          <w:color w:val="000000"/>
          <w:szCs w:val="21"/>
        </w:rPr>
        <w:t>14.6 质量保证金</w:t>
      </w:r>
    </w:p>
    <w:p>
      <w:pPr>
        <w:spacing w:line="400" w:lineRule="exact"/>
        <w:ind w:firstLine="600"/>
        <w:rPr>
          <w:rFonts w:hint="eastAsia" w:ascii="宋体" w:hAnsi="宋体" w:cs="宋体"/>
          <w:color w:val="000000"/>
          <w:szCs w:val="21"/>
        </w:rPr>
      </w:pPr>
      <w:r>
        <w:rPr>
          <w:rFonts w:hint="eastAsia" w:ascii="宋体" w:hAnsi="宋体" w:cs="宋体"/>
          <w:color w:val="000000"/>
          <w:szCs w:val="21"/>
        </w:rPr>
        <w:t>14.6.1 承包人提供质量保证金的方式</w:t>
      </w:r>
    </w:p>
    <w:p>
      <w:pPr>
        <w:spacing w:line="400" w:lineRule="exact"/>
        <w:ind w:firstLine="600"/>
        <w:rPr>
          <w:rFonts w:hint="eastAsia" w:ascii="宋体" w:hAnsi="宋体" w:cs="宋体"/>
          <w:color w:val="000000"/>
          <w:szCs w:val="21"/>
        </w:rPr>
      </w:pPr>
      <w:r>
        <w:rPr>
          <w:rFonts w:hint="eastAsia" w:ascii="宋体" w:hAnsi="宋体" w:cs="宋体"/>
          <w:color w:val="000000"/>
          <w:szCs w:val="21"/>
        </w:rPr>
        <w:t>质量保证金采用以下第</w:t>
      </w:r>
      <w:r>
        <w:rPr>
          <w:rFonts w:hint="eastAsia" w:ascii="宋体" w:hAnsi="宋体" w:cs="宋体"/>
          <w:color w:val="000000"/>
          <w:szCs w:val="21"/>
          <w:u w:val="single"/>
        </w:rPr>
        <w:t xml:space="preserve">        </w:t>
      </w:r>
      <w:r>
        <w:rPr>
          <w:rFonts w:hint="eastAsia" w:ascii="宋体" w:hAnsi="宋体" w:cs="宋体"/>
          <w:color w:val="000000"/>
          <w:szCs w:val="21"/>
        </w:rPr>
        <w:t>种方式：</w:t>
      </w:r>
    </w:p>
    <w:p>
      <w:pPr>
        <w:spacing w:line="400" w:lineRule="exact"/>
        <w:ind w:firstLine="600"/>
        <w:rPr>
          <w:rFonts w:hint="eastAsia" w:ascii="宋体" w:hAnsi="宋体" w:cs="宋体"/>
          <w:color w:val="000000"/>
          <w:szCs w:val="21"/>
        </w:rPr>
      </w:pPr>
      <w:r>
        <w:rPr>
          <w:rFonts w:hint="eastAsia" w:ascii="宋体" w:hAnsi="宋体" w:cs="宋体"/>
          <w:color w:val="000000"/>
          <w:szCs w:val="21"/>
        </w:rPr>
        <w:t>(1) 工程质量保证担保，保证金额为：</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 xml:space="preserve">(2) </w:t>
      </w:r>
      <w:r>
        <w:rPr>
          <w:rFonts w:hint="eastAsia" w:ascii="宋体" w:hAnsi="宋体" w:cs="宋体"/>
          <w:color w:val="000000"/>
          <w:szCs w:val="21"/>
          <w:u w:val="single"/>
        </w:rPr>
        <w:t xml:space="preserve">       </w:t>
      </w:r>
      <w:r>
        <w:rPr>
          <w:rFonts w:hint="eastAsia" w:ascii="宋体" w:hAnsi="宋体" w:cs="宋体"/>
          <w:color w:val="000000"/>
          <w:szCs w:val="21"/>
        </w:rPr>
        <w:t>%的工程款；</w:t>
      </w:r>
    </w:p>
    <w:p>
      <w:pPr>
        <w:spacing w:line="400" w:lineRule="exact"/>
        <w:ind w:firstLine="600"/>
        <w:rPr>
          <w:rFonts w:hint="eastAsia" w:ascii="宋体" w:hAnsi="宋体" w:cs="宋体"/>
          <w:color w:val="000000"/>
          <w:szCs w:val="21"/>
        </w:rPr>
      </w:pPr>
      <w:r>
        <w:rPr>
          <w:rFonts w:hint="eastAsia" w:ascii="宋体" w:hAnsi="宋体" w:cs="宋体"/>
          <w:color w:val="000000"/>
          <w:szCs w:val="21"/>
        </w:rPr>
        <w:t>(3) 其他方式：</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14.6.2 质量保证金的预留</w:t>
      </w:r>
    </w:p>
    <w:p>
      <w:pPr>
        <w:spacing w:line="400" w:lineRule="exact"/>
        <w:ind w:firstLine="600"/>
        <w:rPr>
          <w:rFonts w:hint="eastAsia" w:ascii="宋体" w:hAnsi="宋体" w:cs="宋体"/>
          <w:color w:val="000000"/>
          <w:szCs w:val="21"/>
        </w:rPr>
      </w:pPr>
      <w:r>
        <w:rPr>
          <w:rFonts w:hint="eastAsia" w:ascii="宋体" w:hAnsi="宋体" w:cs="宋体"/>
          <w:color w:val="000000"/>
          <w:szCs w:val="21"/>
        </w:rPr>
        <w:t>质量保证金的预留采取以下第</w:t>
      </w:r>
      <w:r>
        <w:rPr>
          <w:rFonts w:hint="eastAsia" w:ascii="宋体" w:hAnsi="宋体" w:cs="宋体"/>
          <w:color w:val="000000"/>
          <w:szCs w:val="21"/>
          <w:u w:val="single"/>
        </w:rPr>
        <w:t xml:space="preserve">      </w:t>
      </w:r>
      <w:r>
        <w:rPr>
          <w:rFonts w:hint="eastAsia" w:ascii="宋体" w:hAnsi="宋体" w:cs="宋体"/>
          <w:color w:val="000000"/>
          <w:szCs w:val="21"/>
        </w:rPr>
        <w:t>种方式：</w:t>
      </w:r>
    </w:p>
    <w:p>
      <w:pPr>
        <w:spacing w:line="400" w:lineRule="exact"/>
        <w:ind w:firstLine="600"/>
        <w:rPr>
          <w:rFonts w:hint="eastAsia" w:ascii="宋体" w:hAnsi="宋体" w:cs="宋体"/>
          <w:color w:val="000000"/>
          <w:szCs w:val="21"/>
        </w:rPr>
      </w:pPr>
      <w:r>
        <w:rPr>
          <w:rFonts w:hint="eastAsia" w:ascii="宋体" w:hAnsi="宋体" w:cs="宋体"/>
          <w:color w:val="000000"/>
          <w:szCs w:val="21"/>
        </w:rPr>
        <w:t>(1) 在支付工程进度款时逐次预留的质量保证金的比例：</w:t>
      </w:r>
      <w:r>
        <w:rPr>
          <w:rFonts w:hint="eastAsia" w:ascii="宋体" w:hAnsi="宋体" w:cs="宋体"/>
          <w:color w:val="000000"/>
          <w:szCs w:val="21"/>
          <w:u w:val="single"/>
        </w:rPr>
        <w:t xml:space="preserve">            </w:t>
      </w:r>
      <w:r>
        <w:rPr>
          <w:rFonts w:hint="eastAsia" w:ascii="宋体" w:hAnsi="宋体" w:cs="宋体"/>
          <w:color w:val="000000"/>
          <w:szCs w:val="21"/>
        </w:rPr>
        <w:t>，在此情形下，质量保证金的计算基数不包括预付款的支付、扣回以及价格调整的金额；</w:t>
      </w:r>
    </w:p>
    <w:p>
      <w:pPr>
        <w:spacing w:line="400" w:lineRule="exact"/>
        <w:ind w:firstLine="600"/>
        <w:rPr>
          <w:rFonts w:hint="eastAsia" w:ascii="宋体" w:hAnsi="宋体" w:cs="宋体"/>
          <w:color w:val="000000"/>
          <w:szCs w:val="21"/>
        </w:rPr>
      </w:pPr>
      <w:r>
        <w:rPr>
          <w:rFonts w:hint="eastAsia" w:ascii="宋体" w:hAnsi="宋体" w:cs="宋体"/>
          <w:color w:val="000000"/>
          <w:szCs w:val="21"/>
        </w:rPr>
        <w:t>(2) 工程竣工结算时一次性预留专用合同条件第14.6.1项第(2)目约定的工程款预留比例的质量保证金；</w:t>
      </w:r>
    </w:p>
    <w:p>
      <w:pPr>
        <w:spacing w:line="400" w:lineRule="exact"/>
        <w:ind w:firstLine="600"/>
        <w:rPr>
          <w:rFonts w:hint="eastAsia" w:ascii="宋体" w:hAnsi="宋体" w:cs="宋体"/>
          <w:color w:val="000000"/>
          <w:szCs w:val="21"/>
        </w:rPr>
      </w:pPr>
      <w:r>
        <w:rPr>
          <w:rFonts w:hint="eastAsia" w:ascii="宋体" w:hAnsi="宋体" w:cs="宋体"/>
          <w:color w:val="000000"/>
          <w:szCs w:val="21"/>
        </w:rPr>
        <w:t xml:space="preserve">(3) 其他预留方式: </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关于质量保证金的补充约定：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14.7 最终结清</w:t>
      </w:r>
    </w:p>
    <w:p>
      <w:pPr>
        <w:spacing w:line="400" w:lineRule="exact"/>
        <w:ind w:firstLine="600"/>
        <w:rPr>
          <w:rFonts w:hint="eastAsia" w:ascii="宋体" w:hAnsi="宋体" w:cs="宋体"/>
          <w:color w:val="000000"/>
          <w:szCs w:val="21"/>
        </w:rPr>
      </w:pPr>
      <w:r>
        <w:rPr>
          <w:rFonts w:hint="eastAsia" w:ascii="宋体" w:hAnsi="宋体" w:cs="宋体"/>
          <w:color w:val="000000"/>
          <w:szCs w:val="21"/>
        </w:rPr>
        <w:t>14.7.1 最终结清申请单</w:t>
      </w:r>
    </w:p>
    <w:p>
      <w:pPr>
        <w:spacing w:line="400" w:lineRule="exact"/>
        <w:ind w:firstLine="600"/>
        <w:rPr>
          <w:rFonts w:hint="eastAsia" w:ascii="宋体" w:hAnsi="宋体" w:cs="宋体"/>
          <w:color w:val="000000"/>
          <w:szCs w:val="21"/>
        </w:rPr>
      </w:pPr>
      <w:r>
        <w:rPr>
          <w:rFonts w:hint="eastAsia" w:ascii="宋体" w:hAnsi="宋体" w:cs="宋体"/>
          <w:color w:val="000000"/>
          <w:szCs w:val="21"/>
        </w:rPr>
        <w:t>当事人双方关于最终结清申请的其他约定：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14.7.2 最终结清证书和支付</w:t>
      </w:r>
    </w:p>
    <w:p>
      <w:pPr>
        <w:spacing w:line="400" w:lineRule="exact"/>
        <w:ind w:firstLine="600"/>
        <w:rPr>
          <w:rFonts w:hint="eastAsia" w:ascii="宋体" w:hAnsi="宋体" w:cs="宋体"/>
          <w:color w:val="000000"/>
          <w:szCs w:val="21"/>
        </w:rPr>
      </w:pPr>
      <w:r>
        <w:rPr>
          <w:rFonts w:hint="eastAsia" w:ascii="宋体" w:hAnsi="宋体" w:cs="宋体"/>
          <w:color w:val="000000"/>
          <w:szCs w:val="21"/>
        </w:rPr>
        <w:t>当事人双方关于最终结清支付的其他约定：</w:t>
      </w:r>
      <w:r>
        <w:rPr>
          <w:rFonts w:hint="eastAsia" w:ascii="宋体" w:hAnsi="宋体" w:cs="宋体"/>
          <w:color w:val="000000"/>
          <w:szCs w:val="21"/>
          <w:u w:val="single"/>
        </w:rPr>
        <w:t xml:space="preserve">             </w:t>
      </w:r>
      <w:r>
        <w:rPr>
          <w:rFonts w:hint="eastAsia" w:ascii="宋体" w:hAnsi="宋体" w:cs="宋体"/>
          <w:color w:val="000000"/>
          <w:szCs w:val="21"/>
        </w:rPr>
        <w:t>。</w:t>
      </w:r>
    </w:p>
    <w:p>
      <w:pPr>
        <w:pStyle w:val="690"/>
        <w:spacing w:line="400" w:lineRule="exact"/>
        <w:rPr>
          <w:rFonts w:hint="eastAsia" w:cs="宋体"/>
          <w:b w:val="0"/>
          <w:color w:val="000000"/>
          <w:szCs w:val="21"/>
        </w:rPr>
      </w:pPr>
      <w:bookmarkStart w:id="1692" w:name="_Toc54862346"/>
      <w:bookmarkStart w:id="1693" w:name="_Toc59203245"/>
      <w:r>
        <w:rPr>
          <w:rFonts w:hint="eastAsia" w:cs="宋体"/>
          <w:b w:val="0"/>
          <w:color w:val="000000"/>
          <w:szCs w:val="21"/>
        </w:rPr>
        <w:t>第15条 违约</w:t>
      </w:r>
      <w:bookmarkEnd w:id="1692"/>
      <w:bookmarkEnd w:id="1693"/>
    </w:p>
    <w:p>
      <w:pPr>
        <w:spacing w:line="400" w:lineRule="exact"/>
        <w:ind w:firstLine="600"/>
        <w:rPr>
          <w:rFonts w:hint="eastAsia" w:ascii="宋体" w:hAnsi="宋体" w:cs="宋体"/>
          <w:color w:val="000000"/>
          <w:szCs w:val="21"/>
        </w:rPr>
      </w:pPr>
      <w:r>
        <w:rPr>
          <w:rFonts w:hint="eastAsia" w:ascii="宋体" w:hAnsi="宋体" w:cs="宋体"/>
          <w:color w:val="000000"/>
          <w:szCs w:val="21"/>
        </w:rPr>
        <w:t>15.1 发包人违约</w:t>
      </w:r>
    </w:p>
    <w:p>
      <w:pPr>
        <w:spacing w:line="400" w:lineRule="exact"/>
        <w:ind w:firstLine="600"/>
        <w:rPr>
          <w:rFonts w:hint="eastAsia" w:ascii="宋体" w:hAnsi="宋体" w:cs="宋体"/>
          <w:color w:val="000000"/>
          <w:szCs w:val="21"/>
        </w:rPr>
      </w:pPr>
      <w:r>
        <w:rPr>
          <w:rFonts w:hint="eastAsia" w:ascii="宋体" w:hAnsi="宋体" w:cs="宋体"/>
          <w:color w:val="000000"/>
          <w:szCs w:val="21"/>
        </w:rPr>
        <w:t>15.1.1 发包人违约的情形</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发包人违约的其他情形</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15.1.3 发包人违约的责任</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发包人违约责任的承担方式和计算方法：</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15.2 承包人违约</w:t>
      </w:r>
    </w:p>
    <w:p>
      <w:pPr>
        <w:spacing w:line="400" w:lineRule="exact"/>
        <w:ind w:firstLine="600"/>
        <w:rPr>
          <w:rFonts w:hint="eastAsia" w:ascii="宋体" w:hAnsi="宋体" w:cs="宋体"/>
          <w:color w:val="000000"/>
          <w:szCs w:val="21"/>
        </w:rPr>
      </w:pPr>
      <w:r>
        <w:rPr>
          <w:rFonts w:hint="eastAsia" w:ascii="宋体" w:hAnsi="宋体" w:cs="宋体"/>
          <w:color w:val="000000"/>
          <w:szCs w:val="21"/>
        </w:rPr>
        <w:t>15.2.1 承包人违约的情形</w:t>
      </w:r>
    </w:p>
    <w:p>
      <w:pPr>
        <w:spacing w:line="400" w:lineRule="exact"/>
        <w:ind w:firstLine="600"/>
        <w:rPr>
          <w:rFonts w:hint="eastAsia" w:ascii="宋体" w:hAnsi="宋体" w:cs="宋体"/>
          <w:color w:val="000000"/>
          <w:szCs w:val="21"/>
        </w:rPr>
      </w:pPr>
      <w:r>
        <w:rPr>
          <w:rFonts w:hint="eastAsia" w:ascii="宋体" w:hAnsi="宋体" w:cs="宋体"/>
          <w:color w:val="000000"/>
          <w:szCs w:val="21"/>
        </w:rPr>
        <w:t>承包人违约的其他情形：</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15.2.2 通知改正</w:t>
      </w:r>
    </w:p>
    <w:p>
      <w:pPr>
        <w:spacing w:line="400" w:lineRule="exact"/>
        <w:ind w:firstLine="600"/>
        <w:rPr>
          <w:rFonts w:hint="eastAsia" w:ascii="宋体" w:hAnsi="宋体" w:cs="宋体"/>
          <w:color w:val="000000"/>
          <w:szCs w:val="21"/>
        </w:rPr>
      </w:pPr>
      <w:r>
        <w:rPr>
          <w:rFonts w:hint="eastAsia" w:ascii="宋体" w:hAnsi="宋体" w:cs="宋体"/>
          <w:color w:val="000000"/>
          <w:szCs w:val="21"/>
        </w:rPr>
        <w:t>工程师通知承包人改正的合理期限是：</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15.2.3 承包人违约的责任</w:t>
      </w:r>
    </w:p>
    <w:p>
      <w:pPr>
        <w:spacing w:line="400" w:lineRule="exact"/>
        <w:ind w:firstLine="600"/>
        <w:rPr>
          <w:rFonts w:hint="eastAsia" w:ascii="宋体" w:hAnsi="宋体" w:cs="宋体"/>
          <w:color w:val="000000"/>
          <w:szCs w:val="21"/>
        </w:rPr>
      </w:pPr>
      <w:r>
        <w:rPr>
          <w:rFonts w:hint="eastAsia" w:ascii="宋体" w:hAnsi="宋体" w:cs="宋体"/>
          <w:color w:val="000000"/>
          <w:szCs w:val="21"/>
        </w:rPr>
        <w:t>承包人违约责任的承担方式和计算方法：</w:t>
      </w:r>
      <w:r>
        <w:rPr>
          <w:rFonts w:hint="eastAsia" w:ascii="宋体" w:hAnsi="宋体" w:cs="宋体"/>
          <w:color w:val="000000"/>
          <w:szCs w:val="21"/>
          <w:u w:val="single"/>
        </w:rPr>
        <w:t xml:space="preserve">              </w:t>
      </w:r>
      <w:r>
        <w:rPr>
          <w:rFonts w:hint="eastAsia" w:ascii="宋体" w:hAnsi="宋体" w:cs="宋体"/>
          <w:color w:val="000000"/>
          <w:szCs w:val="21"/>
        </w:rPr>
        <w:t>。</w:t>
      </w:r>
    </w:p>
    <w:p>
      <w:pPr>
        <w:pStyle w:val="690"/>
        <w:spacing w:line="400" w:lineRule="exact"/>
        <w:rPr>
          <w:rFonts w:hint="eastAsia" w:cs="宋体"/>
          <w:b w:val="0"/>
          <w:color w:val="000000"/>
          <w:szCs w:val="21"/>
        </w:rPr>
      </w:pPr>
      <w:bookmarkStart w:id="1694" w:name="_Toc54862347"/>
      <w:bookmarkStart w:id="1695" w:name="_Toc59203246"/>
      <w:r>
        <w:rPr>
          <w:rFonts w:hint="eastAsia" w:cs="宋体"/>
          <w:b w:val="0"/>
          <w:color w:val="000000"/>
          <w:szCs w:val="21"/>
        </w:rPr>
        <w:t>第16条 合同解除</w:t>
      </w:r>
      <w:bookmarkEnd w:id="1694"/>
      <w:bookmarkEnd w:id="1695"/>
    </w:p>
    <w:p>
      <w:pPr>
        <w:spacing w:line="400" w:lineRule="exact"/>
        <w:ind w:firstLine="600"/>
        <w:rPr>
          <w:rFonts w:hint="eastAsia" w:ascii="宋体" w:hAnsi="宋体" w:cs="宋体"/>
          <w:color w:val="000000"/>
          <w:szCs w:val="21"/>
        </w:rPr>
      </w:pPr>
      <w:r>
        <w:rPr>
          <w:rFonts w:hint="eastAsia" w:ascii="宋体" w:hAnsi="宋体" w:cs="宋体"/>
          <w:color w:val="000000"/>
          <w:szCs w:val="21"/>
        </w:rPr>
        <w:t>16.1 由发包人解除合同</w:t>
      </w:r>
    </w:p>
    <w:p>
      <w:pPr>
        <w:spacing w:line="400" w:lineRule="exact"/>
        <w:ind w:firstLine="600"/>
        <w:rPr>
          <w:rFonts w:hint="eastAsia" w:ascii="宋体" w:hAnsi="宋体" w:cs="宋体"/>
          <w:color w:val="000000"/>
          <w:szCs w:val="21"/>
        </w:rPr>
      </w:pPr>
      <w:r>
        <w:rPr>
          <w:rFonts w:hint="eastAsia" w:ascii="宋体" w:hAnsi="宋体" w:cs="宋体"/>
          <w:color w:val="000000"/>
          <w:szCs w:val="21"/>
        </w:rPr>
        <w:t>16.1.1 因承包人违约解除合同</w:t>
      </w:r>
    </w:p>
    <w:p>
      <w:pPr>
        <w:spacing w:line="400" w:lineRule="exact"/>
        <w:ind w:firstLine="600"/>
        <w:rPr>
          <w:rFonts w:hint="eastAsia" w:ascii="宋体" w:hAnsi="宋体" w:cs="宋体"/>
          <w:color w:val="000000"/>
          <w:szCs w:val="21"/>
        </w:rPr>
      </w:pPr>
      <w:r>
        <w:rPr>
          <w:rFonts w:hint="eastAsia" w:ascii="宋体" w:hAnsi="宋体" w:cs="宋体"/>
          <w:color w:val="000000"/>
          <w:szCs w:val="21"/>
        </w:rPr>
        <w:t>双方约定可由发包人解除合同的其他事由：</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16.2 由承包人解除合同</w:t>
      </w:r>
    </w:p>
    <w:p>
      <w:pPr>
        <w:spacing w:line="400" w:lineRule="exact"/>
        <w:ind w:firstLine="600"/>
        <w:rPr>
          <w:rFonts w:hint="eastAsia" w:ascii="宋体" w:hAnsi="宋体" w:cs="宋体"/>
          <w:color w:val="000000"/>
          <w:szCs w:val="21"/>
        </w:rPr>
      </w:pPr>
      <w:r>
        <w:rPr>
          <w:rFonts w:hint="eastAsia" w:ascii="宋体" w:hAnsi="宋体" w:cs="宋体"/>
          <w:color w:val="000000"/>
          <w:szCs w:val="21"/>
        </w:rPr>
        <w:t>16.2.1 因发包人违约解除合同</w:t>
      </w:r>
    </w:p>
    <w:p>
      <w:pPr>
        <w:spacing w:line="400" w:lineRule="exact"/>
        <w:ind w:firstLine="600"/>
        <w:rPr>
          <w:rFonts w:hint="eastAsia" w:ascii="宋体" w:hAnsi="宋体" w:cs="宋体"/>
          <w:color w:val="000000"/>
          <w:szCs w:val="21"/>
        </w:rPr>
      </w:pPr>
      <w:r>
        <w:rPr>
          <w:rFonts w:hint="eastAsia" w:ascii="宋体" w:hAnsi="宋体" w:cs="宋体"/>
          <w:color w:val="000000"/>
          <w:szCs w:val="21"/>
        </w:rPr>
        <w:t>双方约定可由承包人解除合同的其他事由：</w:t>
      </w:r>
      <w:r>
        <w:rPr>
          <w:rFonts w:hint="eastAsia" w:ascii="宋体" w:hAnsi="宋体" w:cs="宋体"/>
          <w:color w:val="000000"/>
          <w:szCs w:val="21"/>
          <w:u w:val="single"/>
        </w:rPr>
        <w:t xml:space="preserve">             </w:t>
      </w:r>
      <w:r>
        <w:rPr>
          <w:rFonts w:hint="eastAsia" w:ascii="宋体" w:hAnsi="宋体" w:cs="宋体"/>
          <w:color w:val="000000"/>
          <w:szCs w:val="21"/>
        </w:rPr>
        <w:t>。</w:t>
      </w:r>
    </w:p>
    <w:p>
      <w:pPr>
        <w:pStyle w:val="690"/>
        <w:spacing w:line="400" w:lineRule="exact"/>
        <w:rPr>
          <w:rFonts w:hint="eastAsia" w:cs="宋体"/>
          <w:b w:val="0"/>
          <w:color w:val="000000"/>
          <w:szCs w:val="21"/>
        </w:rPr>
      </w:pPr>
      <w:bookmarkStart w:id="1696" w:name="_Toc54862348"/>
      <w:bookmarkStart w:id="1697" w:name="_Toc59203247"/>
      <w:r>
        <w:rPr>
          <w:rFonts w:hint="eastAsia" w:cs="宋体"/>
          <w:b w:val="0"/>
          <w:color w:val="000000"/>
          <w:szCs w:val="21"/>
        </w:rPr>
        <w:t>第17条 不可抗力</w:t>
      </w:r>
      <w:bookmarkEnd w:id="1696"/>
      <w:bookmarkEnd w:id="1697"/>
    </w:p>
    <w:p>
      <w:pPr>
        <w:spacing w:line="400" w:lineRule="exact"/>
        <w:ind w:firstLine="600"/>
        <w:rPr>
          <w:rFonts w:hint="eastAsia" w:ascii="宋体" w:hAnsi="宋体" w:cs="宋体"/>
          <w:color w:val="000000"/>
          <w:szCs w:val="21"/>
        </w:rPr>
      </w:pPr>
      <w:r>
        <w:rPr>
          <w:rFonts w:hint="eastAsia" w:ascii="宋体" w:hAnsi="宋体" w:cs="宋体"/>
          <w:color w:val="000000"/>
          <w:szCs w:val="21"/>
        </w:rPr>
        <w:t>17.1 不可抗力的定义</w:t>
      </w:r>
    </w:p>
    <w:p>
      <w:pPr>
        <w:spacing w:line="400" w:lineRule="exact"/>
        <w:ind w:firstLine="600"/>
        <w:rPr>
          <w:rFonts w:hint="eastAsia" w:ascii="宋体" w:hAnsi="宋体" w:cs="宋体"/>
          <w:color w:val="000000"/>
          <w:szCs w:val="21"/>
        </w:rPr>
      </w:pPr>
      <w:r>
        <w:rPr>
          <w:rFonts w:hint="eastAsia" w:ascii="宋体" w:hAnsi="宋体" w:cs="宋体"/>
          <w:color w:val="000000"/>
          <w:szCs w:val="21"/>
        </w:rPr>
        <w:t>除通用合同条件约定的不可抗力事件之外，视为不可抗力的其他情形：</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17.6 因不可抗力解除合同</w:t>
      </w:r>
    </w:p>
    <w:p>
      <w:pPr>
        <w:spacing w:line="400" w:lineRule="exact"/>
        <w:ind w:firstLine="600"/>
        <w:rPr>
          <w:rFonts w:hint="eastAsia" w:ascii="宋体" w:hAnsi="宋体" w:cs="宋体"/>
          <w:color w:val="000000"/>
          <w:szCs w:val="21"/>
        </w:rPr>
      </w:pPr>
      <w:r>
        <w:rPr>
          <w:rFonts w:hint="eastAsia" w:ascii="宋体" w:hAnsi="宋体" w:cs="宋体"/>
          <w:color w:val="000000"/>
          <w:szCs w:val="21"/>
        </w:rPr>
        <w:t>合同解除后，发包人应当在商定或确定发包人应支付款项后的</w:t>
      </w:r>
      <w:r>
        <w:rPr>
          <w:rFonts w:hint="eastAsia" w:ascii="宋体" w:hAnsi="宋体" w:cs="宋体"/>
          <w:color w:val="000000"/>
          <w:szCs w:val="21"/>
          <w:u w:val="single"/>
        </w:rPr>
        <w:t xml:space="preserve">       </w:t>
      </w:r>
      <w:r>
        <w:rPr>
          <w:rFonts w:hint="eastAsia" w:ascii="宋体" w:hAnsi="宋体" w:cs="宋体"/>
          <w:color w:val="000000"/>
          <w:szCs w:val="21"/>
        </w:rPr>
        <w:t>天内完成款项的支付。</w:t>
      </w:r>
    </w:p>
    <w:p>
      <w:pPr>
        <w:pStyle w:val="690"/>
        <w:spacing w:line="400" w:lineRule="exact"/>
        <w:rPr>
          <w:rFonts w:hint="eastAsia" w:cs="宋体"/>
          <w:b w:val="0"/>
          <w:color w:val="000000"/>
          <w:szCs w:val="21"/>
        </w:rPr>
      </w:pPr>
      <w:bookmarkStart w:id="1698" w:name="_Toc54862349"/>
      <w:bookmarkStart w:id="1699" w:name="_Toc59203248"/>
      <w:r>
        <w:rPr>
          <w:rFonts w:hint="eastAsia" w:cs="宋体"/>
          <w:b w:val="0"/>
          <w:color w:val="000000"/>
          <w:szCs w:val="21"/>
        </w:rPr>
        <w:t>第18条 保险</w:t>
      </w:r>
      <w:bookmarkEnd w:id="1698"/>
      <w:bookmarkEnd w:id="1699"/>
    </w:p>
    <w:p>
      <w:pPr>
        <w:spacing w:line="400" w:lineRule="exact"/>
        <w:ind w:firstLine="600"/>
        <w:rPr>
          <w:rFonts w:hint="eastAsia" w:ascii="宋体" w:hAnsi="宋体" w:cs="宋体"/>
          <w:color w:val="000000"/>
          <w:szCs w:val="21"/>
        </w:rPr>
      </w:pPr>
      <w:r>
        <w:rPr>
          <w:rFonts w:hint="eastAsia" w:ascii="宋体" w:hAnsi="宋体" w:cs="宋体"/>
          <w:color w:val="000000"/>
          <w:szCs w:val="21"/>
        </w:rPr>
        <w:t>18.1 设计和工程保险</w:t>
      </w:r>
    </w:p>
    <w:p>
      <w:pPr>
        <w:spacing w:line="400" w:lineRule="exact"/>
        <w:ind w:firstLine="600"/>
        <w:rPr>
          <w:rFonts w:hint="eastAsia" w:ascii="宋体" w:hAnsi="宋体" w:cs="宋体"/>
          <w:color w:val="000000"/>
          <w:szCs w:val="21"/>
        </w:rPr>
      </w:pPr>
      <w:r>
        <w:rPr>
          <w:rFonts w:hint="eastAsia" w:ascii="宋体" w:hAnsi="宋体" w:cs="宋体"/>
          <w:color w:val="000000"/>
          <w:szCs w:val="21"/>
        </w:rPr>
        <w:t>18.1.1 双方当事人关于设计和工程保险的特别约定：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18.1.2 双方当事人关于第三方责任险的特别约定：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18.2 工伤和意外伤害保险</w:t>
      </w:r>
    </w:p>
    <w:p>
      <w:pPr>
        <w:spacing w:line="400" w:lineRule="exact"/>
        <w:ind w:firstLine="600"/>
        <w:rPr>
          <w:rFonts w:hint="eastAsia" w:ascii="宋体" w:hAnsi="宋体" w:cs="宋体"/>
          <w:color w:val="000000"/>
          <w:szCs w:val="21"/>
        </w:rPr>
      </w:pPr>
      <w:r>
        <w:rPr>
          <w:rFonts w:hint="eastAsia" w:ascii="宋体" w:hAnsi="宋体" w:cs="宋体"/>
          <w:color w:val="000000"/>
          <w:szCs w:val="21"/>
        </w:rPr>
        <w:t>18.2.3 关于工伤保险和意外伤害保险的特别约定：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18.3 货物保险</w:t>
      </w:r>
    </w:p>
    <w:p>
      <w:pPr>
        <w:spacing w:line="400" w:lineRule="exact"/>
        <w:ind w:firstLine="600"/>
        <w:rPr>
          <w:rFonts w:hint="eastAsia" w:ascii="宋体" w:hAnsi="宋体" w:cs="宋体"/>
          <w:color w:val="000000"/>
          <w:szCs w:val="21"/>
        </w:rPr>
      </w:pPr>
      <w:r>
        <w:rPr>
          <w:rFonts w:hint="eastAsia" w:ascii="宋体" w:hAnsi="宋体" w:cs="宋体"/>
          <w:color w:val="000000"/>
          <w:szCs w:val="21"/>
        </w:rPr>
        <w:t>关于承包人应为其施工设备、材料、工程设备和临时工程等办理财产保险的特别约定：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18.4 其他保险</w:t>
      </w:r>
    </w:p>
    <w:p>
      <w:pPr>
        <w:spacing w:line="400" w:lineRule="exact"/>
        <w:ind w:firstLine="600"/>
        <w:rPr>
          <w:rFonts w:hint="eastAsia" w:ascii="宋体" w:hAnsi="宋体" w:cs="宋体"/>
          <w:color w:val="000000"/>
          <w:szCs w:val="21"/>
        </w:rPr>
      </w:pPr>
      <w:r>
        <w:rPr>
          <w:rFonts w:hint="eastAsia" w:ascii="宋体" w:hAnsi="宋体" w:cs="宋体"/>
          <w:color w:val="000000"/>
          <w:szCs w:val="21"/>
        </w:rPr>
        <w:t>关于其他保险的约定：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18.5 对各项保险的一般要求</w:t>
      </w:r>
    </w:p>
    <w:p>
      <w:pPr>
        <w:spacing w:line="400" w:lineRule="exact"/>
        <w:ind w:firstLine="600"/>
        <w:rPr>
          <w:rFonts w:hint="eastAsia" w:ascii="宋体" w:hAnsi="宋体" w:cs="宋体"/>
          <w:color w:val="000000"/>
          <w:szCs w:val="21"/>
        </w:rPr>
      </w:pPr>
      <w:r>
        <w:rPr>
          <w:rFonts w:hint="eastAsia" w:ascii="宋体" w:hAnsi="宋体" w:cs="宋体"/>
          <w:color w:val="000000"/>
          <w:szCs w:val="21"/>
        </w:rPr>
        <w:t>18.5.2 保险凭证</w:t>
      </w:r>
    </w:p>
    <w:p>
      <w:pPr>
        <w:spacing w:line="400" w:lineRule="exact"/>
        <w:ind w:firstLine="600"/>
        <w:rPr>
          <w:rFonts w:hint="eastAsia" w:ascii="宋体" w:hAnsi="宋体" w:cs="宋体"/>
          <w:color w:val="000000"/>
          <w:szCs w:val="21"/>
        </w:rPr>
      </w:pPr>
      <w:r>
        <w:rPr>
          <w:rFonts w:hint="eastAsia" w:ascii="宋体" w:hAnsi="宋体" w:cs="宋体"/>
          <w:color w:val="000000"/>
          <w:szCs w:val="21"/>
        </w:rPr>
        <w:t>保险单的条件：</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18.5.4 通知义务</w:t>
      </w:r>
    </w:p>
    <w:p>
      <w:pPr>
        <w:spacing w:line="400" w:lineRule="exact"/>
        <w:ind w:firstLine="600"/>
        <w:rPr>
          <w:rFonts w:hint="eastAsia" w:ascii="宋体" w:hAnsi="宋体" w:cs="宋体"/>
          <w:color w:val="000000"/>
          <w:szCs w:val="21"/>
        </w:rPr>
      </w:pPr>
      <w:r>
        <w:rPr>
          <w:rFonts w:hint="eastAsia" w:ascii="宋体" w:hAnsi="宋体" w:cs="宋体"/>
          <w:color w:val="000000"/>
          <w:szCs w:val="21"/>
        </w:rPr>
        <w:t>关于变更保险合同时的通知义务的约定：</w:t>
      </w:r>
      <w:r>
        <w:rPr>
          <w:rFonts w:hint="eastAsia" w:ascii="宋体" w:hAnsi="宋体" w:cs="宋体"/>
          <w:color w:val="000000"/>
          <w:szCs w:val="21"/>
          <w:u w:val="single"/>
        </w:rPr>
        <w:t xml:space="preserve">               </w:t>
      </w:r>
      <w:r>
        <w:rPr>
          <w:rFonts w:hint="eastAsia" w:ascii="宋体" w:hAnsi="宋体" w:cs="宋体"/>
          <w:color w:val="000000"/>
          <w:szCs w:val="21"/>
        </w:rPr>
        <w:t>。</w:t>
      </w:r>
    </w:p>
    <w:p>
      <w:pPr>
        <w:pStyle w:val="690"/>
        <w:spacing w:line="400" w:lineRule="exact"/>
        <w:rPr>
          <w:rFonts w:hint="eastAsia" w:cs="宋体"/>
          <w:b w:val="0"/>
          <w:color w:val="000000"/>
          <w:szCs w:val="21"/>
        </w:rPr>
      </w:pPr>
      <w:bookmarkStart w:id="1700" w:name="_Toc54862350"/>
      <w:bookmarkStart w:id="1701" w:name="_Toc59203249"/>
      <w:r>
        <w:rPr>
          <w:rFonts w:hint="eastAsia" w:cs="宋体"/>
          <w:b w:val="0"/>
          <w:color w:val="000000"/>
          <w:szCs w:val="21"/>
        </w:rPr>
        <w:t>第20条 争议解决</w:t>
      </w:r>
      <w:bookmarkEnd w:id="1700"/>
      <w:bookmarkEnd w:id="1701"/>
    </w:p>
    <w:p>
      <w:pPr>
        <w:spacing w:line="400" w:lineRule="exact"/>
        <w:ind w:firstLine="600"/>
        <w:rPr>
          <w:rFonts w:hint="eastAsia" w:ascii="宋体" w:hAnsi="宋体" w:cs="宋体"/>
          <w:color w:val="000000"/>
          <w:szCs w:val="21"/>
        </w:rPr>
      </w:pPr>
      <w:r>
        <w:rPr>
          <w:rFonts w:hint="eastAsia" w:ascii="宋体" w:hAnsi="宋体" w:cs="宋体"/>
          <w:color w:val="000000"/>
          <w:szCs w:val="21"/>
        </w:rPr>
        <w:t>20.3 争议评审</w:t>
      </w:r>
    </w:p>
    <w:p>
      <w:pPr>
        <w:spacing w:line="400" w:lineRule="exact"/>
        <w:ind w:firstLine="600"/>
        <w:rPr>
          <w:rFonts w:hint="eastAsia" w:ascii="宋体" w:hAnsi="宋体" w:cs="宋体"/>
          <w:color w:val="000000"/>
          <w:szCs w:val="21"/>
        </w:rPr>
      </w:pPr>
      <w:r>
        <w:rPr>
          <w:rFonts w:hint="eastAsia" w:ascii="宋体" w:hAnsi="宋体" w:cs="宋体"/>
          <w:color w:val="000000"/>
          <w:szCs w:val="21"/>
        </w:rPr>
        <w:t xml:space="preserve">合同当事人是否同意将工程争议提交争议评审小组决定： </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20.3.1 争议评审小组的确定</w:t>
      </w:r>
    </w:p>
    <w:p>
      <w:pPr>
        <w:spacing w:line="400" w:lineRule="exact"/>
        <w:ind w:firstLine="600"/>
        <w:rPr>
          <w:rFonts w:hint="eastAsia" w:ascii="宋体" w:hAnsi="宋体" w:cs="宋体"/>
          <w:color w:val="000000"/>
          <w:szCs w:val="21"/>
        </w:rPr>
      </w:pPr>
      <w:r>
        <w:rPr>
          <w:rFonts w:hint="eastAsia" w:ascii="宋体" w:hAnsi="宋体" w:cs="宋体"/>
          <w:color w:val="000000"/>
          <w:szCs w:val="21"/>
        </w:rPr>
        <w:t>争议评审小组成员的人数：</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争议评审小组成员的确定：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选定争议避免/评审组的期限：</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评审机构：</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其他事项的约定：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争议评审员报酬的承担人：</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20.3.2 争议的避免</w:t>
      </w:r>
    </w:p>
    <w:p>
      <w:pPr>
        <w:spacing w:line="400" w:lineRule="exact"/>
        <w:ind w:firstLine="600"/>
        <w:rPr>
          <w:rFonts w:hint="eastAsia" w:ascii="宋体" w:hAnsi="宋体" w:cs="宋体"/>
          <w:color w:val="000000"/>
          <w:szCs w:val="21"/>
        </w:rPr>
      </w:pPr>
      <w:r>
        <w:rPr>
          <w:rFonts w:hint="eastAsia" w:ascii="宋体" w:hAnsi="宋体" w:cs="宋体"/>
          <w:color w:val="000000"/>
          <w:szCs w:val="21"/>
        </w:rPr>
        <w:t>发包人和承包人是否均出席争议避免的非正式讨论：</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20.3.3 争议评审小组的决定</w:t>
      </w:r>
    </w:p>
    <w:p>
      <w:pPr>
        <w:spacing w:line="400" w:lineRule="exact"/>
        <w:ind w:firstLine="600"/>
        <w:rPr>
          <w:rFonts w:hint="eastAsia" w:ascii="宋体" w:hAnsi="宋体" w:cs="宋体"/>
          <w:color w:val="000000"/>
          <w:szCs w:val="21"/>
        </w:rPr>
      </w:pPr>
      <w:r>
        <w:rPr>
          <w:rFonts w:hint="eastAsia" w:ascii="宋体" w:hAnsi="宋体" w:cs="宋体"/>
          <w:color w:val="000000"/>
          <w:szCs w:val="21"/>
        </w:rPr>
        <w:t>关于争议评审小组的决定的特别约定：</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400" w:lineRule="exact"/>
        <w:ind w:firstLine="600"/>
        <w:rPr>
          <w:rFonts w:hint="eastAsia" w:ascii="宋体" w:hAnsi="宋体" w:cs="宋体"/>
          <w:color w:val="000000"/>
          <w:szCs w:val="21"/>
        </w:rPr>
      </w:pPr>
      <w:r>
        <w:rPr>
          <w:rFonts w:hint="eastAsia" w:ascii="宋体" w:hAnsi="宋体" w:cs="宋体"/>
          <w:color w:val="000000"/>
          <w:szCs w:val="21"/>
        </w:rPr>
        <w:t>20.4 仲裁或诉讼</w:t>
      </w:r>
    </w:p>
    <w:p>
      <w:pPr>
        <w:spacing w:line="400" w:lineRule="exact"/>
        <w:ind w:firstLine="600"/>
        <w:rPr>
          <w:rFonts w:hint="eastAsia" w:ascii="宋体" w:hAnsi="宋体" w:cs="宋体"/>
          <w:color w:val="000000"/>
          <w:szCs w:val="21"/>
        </w:rPr>
      </w:pPr>
      <w:r>
        <w:rPr>
          <w:rFonts w:hint="eastAsia" w:ascii="宋体" w:hAnsi="宋体" w:cs="宋体"/>
          <w:color w:val="000000"/>
          <w:szCs w:val="21"/>
        </w:rPr>
        <w:t>因合同及合同有关事项发生的争议，按下列第</w:t>
      </w:r>
      <w:r>
        <w:rPr>
          <w:rFonts w:hint="eastAsia" w:ascii="宋体" w:hAnsi="宋体" w:cs="宋体"/>
          <w:color w:val="000000"/>
          <w:szCs w:val="21"/>
          <w:u w:val="single"/>
        </w:rPr>
        <w:t xml:space="preserve">    </w:t>
      </w:r>
      <w:r>
        <w:rPr>
          <w:rFonts w:hint="eastAsia" w:ascii="宋体" w:hAnsi="宋体" w:cs="宋体"/>
          <w:color w:val="000000"/>
          <w:szCs w:val="21"/>
        </w:rPr>
        <w:t>种方式解决：</w:t>
      </w:r>
    </w:p>
    <w:p>
      <w:pPr>
        <w:spacing w:line="400" w:lineRule="exact"/>
        <w:ind w:firstLine="600"/>
        <w:rPr>
          <w:rFonts w:hint="eastAsia" w:ascii="宋体" w:hAnsi="宋体" w:cs="宋体"/>
          <w:color w:val="000000"/>
          <w:szCs w:val="21"/>
        </w:rPr>
      </w:pPr>
      <w:r>
        <w:rPr>
          <w:rFonts w:hint="eastAsia" w:ascii="宋体" w:hAnsi="宋体" w:cs="宋体"/>
          <w:color w:val="000000"/>
          <w:szCs w:val="21"/>
        </w:rPr>
        <w:t>（1）向</w:t>
      </w:r>
      <w:r>
        <w:rPr>
          <w:rFonts w:hint="eastAsia" w:ascii="宋体" w:hAnsi="宋体" w:cs="宋体"/>
          <w:color w:val="000000"/>
          <w:szCs w:val="21"/>
          <w:u w:val="single"/>
        </w:rPr>
        <w:t xml:space="preserve">                         </w:t>
      </w:r>
      <w:r>
        <w:rPr>
          <w:rFonts w:hint="eastAsia" w:ascii="宋体" w:hAnsi="宋体" w:cs="宋体"/>
          <w:color w:val="000000"/>
          <w:szCs w:val="21"/>
        </w:rPr>
        <w:t>仲裁委员会申请仲裁；</w:t>
      </w:r>
    </w:p>
    <w:p>
      <w:pPr>
        <w:spacing w:line="400" w:lineRule="exact"/>
        <w:ind w:firstLine="600"/>
        <w:rPr>
          <w:rFonts w:hint="eastAsia" w:ascii="宋体" w:hAnsi="宋体" w:cs="宋体"/>
          <w:color w:val="000000"/>
          <w:szCs w:val="21"/>
        </w:rPr>
      </w:pPr>
      <w:r>
        <w:rPr>
          <w:rFonts w:hint="eastAsia" w:ascii="宋体" w:hAnsi="宋体" w:cs="宋体"/>
          <w:color w:val="000000"/>
          <w:szCs w:val="21"/>
        </w:rPr>
        <w:t>（2）向</w:t>
      </w:r>
      <w:r>
        <w:rPr>
          <w:rFonts w:hint="eastAsia" w:ascii="宋体" w:hAnsi="宋体" w:cs="宋体"/>
          <w:color w:val="000000"/>
          <w:szCs w:val="21"/>
          <w:u w:val="single"/>
        </w:rPr>
        <w:t xml:space="preserve">                         </w:t>
      </w:r>
      <w:r>
        <w:rPr>
          <w:rFonts w:hint="eastAsia" w:ascii="宋体" w:hAnsi="宋体" w:cs="宋体"/>
          <w:color w:val="000000"/>
          <w:szCs w:val="21"/>
        </w:rPr>
        <w:t>人民法院起诉。</w:t>
      </w:r>
    </w:p>
    <w:p>
      <w:pPr>
        <w:spacing w:line="400" w:lineRule="exact"/>
        <w:ind w:firstLine="600"/>
        <w:rPr>
          <w:rFonts w:hint="eastAsia" w:ascii="宋体" w:hAnsi="宋体" w:cs="宋体"/>
          <w:color w:val="000000"/>
          <w:szCs w:val="21"/>
        </w:rPr>
        <w:sectPr>
          <w:headerReference r:id="rId8" w:type="default"/>
          <w:footerReference r:id="rId9" w:type="default"/>
          <w:pgSz w:w="11906" w:h="16838"/>
          <w:pgMar w:top="1440" w:right="1800" w:bottom="1440" w:left="1800" w:header="720" w:footer="998" w:gutter="0"/>
          <w:cols w:space="720" w:num="1"/>
          <w:docGrid w:linePitch="326" w:charSpace="0"/>
        </w:sectPr>
      </w:pPr>
    </w:p>
    <w:p>
      <w:pPr>
        <w:pStyle w:val="689"/>
        <w:keepNext w:val="0"/>
        <w:keepLines w:val="0"/>
        <w:widowControl/>
        <w:adjustRightInd w:val="0"/>
        <w:snapToGrid w:val="0"/>
        <w:spacing w:before="0" w:after="50" w:line="400" w:lineRule="exact"/>
        <w:ind w:firstLine="632" w:firstLineChars="300"/>
        <w:rPr>
          <w:rFonts w:hint="eastAsia" w:cs="宋体"/>
          <w:color w:val="000000"/>
          <w:sz w:val="21"/>
          <w:szCs w:val="21"/>
        </w:rPr>
      </w:pPr>
      <w:bookmarkStart w:id="1702" w:name="_Toc54862351"/>
      <w:bookmarkStart w:id="1703" w:name="_Toc59203250"/>
      <w:r>
        <w:rPr>
          <w:rFonts w:hint="eastAsia" w:cs="宋体"/>
          <w:color w:val="000000"/>
          <w:sz w:val="21"/>
          <w:szCs w:val="21"/>
        </w:rPr>
        <w:t>专用合同条件附件</w:t>
      </w:r>
      <w:bookmarkEnd w:id="1702"/>
      <w:bookmarkEnd w:id="1703"/>
    </w:p>
    <w:p>
      <w:pPr>
        <w:spacing w:line="400" w:lineRule="exact"/>
        <w:rPr>
          <w:rFonts w:hint="eastAsia" w:ascii="宋体" w:hAnsi="宋体" w:cs="宋体"/>
          <w:color w:val="000000"/>
          <w:szCs w:val="21"/>
        </w:rPr>
      </w:pPr>
    </w:p>
    <w:p>
      <w:pPr>
        <w:spacing w:line="400" w:lineRule="exact"/>
        <w:ind w:firstLine="600"/>
        <w:rPr>
          <w:rFonts w:hint="eastAsia" w:ascii="宋体" w:hAnsi="宋体" w:cs="宋体"/>
          <w:color w:val="000000"/>
          <w:szCs w:val="21"/>
        </w:rPr>
      </w:pPr>
      <w:r>
        <w:rPr>
          <w:rFonts w:hint="eastAsia" w:ascii="宋体" w:hAnsi="宋体" w:cs="宋体"/>
          <w:color w:val="000000"/>
          <w:szCs w:val="21"/>
        </w:rPr>
        <w:t>附件1：发包人要求</w:t>
      </w:r>
    </w:p>
    <w:p>
      <w:pPr>
        <w:spacing w:line="400" w:lineRule="exact"/>
        <w:ind w:firstLine="600"/>
        <w:rPr>
          <w:rFonts w:hint="eastAsia" w:ascii="宋体" w:hAnsi="宋体" w:cs="宋体"/>
          <w:color w:val="000000"/>
          <w:szCs w:val="21"/>
        </w:rPr>
      </w:pPr>
      <w:r>
        <w:rPr>
          <w:rFonts w:hint="eastAsia" w:ascii="宋体" w:hAnsi="宋体" w:cs="宋体"/>
          <w:color w:val="000000"/>
          <w:szCs w:val="21"/>
        </w:rPr>
        <w:t>附件2：发包人提供的材料设备一览表</w:t>
      </w:r>
    </w:p>
    <w:p>
      <w:pPr>
        <w:spacing w:line="400" w:lineRule="exact"/>
        <w:ind w:firstLine="600"/>
        <w:rPr>
          <w:rFonts w:hint="eastAsia" w:ascii="宋体" w:hAnsi="宋体" w:cs="宋体"/>
          <w:color w:val="000000"/>
          <w:szCs w:val="21"/>
        </w:rPr>
      </w:pPr>
      <w:r>
        <w:rPr>
          <w:rFonts w:hint="eastAsia" w:ascii="宋体" w:hAnsi="宋体" w:cs="宋体"/>
          <w:color w:val="000000"/>
          <w:szCs w:val="21"/>
        </w:rPr>
        <w:t>附件3：工程质量保修书</w:t>
      </w:r>
    </w:p>
    <w:p>
      <w:pPr>
        <w:spacing w:line="400" w:lineRule="exact"/>
        <w:ind w:firstLine="600"/>
        <w:rPr>
          <w:rFonts w:hint="eastAsia" w:ascii="宋体" w:hAnsi="宋体" w:cs="宋体"/>
          <w:color w:val="000000"/>
          <w:szCs w:val="21"/>
        </w:rPr>
      </w:pPr>
      <w:r>
        <w:rPr>
          <w:rFonts w:hint="eastAsia" w:ascii="宋体" w:hAnsi="宋体" w:cs="宋体"/>
          <w:color w:val="000000"/>
          <w:szCs w:val="21"/>
        </w:rPr>
        <w:t>附件4：承包人主要管理人员表</w:t>
      </w:r>
    </w:p>
    <w:p>
      <w:pPr>
        <w:spacing w:line="400" w:lineRule="exact"/>
        <w:ind w:firstLine="600"/>
        <w:rPr>
          <w:rFonts w:hint="eastAsia" w:ascii="宋体" w:hAnsi="宋体" w:cs="宋体"/>
          <w:color w:val="000000"/>
          <w:szCs w:val="21"/>
        </w:rPr>
      </w:pPr>
      <w:r>
        <w:rPr>
          <w:rFonts w:hint="eastAsia" w:ascii="宋体" w:hAnsi="宋体" w:cs="宋体"/>
          <w:color w:val="000000"/>
          <w:szCs w:val="21"/>
        </w:rPr>
        <w:t>附件5：价格指数权重表</w:t>
      </w:r>
    </w:p>
    <w:p>
      <w:pPr>
        <w:spacing w:line="400" w:lineRule="exact"/>
        <w:jc w:val="left"/>
        <w:rPr>
          <w:rFonts w:hint="eastAsia" w:ascii="宋体" w:hAnsi="宋体" w:cs="宋体"/>
          <w:color w:val="000000"/>
          <w:szCs w:val="21"/>
        </w:rPr>
      </w:pPr>
      <w:r>
        <w:rPr>
          <w:rFonts w:hint="eastAsia" w:ascii="宋体" w:hAnsi="宋体" w:cs="宋体"/>
          <w:color w:val="000000"/>
          <w:szCs w:val="21"/>
        </w:rPr>
        <w:t xml:space="preserve">      附件6：履约担保格式</w:t>
      </w:r>
    </w:p>
    <w:p>
      <w:pPr>
        <w:spacing w:line="400" w:lineRule="exact"/>
        <w:ind w:firstLine="630" w:firstLineChars="300"/>
        <w:jc w:val="left"/>
        <w:rPr>
          <w:rFonts w:hint="eastAsia" w:ascii="宋体" w:hAnsi="宋体" w:cs="宋体"/>
          <w:color w:val="000000"/>
          <w:szCs w:val="21"/>
        </w:rPr>
      </w:pPr>
      <w:r>
        <w:rPr>
          <w:rFonts w:hint="eastAsia" w:ascii="宋体" w:hAnsi="宋体" w:cs="宋体"/>
          <w:color w:val="000000"/>
          <w:szCs w:val="21"/>
        </w:rPr>
        <w:t>附件7：预付款担保格式</w:t>
      </w:r>
    </w:p>
    <w:p>
      <w:pPr>
        <w:spacing w:line="400" w:lineRule="exact"/>
        <w:ind w:firstLine="630" w:firstLineChars="300"/>
        <w:jc w:val="left"/>
        <w:rPr>
          <w:rFonts w:hint="eastAsia" w:ascii="宋体" w:hAnsi="宋体" w:cs="宋体"/>
          <w:color w:val="000000"/>
          <w:szCs w:val="21"/>
        </w:rPr>
      </w:pPr>
      <w:r>
        <w:rPr>
          <w:rFonts w:hint="eastAsia" w:ascii="宋体" w:hAnsi="宋体" w:cs="宋体"/>
          <w:color w:val="000000"/>
          <w:szCs w:val="21"/>
        </w:rPr>
        <w:t>附件8：支付担保格式</w:t>
      </w:r>
    </w:p>
    <w:p>
      <w:pPr>
        <w:spacing w:line="400" w:lineRule="exact"/>
        <w:ind w:firstLine="630" w:firstLineChars="300"/>
        <w:jc w:val="left"/>
        <w:rPr>
          <w:rFonts w:hint="eastAsia" w:ascii="宋体" w:hAnsi="宋体" w:cs="宋体"/>
          <w:color w:val="000000"/>
          <w:szCs w:val="21"/>
        </w:rPr>
      </w:pPr>
      <w:r>
        <w:rPr>
          <w:rFonts w:hint="eastAsia" w:ascii="宋体" w:hAnsi="宋体" w:cs="宋体"/>
          <w:color w:val="000000"/>
          <w:szCs w:val="21"/>
        </w:rPr>
        <w:t>附件9：预付款支付申请（核准）表</w:t>
      </w:r>
    </w:p>
    <w:p>
      <w:pPr>
        <w:spacing w:line="400" w:lineRule="exact"/>
        <w:ind w:firstLine="630" w:firstLineChars="300"/>
        <w:jc w:val="left"/>
        <w:rPr>
          <w:rFonts w:hint="eastAsia" w:ascii="宋体" w:hAnsi="宋体" w:cs="宋体"/>
          <w:color w:val="000000"/>
          <w:szCs w:val="21"/>
        </w:rPr>
      </w:pPr>
      <w:r>
        <w:rPr>
          <w:rFonts w:hint="eastAsia" w:ascii="宋体" w:hAnsi="宋体" w:cs="宋体"/>
          <w:color w:val="000000"/>
          <w:szCs w:val="21"/>
        </w:rPr>
        <w:t>附件10：进度款支付申请（核准）表</w:t>
      </w:r>
    </w:p>
    <w:p>
      <w:pPr>
        <w:spacing w:line="400" w:lineRule="exact"/>
        <w:ind w:firstLine="630" w:firstLineChars="300"/>
        <w:jc w:val="left"/>
        <w:rPr>
          <w:rFonts w:hint="eastAsia" w:ascii="宋体" w:hAnsi="宋体" w:cs="宋体"/>
          <w:color w:val="000000"/>
          <w:szCs w:val="21"/>
        </w:rPr>
      </w:pPr>
      <w:r>
        <w:rPr>
          <w:rFonts w:hint="eastAsia" w:ascii="宋体" w:hAnsi="宋体" w:cs="宋体"/>
          <w:color w:val="000000"/>
          <w:szCs w:val="21"/>
        </w:rPr>
        <w:t>附件11：竣工结算款支付申请（核准）表</w:t>
      </w:r>
    </w:p>
    <w:p>
      <w:pPr>
        <w:spacing w:line="400" w:lineRule="exact"/>
        <w:ind w:firstLine="630" w:firstLineChars="300"/>
        <w:jc w:val="left"/>
        <w:rPr>
          <w:rFonts w:hint="eastAsia" w:ascii="宋体" w:hAnsi="宋体" w:cs="宋体"/>
          <w:color w:val="000000"/>
          <w:szCs w:val="21"/>
        </w:rPr>
      </w:pPr>
      <w:r>
        <w:rPr>
          <w:rFonts w:hint="eastAsia" w:ascii="宋体" w:hAnsi="宋体" w:cs="宋体"/>
          <w:color w:val="000000"/>
          <w:szCs w:val="21"/>
        </w:rPr>
        <w:t>附件12：最终结算款支付申请（核准）表</w:t>
      </w:r>
    </w:p>
    <w:p>
      <w:pPr>
        <w:spacing w:line="400" w:lineRule="exact"/>
        <w:ind w:firstLine="630" w:firstLineChars="300"/>
        <w:jc w:val="left"/>
        <w:rPr>
          <w:rFonts w:hint="eastAsia" w:ascii="宋体" w:hAnsi="宋体" w:cs="宋体"/>
          <w:color w:val="000000"/>
          <w:szCs w:val="21"/>
        </w:rPr>
      </w:pPr>
      <w:r>
        <w:rPr>
          <w:rFonts w:hint="eastAsia" w:ascii="宋体" w:hAnsi="宋体" w:cs="宋体"/>
          <w:color w:val="000000"/>
          <w:szCs w:val="21"/>
        </w:rPr>
        <w:t>附件13：总价合同进度款支付分解表</w:t>
      </w:r>
    </w:p>
    <w:p>
      <w:pPr>
        <w:widowControl/>
        <w:spacing w:line="400" w:lineRule="exact"/>
        <w:rPr>
          <w:rFonts w:hint="eastAsia" w:ascii="宋体" w:hAnsi="宋体" w:cs="宋体"/>
          <w:color w:val="000000"/>
          <w:szCs w:val="21"/>
        </w:rPr>
      </w:pPr>
    </w:p>
    <w:p>
      <w:pPr>
        <w:ind w:firstLine="600"/>
        <w:rPr>
          <w:rFonts w:hint="eastAsia" w:ascii="仿宋_GB2312" w:hAnsi="仿宋_GB2312" w:eastAsia="仿宋_GB2312" w:cs="仿宋_GB2312"/>
          <w:sz w:val="30"/>
          <w:szCs w:val="30"/>
        </w:rPr>
      </w:pPr>
    </w:p>
    <w:p/>
    <w:p/>
    <w:p/>
    <w:p>
      <w:pPr>
        <w:jc w:val="left"/>
      </w:pPr>
      <w:r>
        <w:br w:type="page"/>
      </w:r>
    </w:p>
    <w:p>
      <w:pPr>
        <w:pStyle w:val="683"/>
        <w:numPr>
          <w:ilvl w:val="0"/>
          <w:numId w:val="0"/>
        </w:numPr>
        <w:spacing w:line="400" w:lineRule="exact"/>
        <w:rPr>
          <w:rFonts w:hint="eastAsia" w:ascii="宋体" w:hAnsi="宋体" w:eastAsia="宋体" w:cs="宋体"/>
          <w:sz w:val="21"/>
          <w:szCs w:val="21"/>
        </w:rPr>
      </w:pPr>
      <w:bookmarkStart w:id="1704" w:name="_Toc59203251"/>
      <w:bookmarkStart w:id="1705" w:name="_Toc54862352"/>
      <w:bookmarkStart w:id="1706" w:name="_Hlk38571789"/>
      <w:r>
        <w:rPr>
          <w:rFonts w:hint="eastAsia" w:ascii="宋体" w:hAnsi="宋体" w:eastAsia="宋体" w:cs="宋体"/>
          <w:sz w:val="21"/>
          <w:szCs w:val="21"/>
        </w:rPr>
        <w:t>附件1 《发包人要求》</w:t>
      </w:r>
      <w:bookmarkEnd w:id="1704"/>
      <w:bookmarkEnd w:id="1705"/>
    </w:p>
    <w:bookmarkEnd w:id="1706"/>
    <w:p>
      <w:pPr>
        <w:spacing w:line="400" w:lineRule="exact"/>
        <w:ind w:firstLine="420"/>
        <w:rPr>
          <w:rFonts w:hint="eastAsia" w:ascii="宋体" w:hAnsi="宋体" w:cs="宋体"/>
          <w:szCs w:val="21"/>
        </w:rPr>
      </w:pPr>
      <w:r>
        <w:rPr>
          <w:rFonts w:hint="eastAsia" w:ascii="宋体" w:hAnsi="宋体" w:cs="宋体"/>
          <w:szCs w:val="21"/>
        </w:rPr>
        <w:t>《发包人要求》</w:t>
      </w:r>
      <w:r>
        <w:rPr>
          <w:rFonts w:hint="eastAsia" w:ascii="宋体" w:hAnsi="宋体" w:cs="宋体"/>
          <w:color w:val="000000"/>
          <w:szCs w:val="21"/>
        </w:rPr>
        <w:t>应列明项目的内容、范围、规模、标准、功能、质量、安全、节约能源、生态环境保护、工期、验收等的明确要求。</w:t>
      </w:r>
      <w:r>
        <w:rPr>
          <w:rFonts w:hint="eastAsia" w:ascii="宋体" w:hAnsi="宋体" w:cs="宋体"/>
          <w:szCs w:val="21"/>
        </w:rPr>
        <w:t>《发包人要求》通常包括但不限于以下内容：</w:t>
      </w:r>
    </w:p>
    <w:p>
      <w:pPr>
        <w:spacing w:line="400" w:lineRule="exact"/>
        <w:ind w:firstLine="600"/>
        <w:rPr>
          <w:rFonts w:hint="eastAsia" w:ascii="宋体" w:hAnsi="宋体" w:cs="宋体"/>
          <w:szCs w:val="21"/>
        </w:rPr>
      </w:pPr>
      <w:r>
        <w:rPr>
          <w:rFonts w:hint="eastAsia" w:ascii="宋体" w:hAnsi="宋体" w:cs="宋体"/>
          <w:szCs w:val="21"/>
        </w:rPr>
        <w:t>一、项目概况（目标、范围等）</w:t>
      </w:r>
    </w:p>
    <w:p>
      <w:pPr>
        <w:spacing w:line="400" w:lineRule="exact"/>
        <w:ind w:firstLine="600"/>
        <w:rPr>
          <w:rFonts w:hint="eastAsia" w:ascii="宋体" w:hAnsi="宋体" w:cs="宋体"/>
          <w:szCs w:val="21"/>
        </w:rPr>
      </w:pPr>
      <w:r>
        <w:rPr>
          <w:rFonts w:hint="eastAsia" w:ascii="宋体" w:hAnsi="宋体" w:cs="宋体"/>
          <w:szCs w:val="21"/>
        </w:rPr>
        <w:t>二、发包人提供的资料</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1.施工现场及毗邻区域内的供水、排水、供电、供气、供热、通信、广播电视等地下管线资料、气象和水文观测资料，相邻建筑物和构筑物、地下工程的有关资料，以及其他与建设工程有关的原始资料。</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2.施工场地三通一平完成情况。</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3.施工现场地质勘探完成情况及勘探报告。</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4.发包人需求任务书、可行性研究报告、方案设计文件、初步设计文件。</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5.功能性工程量清单（适用于方案设计完成后初步设计完成前招标）、技术配置及交付标准（适用于初步设计完成后初步设计完成前招标）。</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6.定位放线的基准点、基准线和基准标高。</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7.发包人取得的有关审批、核准和备案材料，如规划许可证。</w:t>
      </w:r>
    </w:p>
    <w:p>
      <w:pPr>
        <w:pStyle w:val="76"/>
        <w:adjustRightInd w:val="0"/>
        <w:snapToGrid w:val="0"/>
        <w:spacing w:beforeAutospacing="0" w:afterAutospacing="0" w:line="400" w:lineRule="exact"/>
        <w:ind w:firstLine="420" w:firstLineChars="200"/>
        <w:jc w:val="both"/>
        <w:rPr>
          <w:rFonts w:hint="eastAsia"/>
          <w:color w:val="000000"/>
          <w:kern w:val="2"/>
          <w:sz w:val="21"/>
          <w:szCs w:val="21"/>
        </w:rPr>
      </w:pPr>
      <w:r>
        <w:rPr>
          <w:rFonts w:hint="eastAsia"/>
          <w:color w:val="000000"/>
          <w:kern w:val="2"/>
          <w:sz w:val="21"/>
          <w:szCs w:val="21"/>
        </w:rPr>
        <w:t>8.其他资料</w:t>
      </w:r>
    </w:p>
    <w:p>
      <w:pPr>
        <w:pStyle w:val="76"/>
        <w:adjustRightInd w:val="0"/>
        <w:snapToGrid w:val="0"/>
        <w:spacing w:beforeAutospacing="0" w:afterAutospacing="0" w:line="400" w:lineRule="exact"/>
        <w:ind w:firstLine="420" w:firstLineChars="200"/>
        <w:jc w:val="both"/>
        <w:rPr>
          <w:rFonts w:hint="eastAsia"/>
          <w:color w:val="000000"/>
          <w:kern w:val="2"/>
          <w:sz w:val="21"/>
          <w:szCs w:val="21"/>
        </w:rPr>
      </w:pPr>
      <w:r>
        <w:rPr>
          <w:rFonts w:hint="eastAsia"/>
          <w:color w:val="000000"/>
          <w:kern w:val="2"/>
          <w:sz w:val="21"/>
          <w:szCs w:val="21"/>
        </w:rPr>
        <w:fldChar w:fldCharType="begin"/>
      </w:r>
      <w:r>
        <w:rPr>
          <w:rFonts w:hint="eastAsia"/>
          <w:color w:val="000000"/>
          <w:kern w:val="2"/>
          <w:sz w:val="21"/>
          <w:szCs w:val="21"/>
        </w:rPr>
        <w:instrText xml:space="preserve"> = 1 \* GB3 \* MERGEFORMAT </w:instrText>
      </w:r>
      <w:r>
        <w:rPr>
          <w:rFonts w:hint="eastAsia"/>
          <w:color w:val="000000"/>
          <w:kern w:val="2"/>
          <w:sz w:val="21"/>
          <w:szCs w:val="21"/>
        </w:rPr>
        <w:fldChar w:fldCharType="separate"/>
      </w:r>
      <w:r>
        <w:rPr>
          <w:rFonts w:hint="eastAsia"/>
          <w:color w:val="000000"/>
          <w:kern w:val="2"/>
          <w:sz w:val="21"/>
          <w:szCs w:val="21"/>
        </w:rPr>
        <w:t>①</w:t>
      </w:r>
      <w:r>
        <w:rPr>
          <w:rFonts w:hint="eastAsia"/>
          <w:color w:val="000000"/>
          <w:kern w:val="2"/>
          <w:sz w:val="21"/>
          <w:szCs w:val="21"/>
        </w:rPr>
        <w:fldChar w:fldCharType="end"/>
      </w:r>
      <w:r>
        <w:rPr>
          <w:rFonts w:hint="eastAsia"/>
          <w:color w:val="000000"/>
          <w:kern w:val="2"/>
          <w:sz w:val="21"/>
          <w:szCs w:val="21"/>
        </w:rPr>
        <w:t>本工程暂列金额为</w:t>
      </w:r>
      <w:r>
        <w:rPr>
          <w:rFonts w:hint="eastAsia"/>
          <w:color w:val="000000"/>
          <w:kern w:val="2"/>
          <w:sz w:val="21"/>
          <w:szCs w:val="21"/>
          <w:u w:val="single"/>
        </w:rPr>
        <w:t xml:space="preserve">        </w:t>
      </w:r>
      <w:r>
        <w:rPr>
          <w:rFonts w:hint="eastAsia"/>
          <w:color w:val="000000"/>
          <w:kern w:val="2"/>
          <w:sz w:val="21"/>
          <w:szCs w:val="21"/>
        </w:rPr>
        <w:t>元（由招标人估算并根据《暂列金额明细表》表12填写），作为合同签订时尚未确定或者不可预见但施工中可能发生的费用。</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 xml:space="preserve">②本工程 </w:t>
      </w:r>
      <w:r>
        <w:rPr>
          <w:rFonts w:hint="eastAsia" w:ascii="宋体" w:hAnsi="宋体" w:cs="宋体"/>
          <w:color w:val="000000"/>
          <w:szCs w:val="21"/>
        </w:rPr>
        <w:sym w:font="Wingdings 2" w:char="00A3"/>
      </w:r>
      <w:r>
        <w:rPr>
          <w:rFonts w:hint="eastAsia" w:ascii="宋体" w:hAnsi="宋体" w:cs="宋体"/>
          <w:color w:val="000000"/>
          <w:szCs w:val="21"/>
        </w:rPr>
        <w:t xml:space="preserve">有 </w:t>
      </w:r>
      <w:r>
        <w:rPr>
          <w:rFonts w:hint="eastAsia" w:ascii="宋体" w:hAnsi="宋体" w:cs="宋体"/>
          <w:color w:val="000000"/>
          <w:szCs w:val="21"/>
        </w:rPr>
        <w:sym w:font="Wingdings 2" w:char="00A3"/>
      </w:r>
      <w:r>
        <w:rPr>
          <w:rFonts w:hint="eastAsia" w:ascii="宋体" w:hAnsi="宋体" w:cs="宋体"/>
          <w:color w:val="000000"/>
          <w:szCs w:val="21"/>
        </w:rPr>
        <w:t>无材料和设备暂估价，具体详见《材料（工程设备）暂估单价及调整表》（表13），结算按实调整。</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 xml:space="preserve">③本工程 </w:t>
      </w:r>
      <w:r>
        <w:rPr>
          <w:rFonts w:hint="eastAsia" w:ascii="宋体" w:hAnsi="宋体" w:cs="宋体"/>
          <w:color w:val="000000"/>
          <w:szCs w:val="21"/>
        </w:rPr>
        <w:sym w:font="Wingdings 2" w:char="00A3"/>
      </w:r>
      <w:r>
        <w:rPr>
          <w:rFonts w:hint="eastAsia" w:ascii="宋体" w:hAnsi="宋体" w:cs="宋体"/>
          <w:color w:val="000000"/>
          <w:szCs w:val="21"/>
        </w:rPr>
        <w:t xml:space="preserve">有 </w:t>
      </w:r>
      <w:r>
        <w:rPr>
          <w:rFonts w:hint="eastAsia" w:ascii="宋体" w:hAnsi="宋体" w:cs="宋体"/>
          <w:color w:val="000000"/>
          <w:szCs w:val="21"/>
        </w:rPr>
        <w:sym w:font="Wingdings 2" w:char="00A3"/>
      </w:r>
      <w:r>
        <w:rPr>
          <w:rFonts w:hint="eastAsia" w:ascii="宋体" w:hAnsi="宋体" w:cs="宋体"/>
          <w:color w:val="000000"/>
          <w:szCs w:val="21"/>
        </w:rPr>
        <w:t>无暂估专业工程，具体详见《材料（工程设备）暂估单价及调整表》（表14）填写，结算按实调整。</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fldChar w:fldCharType="begin"/>
      </w:r>
      <w:r>
        <w:rPr>
          <w:rFonts w:hint="eastAsia" w:ascii="宋体" w:hAnsi="宋体" w:cs="宋体"/>
          <w:color w:val="000000"/>
          <w:szCs w:val="21"/>
        </w:rPr>
        <w:instrText xml:space="preserve"> = 4 \* GB3 \* MERGEFORMAT </w:instrText>
      </w:r>
      <w:r>
        <w:rPr>
          <w:rFonts w:hint="eastAsia" w:ascii="宋体" w:hAnsi="宋体" w:cs="宋体"/>
          <w:color w:val="000000"/>
          <w:szCs w:val="21"/>
        </w:rPr>
        <w:fldChar w:fldCharType="separate"/>
      </w:r>
      <w:r>
        <w:rPr>
          <w:rFonts w:hint="eastAsia" w:ascii="宋体" w:hAnsi="宋体" w:cs="宋体"/>
          <w:color w:val="000000"/>
          <w:szCs w:val="21"/>
        </w:rPr>
        <w:t>④</w:t>
      </w:r>
      <w:r>
        <w:rPr>
          <w:rFonts w:hint="eastAsia" w:ascii="宋体" w:hAnsi="宋体" w:cs="宋体"/>
          <w:color w:val="000000"/>
          <w:szCs w:val="21"/>
        </w:rPr>
        <w:fldChar w:fldCharType="end"/>
      </w:r>
      <w:r>
        <w:rPr>
          <w:rFonts w:hint="eastAsia" w:ascii="宋体" w:hAnsi="宋体" w:cs="宋体"/>
          <w:color w:val="000000"/>
          <w:szCs w:val="21"/>
        </w:rPr>
        <w:t>本工程</w:t>
      </w:r>
      <w:r>
        <w:rPr>
          <w:rFonts w:hint="eastAsia" w:ascii="宋体" w:hAnsi="宋体" w:cs="宋体"/>
          <w:color w:val="000000"/>
          <w:szCs w:val="21"/>
        </w:rPr>
        <w:sym w:font="Wingdings 2" w:char="00A3"/>
      </w:r>
      <w:r>
        <w:rPr>
          <w:rFonts w:hint="eastAsia" w:ascii="宋体" w:hAnsi="宋体" w:cs="宋体"/>
          <w:color w:val="000000"/>
          <w:szCs w:val="21"/>
        </w:rPr>
        <w:t xml:space="preserve">有 </w:t>
      </w:r>
      <w:r>
        <w:rPr>
          <w:rFonts w:hint="eastAsia" w:ascii="宋体" w:hAnsi="宋体" w:cs="宋体"/>
          <w:color w:val="000000"/>
          <w:szCs w:val="21"/>
        </w:rPr>
        <w:sym w:font="Wingdings 2" w:char="0052"/>
      </w:r>
      <w:r>
        <w:rPr>
          <w:rFonts w:hint="eastAsia" w:ascii="宋体" w:hAnsi="宋体" w:cs="宋体"/>
          <w:color w:val="000000"/>
          <w:szCs w:val="21"/>
        </w:rPr>
        <w:t>无发包人提供的材料和设备，具体详见《发包人提供的主要材料和工程设备一览表》（表17）填写。</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fldChar w:fldCharType="begin"/>
      </w:r>
      <w:r>
        <w:rPr>
          <w:rFonts w:hint="eastAsia" w:ascii="宋体" w:hAnsi="宋体" w:cs="宋体"/>
          <w:color w:val="000000"/>
          <w:szCs w:val="21"/>
        </w:rPr>
        <w:instrText xml:space="preserve"> = 5 \* GB3 \* MERGEFORMAT </w:instrText>
      </w:r>
      <w:r>
        <w:rPr>
          <w:rFonts w:hint="eastAsia" w:ascii="宋体" w:hAnsi="宋体" w:cs="宋体"/>
          <w:color w:val="000000"/>
          <w:szCs w:val="21"/>
        </w:rPr>
        <w:fldChar w:fldCharType="separate"/>
      </w:r>
      <w:r>
        <w:rPr>
          <w:rFonts w:hint="eastAsia" w:ascii="宋体" w:hAnsi="宋体" w:cs="宋体"/>
          <w:color w:val="000000"/>
          <w:szCs w:val="21"/>
        </w:rPr>
        <w:t>⑤</w:t>
      </w:r>
      <w:r>
        <w:rPr>
          <w:rFonts w:hint="eastAsia" w:ascii="宋体" w:hAnsi="宋体" w:cs="宋体"/>
          <w:color w:val="000000"/>
          <w:szCs w:val="21"/>
        </w:rPr>
        <w:fldChar w:fldCharType="end"/>
      </w:r>
      <w:r>
        <w:rPr>
          <w:rFonts w:hint="eastAsia" w:ascii="宋体" w:hAnsi="宋体" w:cs="宋体"/>
          <w:color w:val="000000"/>
          <w:szCs w:val="21"/>
        </w:rPr>
        <w:t xml:space="preserve"> 本工程允许调整的主要材料设备型号规格及其基期价格、风险系数由招标人填写，作为项目实施过程中材料和设备价格风险调整依据，具体详见《允许调整价格的主要材料和设备一览表》（表18）。</w:t>
      </w:r>
    </w:p>
    <w:p>
      <w:pPr>
        <w:spacing w:line="400" w:lineRule="exact"/>
        <w:ind w:firstLine="600"/>
        <w:rPr>
          <w:rFonts w:hint="eastAsia" w:ascii="宋体" w:hAnsi="宋体" w:cs="宋体"/>
          <w:szCs w:val="21"/>
        </w:rPr>
      </w:pPr>
      <w:r>
        <w:rPr>
          <w:rFonts w:hint="eastAsia" w:ascii="宋体" w:hAnsi="宋体" w:cs="宋体"/>
          <w:szCs w:val="21"/>
        </w:rPr>
        <w:t>三、时间要求</w:t>
      </w:r>
    </w:p>
    <w:p>
      <w:pPr>
        <w:spacing w:line="400" w:lineRule="exact"/>
        <w:ind w:firstLine="600"/>
        <w:rPr>
          <w:rFonts w:hint="eastAsia" w:ascii="宋体" w:hAnsi="宋体" w:cs="宋体"/>
          <w:szCs w:val="21"/>
        </w:rPr>
      </w:pPr>
      <w:r>
        <w:rPr>
          <w:rFonts w:hint="eastAsia" w:ascii="宋体" w:hAnsi="宋体" w:cs="宋体"/>
          <w:szCs w:val="21"/>
        </w:rPr>
        <w:t>（一）开始工作时间。</w:t>
      </w:r>
    </w:p>
    <w:p>
      <w:pPr>
        <w:spacing w:line="400" w:lineRule="exact"/>
        <w:ind w:firstLine="600"/>
        <w:rPr>
          <w:rFonts w:hint="eastAsia" w:ascii="宋体" w:hAnsi="宋体" w:cs="宋体"/>
          <w:szCs w:val="21"/>
        </w:rPr>
      </w:pPr>
      <w:r>
        <w:rPr>
          <w:rFonts w:hint="eastAsia" w:ascii="宋体" w:hAnsi="宋体" w:cs="宋体"/>
          <w:szCs w:val="21"/>
        </w:rPr>
        <w:t>（二）设计完成时间。</w:t>
      </w:r>
    </w:p>
    <w:p>
      <w:pPr>
        <w:spacing w:line="400" w:lineRule="exact"/>
        <w:ind w:firstLine="600"/>
        <w:rPr>
          <w:rFonts w:hint="eastAsia" w:ascii="宋体" w:hAnsi="宋体" w:cs="宋体"/>
          <w:szCs w:val="21"/>
        </w:rPr>
      </w:pPr>
      <w:r>
        <w:rPr>
          <w:rFonts w:hint="eastAsia" w:ascii="宋体" w:hAnsi="宋体" w:cs="宋体"/>
          <w:szCs w:val="21"/>
        </w:rPr>
        <w:t>（三）进度计划。</w:t>
      </w:r>
    </w:p>
    <w:p>
      <w:pPr>
        <w:spacing w:line="400" w:lineRule="exact"/>
        <w:ind w:firstLine="600"/>
        <w:rPr>
          <w:rFonts w:hint="eastAsia" w:ascii="宋体" w:hAnsi="宋体" w:cs="宋体"/>
          <w:szCs w:val="21"/>
        </w:rPr>
      </w:pPr>
      <w:r>
        <w:rPr>
          <w:rFonts w:hint="eastAsia" w:ascii="宋体" w:hAnsi="宋体" w:cs="宋体"/>
          <w:szCs w:val="21"/>
        </w:rPr>
        <w:t>（四）竣工时间。</w:t>
      </w:r>
    </w:p>
    <w:p>
      <w:pPr>
        <w:spacing w:line="400" w:lineRule="exact"/>
        <w:ind w:firstLine="600"/>
        <w:rPr>
          <w:rFonts w:hint="eastAsia" w:ascii="宋体" w:hAnsi="宋体" w:cs="宋体"/>
          <w:szCs w:val="21"/>
        </w:rPr>
      </w:pPr>
      <w:r>
        <w:rPr>
          <w:rFonts w:hint="eastAsia" w:ascii="宋体" w:hAnsi="宋体" w:cs="宋体"/>
          <w:szCs w:val="21"/>
        </w:rPr>
        <w:t>（五）缺陷责任期。</w:t>
      </w:r>
    </w:p>
    <w:p>
      <w:pPr>
        <w:spacing w:line="400" w:lineRule="exact"/>
        <w:ind w:firstLine="600"/>
        <w:rPr>
          <w:rFonts w:hint="eastAsia" w:ascii="宋体" w:hAnsi="宋体" w:cs="宋体"/>
          <w:szCs w:val="21"/>
        </w:rPr>
      </w:pPr>
      <w:r>
        <w:rPr>
          <w:rFonts w:hint="eastAsia" w:ascii="宋体" w:hAnsi="宋体" w:cs="宋体"/>
          <w:szCs w:val="21"/>
        </w:rPr>
        <w:t>（六）其他时间要求。</w:t>
      </w:r>
    </w:p>
    <w:p>
      <w:pPr>
        <w:spacing w:line="400" w:lineRule="exact"/>
        <w:ind w:firstLine="600"/>
        <w:rPr>
          <w:rFonts w:hint="eastAsia" w:ascii="宋体" w:hAnsi="宋体" w:cs="宋体"/>
          <w:szCs w:val="21"/>
        </w:rPr>
      </w:pPr>
      <w:r>
        <w:rPr>
          <w:rFonts w:hint="eastAsia" w:ascii="宋体" w:hAnsi="宋体" w:cs="宋体"/>
          <w:szCs w:val="21"/>
        </w:rPr>
        <w:t>四、技术要求</w:t>
      </w:r>
    </w:p>
    <w:p>
      <w:pPr>
        <w:spacing w:line="400" w:lineRule="exact"/>
        <w:ind w:firstLine="600"/>
        <w:rPr>
          <w:rFonts w:hint="eastAsia" w:ascii="宋体" w:hAnsi="宋体" w:cs="宋体"/>
          <w:szCs w:val="21"/>
        </w:rPr>
      </w:pPr>
      <w:r>
        <w:rPr>
          <w:rFonts w:hint="eastAsia" w:ascii="宋体" w:hAnsi="宋体" w:cs="宋体"/>
          <w:szCs w:val="21"/>
        </w:rPr>
        <w:t>（一）设计标准和规范。</w:t>
      </w:r>
    </w:p>
    <w:p>
      <w:pPr>
        <w:spacing w:line="400" w:lineRule="exact"/>
        <w:ind w:firstLine="600"/>
        <w:rPr>
          <w:rFonts w:hint="eastAsia" w:ascii="宋体" w:hAnsi="宋体" w:cs="宋体"/>
          <w:szCs w:val="21"/>
        </w:rPr>
      </w:pPr>
      <w:r>
        <w:rPr>
          <w:rFonts w:hint="eastAsia" w:ascii="宋体" w:hAnsi="宋体" w:cs="宋体"/>
          <w:szCs w:val="21"/>
        </w:rPr>
        <w:t>（二）技术标准和要求。</w:t>
      </w:r>
    </w:p>
    <w:p>
      <w:pPr>
        <w:spacing w:line="400" w:lineRule="exact"/>
        <w:ind w:firstLine="600"/>
        <w:rPr>
          <w:rFonts w:hint="eastAsia" w:ascii="宋体" w:hAnsi="宋体" w:cs="宋体"/>
          <w:szCs w:val="21"/>
        </w:rPr>
      </w:pPr>
      <w:r>
        <w:rPr>
          <w:rFonts w:hint="eastAsia" w:ascii="宋体" w:hAnsi="宋体" w:cs="宋体"/>
          <w:szCs w:val="21"/>
        </w:rPr>
        <w:t>（三）质量标准。</w:t>
      </w:r>
    </w:p>
    <w:p>
      <w:pPr>
        <w:spacing w:line="400" w:lineRule="exact"/>
        <w:ind w:firstLine="600"/>
        <w:rPr>
          <w:rFonts w:hint="eastAsia" w:ascii="宋体" w:hAnsi="宋体" w:cs="宋体"/>
          <w:szCs w:val="21"/>
        </w:rPr>
      </w:pPr>
      <w:r>
        <w:rPr>
          <w:rFonts w:hint="eastAsia" w:ascii="宋体" w:hAnsi="宋体" w:cs="宋体"/>
          <w:szCs w:val="21"/>
        </w:rPr>
        <w:t>（四）样品。</w:t>
      </w:r>
    </w:p>
    <w:p>
      <w:pPr>
        <w:spacing w:line="400" w:lineRule="exact"/>
        <w:ind w:firstLine="600"/>
        <w:rPr>
          <w:rFonts w:hint="eastAsia" w:ascii="宋体" w:hAnsi="宋体" w:cs="宋体"/>
          <w:szCs w:val="21"/>
        </w:rPr>
      </w:pPr>
      <w:r>
        <w:rPr>
          <w:rFonts w:hint="eastAsia" w:ascii="宋体" w:hAnsi="宋体" w:cs="宋体"/>
          <w:szCs w:val="21"/>
        </w:rPr>
        <w:t>（五）其他。</w:t>
      </w:r>
    </w:p>
    <w:p>
      <w:pPr>
        <w:spacing w:line="400" w:lineRule="exact"/>
        <w:jc w:val="left"/>
        <w:rPr>
          <w:rFonts w:hint="eastAsia" w:ascii="宋体" w:hAnsi="宋体" w:cs="宋体"/>
          <w:szCs w:val="21"/>
        </w:rPr>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pStyle w:val="683"/>
        <w:numPr>
          <w:ilvl w:val="0"/>
          <w:numId w:val="0"/>
        </w:numPr>
      </w:pPr>
      <w:bookmarkStart w:id="1707" w:name="_Toc54862353"/>
      <w:bookmarkStart w:id="1708" w:name="_Toc20171894"/>
      <w:bookmarkStart w:id="1709" w:name="_Toc59203252"/>
      <w:r>
        <w:rPr>
          <w:rFonts w:hint="eastAsia"/>
        </w:rPr>
        <w:t>附件2</w:t>
      </w:r>
      <w:r>
        <w:t xml:space="preserve"> 发包人</w:t>
      </w:r>
      <w:r>
        <w:rPr>
          <w:rFonts w:hint="eastAsia"/>
        </w:rPr>
        <w:t>提供的</w:t>
      </w:r>
      <w:r>
        <w:t>材料设备一览表</w:t>
      </w:r>
      <w:bookmarkEnd w:id="1707"/>
      <w:bookmarkEnd w:id="1708"/>
      <w:bookmarkEnd w:id="1709"/>
    </w:p>
    <w:p>
      <w:pPr>
        <w:ind w:right="105"/>
        <w:jc w:val="center"/>
        <w:rPr>
          <w:rFonts w:hint="eastAsia"/>
          <w:b/>
          <w:color w:val="000000"/>
          <w:sz w:val="36"/>
          <w:szCs w:val="36"/>
        </w:rPr>
      </w:pPr>
      <w:r>
        <w:rPr>
          <w:rFonts w:hint="eastAsia"/>
          <w:b/>
          <w:color w:val="000000"/>
          <w:sz w:val="36"/>
          <w:szCs w:val="36"/>
        </w:rPr>
        <w:t>发包人提供的材料工程设备一览表</w:t>
      </w:r>
    </w:p>
    <w:p>
      <w:pPr>
        <w:rPr>
          <w:rFonts w:hint="eastAsia"/>
          <w:color w:val="000000"/>
          <w:sz w:val="24"/>
        </w:rPr>
      </w:pPr>
      <w:r>
        <w:rPr>
          <w:rFonts w:hint="eastAsia"/>
          <w:color w:val="000000"/>
          <w:sz w:val="24"/>
        </w:rPr>
        <w:t>工程名称：                                             编号：</w:t>
      </w:r>
    </w:p>
    <w:tbl>
      <w:tblPr>
        <w:tblStyle w:val="83"/>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801"/>
        <w:gridCol w:w="662"/>
        <w:gridCol w:w="816"/>
        <w:gridCol w:w="1328"/>
        <w:gridCol w:w="1236"/>
        <w:gridCol w:w="1236"/>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color w:val="000000"/>
                <w:szCs w:val="21"/>
              </w:rPr>
            </w:pPr>
            <w:r>
              <w:rPr>
                <w:rFonts w:hint="eastAsia"/>
                <w:color w:val="000000"/>
                <w:szCs w:val="21"/>
              </w:rPr>
              <w:t>序号</w:t>
            </w:r>
          </w:p>
        </w:tc>
        <w:tc>
          <w:tcPr>
            <w:tcW w:w="1801" w:type="dxa"/>
            <w:noWrap w:val="0"/>
            <w:vAlign w:val="center"/>
          </w:tcPr>
          <w:p>
            <w:pPr>
              <w:jc w:val="center"/>
              <w:rPr>
                <w:rFonts w:hint="eastAsia"/>
                <w:color w:val="000000"/>
                <w:szCs w:val="21"/>
              </w:rPr>
            </w:pPr>
            <w:r>
              <w:rPr>
                <w:rFonts w:hint="eastAsia"/>
                <w:color w:val="000000"/>
                <w:szCs w:val="21"/>
              </w:rPr>
              <w:t>材料（工程设备）名称、规格、型号</w:t>
            </w:r>
          </w:p>
        </w:tc>
        <w:tc>
          <w:tcPr>
            <w:tcW w:w="662" w:type="dxa"/>
            <w:noWrap w:val="0"/>
            <w:vAlign w:val="center"/>
          </w:tcPr>
          <w:p>
            <w:pPr>
              <w:jc w:val="center"/>
              <w:rPr>
                <w:rFonts w:hint="eastAsia"/>
                <w:color w:val="000000"/>
                <w:szCs w:val="21"/>
              </w:rPr>
            </w:pPr>
            <w:r>
              <w:rPr>
                <w:rFonts w:hint="eastAsia"/>
                <w:color w:val="000000"/>
                <w:szCs w:val="21"/>
              </w:rPr>
              <w:t>单位</w:t>
            </w:r>
          </w:p>
        </w:tc>
        <w:tc>
          <w:tcPr>
            <w:tcW w:w="816" w:type="dxa"/>
            <w:noWrap w:val="0"/>
            <w:vAlign w:val="center"/>
          </w:tcPr>
          <w:p>
            <w:pPr>
              <w:jc w:val="center"/>
              <w:rPr>
                <w:rFonts w:hint="eastAsia"/>
                <w:color w:val="000000"/>
                <w:szCs w:val="21"/>
              </w:rPr>
            </w:pPr>
            <w:r>
              <w:rPr>
                <w:rFonts w:hint="eastAsia"/>
                <w:color w:val="000000"/>
                <w:szCs w:val="21"/>
              </w:rPr>
              <w:t>数量</w:t>
            </w:r>
          </w:p>
        </w:tc>
        <w:tc>
          <w:tcPr>
            <w:tcW w:w="1328" w:type="dxa"/>
            <w:noWrap w:val="0"/>
            <w:vAlign w:val="center"/>
          </w:tcPr>
          <w:p>
            <w:pPr>
              <w:jc w:val="center"/>
              <w:rPr>
                <w:rFonts w:hint="eastAsia"/>
                <w:color w:val="000000"/>
                <w:szCs w:val="21"/>
              </w:rPr>
            </w:pPr>
            <w:r>
              <w:rPr>
                <w:rFonts w:hint="eastAsia"/>
                <w:color w:val="000000"/>
                <w:szCs w:val="21"/>
              </w:rPr>
              <w:t>单价（元）</w:t>
            </w:r>
          </w:p>
        </w:tc>
        <w:tc>
          <w:tcPr>
            <w:tcW w:w="1236" w:type="dxa"/>
            <w:noWrap w:val="0"/>
            <w:vAlign w:val="center"/>
          </w:tcPr>
          <w:p>
            <w:pPr>
              <w:jc w:val="center"/>
              <w:rPr>
                <w:rFonts w:hint="eastAsia"/>
                <w:color w:val="000000"/>
                <w:szCs w:val="21"/>
              </w:rPr>
            </w:pPr>
            <w:r>
              <w:rPr>
                <w:rFonts w:hint="eastAsia"/>
                <w:color w:val="000000"/>
                <w:szCs w:val="21"/>
              </w:rPr>
              <w:t>交货方式</w:t>
            </w:r>
          </w:p>
        </w:tc>
        <w:tc>
          <w:tcPr>
            <w:tcW w:w="1236" w:type="dxa"/>
            <w:noWrap w:val="0"/>
            <w:vAlign w:val="center"/>
          </w:tcPr>
          <w:p>
            <w:pPr>
              <w:jc w:val="center"/>
              <w:rPr>
                <w:rFonts w:hint="eastAsia"/>
                <w:color w:val="000000"/>
                <w:szCs w:val="21"/>
              </w:rPr>
            </w:pPr>
            <w:r>
              <w:rPr>
                <w:rFonts w:hint="eastAsia"/>
                <w:color w:val="000000"/>
                <w:szCs w:val="21"/>
              </w:rPr>
              <w:t>送达地点</w:t>
            </w:r>
          </w:p>
        </w:tc>
        <w:tc>
          <w:tcPr>
            <w:tcW w:w="1022" w:type="dxa"/>
            <w:noWrap w:val="0"/>
            <w:vAlign w:val="center"/>
          </w:tcPr>
          <w:p>
            <w:pPr>
              <w:jc w:val="center"/>
              <w:rPr>
                <w:rFonts w:hint="eastAsia"/>
                <w:color w:val="000000"/>
                <w:szCs w:val="21"/>
              </w:rPr>
            </w:pPr>
            <w:r>
              <w:rPr>
                <w:rFonts w:hint="eastAsia"/>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Cs w:val="21"/>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r>
              <w:rPr>
                <w:rFonts w:hint="eastAsia"/>
                <w:color w:val="000000"/>
                <w:szCs w:val="21"/>
              </w:rPr>
              <w:t>合  计</w:t>
            </w: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bl>
    <w:p>
      <w:pPr>
        <w:rPr>
          <w:rFonts w:hint="eastAsia"/>
          <w:color w:val="000000"/>
          <w:sz w:val="18"/>
          <w:szCs w:val="18"/>
        </w:rPr>
      </w:pPr>
    </w:p>
    <w:p/>
    <w:p/>
    <w:p/>
    <w:p/>
    <w:p/>
    <w:p/>
    <w:p/>
    <w:p/>
    <w:p/>
    <w:p>
      <w:pPr>
        <w:pStyle w:val="683"/>
        <w:numPr>
          <w:ilvl w:val="0"/>
          <w:numId w:val="0"/>
        </w:numPr>
      </w:pPr>
      <w:bookmarkStart w:id="1710" w:name="_Toc59203253"/>
      <w:r>
        <w:rPr>
          <w:rFonts w:hint="eastAsia"/>
        </w:rPr>
        <w:t>附件3</w:t>
      </w:r>
      <w:r>
        <w:t xml:space="preserve"> </w:t>
      </w:r>
      <w:r>
        <w:rPr>
          <w:rFonts w:hint="eastAsia"/>
        </w:rPr>
        <w:t xml:space="preserve">         工程质量保修书（房屋建筑工程）</w:t>
      </w:r>
      <w:bookmarkEnd w:id="1710"/>
    </w:p>
    <w:p>
      <w:pPr>
        <w:spacing w:line="440" w:lineRule="exact"/>
        <w:ind w:firstLine="420" w:firstLineChars="200"/>
        <w:rPr>
          <w:color w:val="000000"/>
        </w:rPr>
      </w:pPr>
      <w:r>
        <w:rPr>
          <w:rFonts w:hint="eastAsia" w:hAnsi="宋体" w:cs="宋体"/>
          <w:color w:val="000000"/>
        </w:rPr>
        <w:t>发包人（全称）：</w:t>
      </w:r>
      <w:r>
        <w:rPr>
          <w:color w:val="000000"/>
          <w:u w:val="single"/>
        </w:rPr>
        <w:t xml:space="preserve">                                </w:t>
      </w:r>
      <w:r>
        <w:rPr>
          <w:color w:val="000000"/>
        </w:rPr>
        <w:t xml:space="preserve"> </w:t>
      </w:r>
    </w:p>
    <w:p>
      <w:pPr>
        <w:spacing w:line="440" w:lineRule="exact"/>
        <w:ind w:firstLine="420" w:firstLineChars="200"/>
        <w:rPr>
          <w:color w:val="000000"/>
        </w:rPr>
      </w:pPr>
      <w:r>
        <w:rPr>
          <w:rFonts w:hint="eastAsia" w:hAnsi="宋体" w:cs="宋体"/>
          <w:color w:val="000000"/>
        </w:rPr>
        <w:t>承包人（全称）：</w:t>
      </w:r>
      <w:r>
        <w:rPr>
          <w:color w:val="000000"/>
          <w:u w:val="single"/>
        </w:rPr>
        <w:t xml:space="preserve">                                </w:t>
      </w:r>
      <w:r>
        <w:rPr>
          <w:color w:val="000000"/>
        </w:rPr>
        <w:t xml:space="preserve"> </w:t>
      </w:r>
    </w:p>
    <w:p>
      <w:pPr>
        <w:spacing w:line="440" w:lineRule="exact"/>
        <w:rPr>
          <w:color w:val="000000"/>
        </w:rPr>
      </w:pPr>
    </w:p>
    <w:p>
      <w:pPr>
        <w:spacing w:line="360" w:lineRule="auto"/>
        <w:ind w:firstLine="420" w:firstLineChars="200"/>
        <w:rPr>
          <w:rFonts w:hAnsi="宋体"/>
          <w:color w:val="000000"/>
        </w:rPr>
      </w:pPr>
      <w:r>
        <w:rPr>
          <w:rFonts w:hint="eastAsia" w:hAnsi="宋体" w:cs="宋体"/>
          <w:color w:val="000000"/>
        </w:rPr>
        <w:t>发包人和承包人根据《中华人民共和国建筑法》和《建设工程质量管理条例》，经协商一致就</w:t>
      </w:r>
      <w:r>
        <w:rPr>
          <w:color w:val="000000"/>
          <w:u w:val="single"/>
        </w:rPr>
        <w:t xml:space="preserve">                                   </w:t>
      </w:r>
      <w:r>
        <w:rPr>
          <w:rFonts w:hint="eastAsia" w:hAnsi="宋体" w:cs="宋体"/>
          <w:color w:val="000000"/>
        </w:rPr>
        <w:t>（工程全称）签订工程质量保修书。</w:t>
      </w:r>
    </w:p>
    <w:p>
      <w:pPr>
        <w:spacing w:line="360" w:lineRule="auto"/>
        <w:ind w:firstLine="420" w:firstLineChars="200"/>
        <w:rPr>
          <w:rFonts w:ascii="黑体" w:hAnsi="宋体" w:eastAsia="黑体"/>
          <w:color w:val="000000"/>
        </w:rPr>
      </w:pPr>
      <w:r>
        <w:rPr>
          <w:rFonts w:hint="eastAsia" w:ascii="黑体" w:hAnsi="宋体" w:eastAsia="黑体" w:cs="黑体"/>
          <w:color w:val="000000"/>
        </w:rPr>
        <w:t>一、工程质量保修范围和内容</w:t>
      </w:r>
    </w:p>
    <w:p>
      <w:pPr>
        <w:spacing w:line="360" w:lineRule="auto"/>
        <w:ind w:firstLine="420" w:firstLineChars="200"/>
        <w:rPr>
          <w:color w:val="000000"/>
        </w:rPr>
      </w:pPr>
      <w:r>
        <w:rPr>
          <w:rFonts w:hint="eastAsia" w:hAnsi="宋体" w:cs="宋体"/>
          <w:color w:val="000000"/>
        </w:rPr>
        <w:t>承包人在质量保修期内，按照有关法律规定和合同约定，承担工程质量保修责任。工程总承包单位应当对其承包的全部建设工程质量负责，分包单位对其分包工程的质量负责，分包不免除工程总承包单位对其承包的全部建设工程所负的质量责任。</w:t>
      </w:r>
    </w:p>
    <w:p>
      <w:pPr>
        <w:spacing w:line="360" w:lineRule="auto"/>
        <w:ind w:firstLine="420"/>
        <w:rPr>
          <w:rFonts w:hAnsi="宋体"/>
          <w:color w:val="000000"/>
        </w:rPr>
      </w:pPr>
      <w:r>
        <w:rPr>
          <w:rFonts w:hint="eastAsia" w:hAnsi="宋体" w:cs="宋体"/>
          <w:color w:val="000000"/>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spacing w:line="360" w:lineRule="auto"/>
        <w:ind w:firstLine="420"/>
        <w:rPr>
          <w:rFonts w:hAnsi="宋体"/>
          <w:color w:val="000000"/>
        </w:rPr>
      </w:pPr>
      <w:r>
        <w:rPr>
          <w:color w:val="000000"/>
          <w:u w:val="single"/>
        </w:rPr>
        <w:t xml:space="preserve">                                                                                                                                                            </w:t>
      </w:r>
      <w:r>
        <w:rPr>
          <w:rFonts w:hint="eastAsia" w:hAnsi="宋体" w:cs="宋体"/>
          <w:color w:val="000000"/>
        </w:rPr>
        <w:t>。</w:t>
      </w:r>
    </w:p>
    <w:p>
      <w:pPr>
        <w:spacing w:line="360" w:lineRule="auto"/>
        <w:ind w:firstLine="420"/>
        <w:rPr>
          <w:rFonts w:ascii="黑体" w:hAnsi="宋体" w:eastAsia="黑体"/>
          <w:color w:val="000000"/>
        </w:rPr>
      </w:pPr>
      <w:r>
        <w:rPr>
          <w:rFonts w:hint="eastAsia" w:ascii="黑体" w:hAnsi="宋体" w:eastAsia="黑体" w:cs="黑体"/>
          <w:color w:val="000000"/>
        </w:rPr>
        <w:t>二、质量保修期</w:t>
      </w:r>
    </w:p>
    <w:p>
      <w:pPr>
        <w:spacing w:line="360" w:lineRule="auto"/>
        <w:ind w:firstLine="420"/>
        <w:rPr>
          <w:rFonts w:hAnsi="宋体"/>
          <w:color w:val="000000"/>
        </w:rPr>
      </w:pPr>
      <w:r>
        <w:rPr>
          <w:rFonts w:hint="eastAsia" w:hAnsi="宋体" w:cs="宋体"/>
          <w:color w:val="000000"/>
        </w:rPr>
        <w:t>根据《建设工程质量管理条例》及有关规定，工程的质量保修期如下：</w:t>
      </w:r>
    </w:p>
    <w:p>
      <w:pPr>
        <w:spacing w:line="360" w:lineRule="auto"/>
        <w:ind w:firstLine="420"/>
        <w:rPr>
          <w:rFonts w:hAnsi="宋体"/>
          <w:color w:val="000000"/>
        </w:rPr>
      </w:pPr>
      <w:r>
        <w:rPr>
          <w:color w:val="000000"/>
        </w:rPr>
        <w:t>1</w:t>
      </w:r>
      <w:r>
        <w:rPr>
          <w:rFonts w:hint="eastAsia" w:hAnsi="宋体" w:cs="宋体"/>
          <w:color w:val="000000"/>
        </w:rPr>
        <w:t>．地基基础工程和主体结构工程为设计文件规定的工程合理使用年限；</w:t>
      </w:r>
    </w:p>
    <w:p>
      <w:pPr>
        <w:spacing w:line="360" w:lineRule="auto"/>
        <w:ind w:firstLine="420"/>
        <w:rPr>
          <w:rFonts w:hAnsi="宋体"/>
          <w:color w:val="000000"/>
        </w:rPr>
      </w:pPr>
      <w:r>
        <w:rPr>
          <w:color w:val="000000"/>
        </w:rPr>
        <w:t>2</w:t>
      </w:r>
      <w:r>
        <w:rPr>
          <w:rFonts w:hint="eastAsia" w:hAnsi="宋体" w:cs="宋体"/>
          <w:color w:val="000000"/>
        </w:rPr>
        <w:t>．屋面防水工程、有防水要求的卫生间、房间和外墙面的防渗为</w:t>
      </w:r>
      <w:r>
        <w:rPr>
          <w:color w:val="000000"/>
          <w:u w:val="single"/>
        </w:rPr>
        <w:t xml:space="preserve">        </w:t>
      </w:r>
      <w:r>
        <w:rPr>
          <w:rFonts w:hint="eastAsia" w:hAnsi="宋体" w:cs="宋体"/>
          <w:color w:val="000000"/>
        </w:rPr>
        <w:t>年；</w:t>
      </w:r>
    </w:p>
    <w:p>
      <w:pPr>
        <w:spacing w:line="360" w:lineRule="auto"/>
        <w:ind w:firstLine="420"/>
        <w:rPr>
          <w:rFonts w:hAnsi="宋体"/>
          <w:color w:val="000000"/>
        </w:rPr>
      </w:pPr>
      <w:r>
        <w:rPr>
          <w:color w:val="000000"/>
        </w:rPr>
        <w:t>3</w:t>
      </w:r>
      <w:r>
        <w:rPr>
          <w:rFonts w:hint="eastAsia" w:hAnsi="宋体" w:cs="宋体"/>
          <w:color w:val="000000"/>
        </w:rPr>
        <w:t>．装修工程为</w:t>
      </w:r>
      <w:r>
        <w:rPr>
          <w:color w:val="000000"/>
          <w:u w:val="single"/>
        </w:rPr>
        <w:t xml:space="preserve">         </w:t>
      </w:r>
      <w:r>
        <w:rPr>
          <w:rFonts w:hint="eastAsia" w:hAnsi="宋体" w:cs="宋体"/>
          <w:color w:val="000000"/>
        </w:rPr>
        <w:t>年；</w:t>
      </w:r>
    </w:p>
    <w:p>
      <w:pPr>
        <w:spacing w:line="360" w:lineRule="auto"/>
        <w:ind w:firstLine="420"/>
        <w:rPr>
          <w:rFonts w:hAnsi="宋体"/>
          <w:color w:val="000000"/>
        </w:rPr>
      </w:pPr>
      <w:r>
        <w:rPr>
          <w:color w:val="000000"/>
        </w:rPr>
        <w:t>4</w:t>
      </w:r>
      <w:r>
        <w:rPr>
          <w:rFonts w:hint="eastAsia" w:hAnsi="宋体" w:cs="宋体"/>
          <w:color w:val="000000"/>
        </w:rPr>
        <w:t>．电气管线、给排水管道、设备安装工程为</w:t>
      </w:r>
      <w:r>
        <w:rPr>
          <w:color w:val="000000"/>
          <w:u w:val="single"/>
        </w:rPr>
        <w:t xml:space="preserve">         </w:t>
      </w:r>
      <w:r>
        <w:rPr>
          <w:rFonts w:hint="eastAsia" w:hAnsi="宋体" w:cs="宋体"/>
          <w:color w:val="000000"/>
        </w:rPr>
        <w:t>年；</w:t>
      </w:r>
    </w:p>
    <w:p>
      <w:pPr>
        <w:spacing w:line="360" w:lineRule="auto"/>
        <w:ind w:firstLine="420"/>
        <w:rPr>
          <w:rFonts w:hAnsi="宋体"/>
          <w:color w:val="000000"/>
        </w:rPr>
      </w:pPr>
      <w:r>
        <w:rPr>
          <w:color w:val="000000"/>
        </w:rPr>
        <w:t>5</w:t>
      </w:r>
      <w:r>
        <w:rPr>
          <w:rFonts w:hint="eastAsia" w:hAnsi="宋体" w:cs="宋体"/>
          <w:color w:val="000000"/>
        </w:rPr>
        <w:t>．供热与供冷系统为</w:t>
      </w:r>
      <w:r>
        <w:rPr>
          <w:color w:val="000000"/>
          <w:u w:val="single"/>
        </w:rPr>
        <w:t xml:space="preserve">         </w:t>
      </w:r>
      <w:r>
        <w:rPr>
          <w:rFonts w:hint="eastAsia" w:hAnsi="宋体" w:cs="宋体"/>
          <w:color w:val="000000"/>
        </w:rPr>
        <w:t>个采暖期、供冷期；</w:t>
      </w:r>
    </w:p>
    <w:p>
      <w:pPr>
        <w:spacing w:line="360" w:lineRule="auto"/>
        <w:ind w:firstLine="420"/>
        <w:rPr>
          <w:rFonts w:hAnsi="宋体"/>
          <w:color w:val="000000"/>
        </w:rPr>
      </w:pPr>
      <w:r>
        <w:rPr>
          <w:color w:val="000000"/>
        </w:rPr>
        <w:t>6</w:t>
      </w:r>
      <w:r>
        <w:rPr>
          <w:rFonts w:hint="eastAsia" w:hAnsi="宋体" w:cs="宋体"/>
          <w:color w:val="000000"/>
        </w:rPr>
        <w:t>．住宅小区内的给排水设施、道路等配套工程为</w:t>
      </w:r>
      <w:r>
        <w:rPr>
          <w:color w:val="000000"/>
          <w:u w:val="single"/>
        </w:rPr>
        <w:t xml:space="preserve">         </w:t>
      </w:r>
      <w:r>
        <w:rPr>
          <w:rFonts w:hint="eastAsia" w:hAnsi="宋体" w:cs="宋体"/>
          <w:color w:val="000000"/>
        </w:rPr>
        <w:t>年；</w:t>
      </w:r>
    </w:p>
    <w:p>
      <w:pPr>
        <w:spacing w:line="360" w:lineRule="auto"/>
        <w:ind w:firstLine="420"/>
        <w:rPr>
          <w:rFonts w:hAnsi="宋体"/>
          <w:color w:val="000000"/>
        </w:rPr>
      </w:pPr>
      <w:r>
        <w:rPr>
          <w:color w:val="000000"/>
        </w:rPr>
        <w:t>7</w:t>
      </w:r>
      <w:r>
        <w:rPr>
          <w:rFonts w:hint="eastAsia" w:hAnsi="宋体" w:cs="宋体"/>
          <w:color w:val="000000"/>
        </w:rPr>
        <w:t>．其他项目保修期限约定如下：</w:t>
      </w:r>
    </w:p>
    <w:p>
      <w:pPr>
        <w:spacing w:line="360" w:lineRule="auto"/>
        <w:ind w:firstLine="420"/>
        <w:rPr>
          <w:rFonts w:hAnsi="宋体"/>
          <w:color w:val="000000"/>
        </w:rPr>
      </w:pPr>
      <w:r>
        <w:rPr>
          <w:color w:val="000000"/>
          <w:u w:val="single"/>
        </w:rPr>
        <w:t xml:space="preserve">                                                                                                                                                             </w:t>
      </w:r>
      <w:r>
        <w:rPr>
          <w:rFonts w:hint="eastAsia" w:hAnsi="宋体" w:cs="宋体"/>
          <w:color w:val="000000"/>
        </w:rPr>
        <w:t>。</w:t>
      </w:r>
    </w:p>
    <w:p>
      <w:pPr>
        <w:spacing w:line="360" w:lineRule="auto"/>
        <w:ind w:firstLine="420"/>
        <w:rPr>
          <w:rFonts w:hAnsi="宋体"/>
          <w:color w:val="000000"/>
        </w:rPr>
      </w:pPr>
      <w:r>
        <w:rPr>
          <w:rFonts w:hint="eastAsia" w:hAnsi="宋体" w:cs="宋体"/>
          <w:color w:val="000000"/>
        </w:rPr>
        <w:t>质量保修期自工程竣工验收合格之日起计算。</w:t>
      </w:r>
    </w:p>
    <w:p>
      <w:pPr>
        <w:spacing w:line="360" w:lineRule="auto"/>
        <w:ind w:firstLine="420"/>
        <w:rPr>
          <w:rFonts w:ascii="黑体" w:hAnsi="宋体" w:eastAsia="黑体"/>
          <w:color w:val="000000"/>
        </w:rPr>
      </w:pPr>
      <w:r>
        <w:rPr>
          <w:rFonts w:hint="eastAsia" w:ascii="黑体" w:hAnsi="宋体" w:eastAsia="黑体" w:cs="黑体"/>
          <w:color w:val="000000"/>
        </w:rPr>
        <w:t>三、缺陷责任期</w:t>
      </w:r>
    </w:p>
    <w:p>
      <w:pPr>
        <w:spacing w:line="360" w:lineRule="auto"/>
        <w:ind w:firstLine="420"/>
        <w:rPr>
          <w:rFonts w:hAnsi="宋体"/>
          <w:color w:val="000000"/>
        </w:rPr>
      </w:pPr>
      <w:r>
        <w:rPr>
          <w:rFonts w:hint="eastAsia" w:hAnsi="宋体" w:cs="宋体"/>
          <w:color w:val="000000"/>
        </w:rPr>
        <w:t>工程缺陷责任期为</w:t>
      </w:r>
      <w:r>
        <w:rPr>
          <w:color w:val="000000"/>
          <w:u w:val="single"/>
        </w:rPr>
        <w:t xml:space="preserve">         </w:t>
      </w:r>
      <w:r>
        <w:rPr>
          <w:rFonts w:hint="eastAsia" w:hAnsi="宋体" w:cs="宋体"/>
          <w:color w:val="000000"/>
        </w:rPr>
        <w:t>个月（最长不超过</w:t>
      </w:r>
      <w:r>
        <w:rPr>
          <w:rFonts w:hAnsi="宋体"/>
          <w:color w:val="000000"/>
        </w:rPr>
        <w:t>24</w:t>
      </w:r>
      <w:r>
        <w:rPr>
          <w:rFonts w:hint="eastAsia" w:hAnsi="宋体" w:cs="宋体"/>
          <w:color w:val="000000"/>
        </w:rPr>
        <w:t>个月），缺陷责任期自工程竣工验收合格之日起计算。单位工程先于全部工程进行验收，单位工程缺陷责任期自单位工程验收合格之日起算。</w:t>
      </w:r>
    </w:p>
    <w:p>
      <w:pPr>
        <w:spacing w:line="360" w:lineRule="auto"/>
        <w:ind w:firstLine="420"/>
        <w:rPr>
          <w:rFonts w:hAnsi="宋体"/>
          <w:color w:val="000000"/>
        </w:rPr>
      </w:pPr>
      <w:r>
        <w:rPr>
          <w:rFonts w:hint="eastAsia" w:hAnsi="宋体" w:cs="宋体"/>
          <w:color w:val="000000"/>
        </w:rPr>
        <w:t>缺陷责任期</w:t>
      </w:r>
      <w:r>
        <w:rPr>
          <w:rFonts w:hint="eastAsia" w:hAnsi="宋体" w:cs="宋体"/>
          <w:color w:val="000000"/>
          <w:u w:val="single"/>
        </w:rPr>
        <w:t>满</w:t>
      </w:r>
      <w:r>
        <w:rPr>
          <w:rFonts w:hint="eastAsia" w:ascii="仿宋_GB2312" w:hAnsi="宋体"/>
          <w:color w:val="000000"/>
        </w:rPr>
        <w:t>之日起</w:t>
      </w:r>
      <w:r>
        <w:rPr>
          <w:rFonts w:hint="eastAsia" w:ascii="仿宋_GB2312" w:hAnsi="宋体"/>
          <w:color w:val="000000"/>
          <w:u w:val="single"/>
        </w:rPr>
        <w:t xml:space="preserve"> </w:t>
      </w:r>
      <w:r>
        <w:rPr>
          <w:rFonts w:ascii="仿宋_GB2312" w:hAnsi="宋体"/>
          <w:color w:val="000000"/>
          <w:u w:val="single"/>
        </w:rPr>
        <w:t xml:space="preserve">  </w:t>
      </w:r>
      <w:r>
        <w:rPr>
          <w:rFonts w:hint="eastAsia" w:ascii="仿宋_GB2312" w:hAnsi="宋体"/>
          <w:color w:val="000000"/>
          <w:u w:val="single"/>
        </w:rPr>
        <w:t xml:space="preserve"> </w:t>
      </w:r>
      <w:r>
        <w:rPr>
          <w:rFonts w:hint="eastAsia" w:ascii="仿宋_GB2312" w:hAnsi="宋体"/>
          <w:color w:val="000000"/>
        </w:rPr>
        <w:t>天</w:t>
      </w:r>
      <w:r>
        <w:rPr>
          <w:rFonts w:hint="eastAsia" w:hAnsi="宋体" w:cs="宋体"/>
          <w:color w:val="000000"/>
          <w:u w:val="single"/>
        </w:rPr>
        <w:t>（按</w:t>
      </w:r>
      <w:r>
        <w:rPr>
          <w:rFonts w:hAnsi="宋体" w:cs="宋体"/>
          <w:color w:val="000000"/>
          <w:u w:val="single"/>
        </w:rPr>
        <w:t>合同约定期限）</w:t>
      </w:r>
      <w:r>
        <w:rPr>
          <w:rFonts w:hint="eastAsia" w:hAnsi="宋体" w:cs="宋体"/>
          <w:color w:val="000000"/>
          <w:u w:val="single"/>
        </w:rPr>
        <w:t>，</w:t>
      </w:r>
      <w:r>
        <w:rPr>
          <w:rFonts w:hint="eastAsia" w:hAnsi="宋体" w:cs="宋体"/>
          <w:color w:val="000000"/>
        </w:rPr>
        <w:t>发包人应退还剩余的质量保证金。</w:t>
      </w:r>
    </w:p>
    <w:p>
      <w:pPr>
        <w:spacing w:line="360" w:lineRule="auto"/>
        <w:ind w:firstLine="420"/>
        <w:rPr>
          <w:rFonts w:ascii="黑体" w:hAnsi="宋体" w:eastAsia="黑体"/>
          <w:color w:val="000000"/>
        </w:rPr>
      </w:pPr>
      <w:r>
        <w:rPr>
          <w:rFonts w:hint="eastAsia" w:ascii="黑体" w:hAnsi="宋体" w:eastAsia="黑体" w:cs="黑体"/>
          <w:color w:val="000000"/>
        </w:rPr>
        <w:t>四、质量保修责任</w:t>
      </w:r>
    </w:p>
    <w:p>
      <w:pPr>
        <w:spacing w:line="360" w:lineRule="auto"/>
        <w:ind w:left="105" w:leftChars="50" w:firstLine="430" w:firstLineChars="205"/>
        <w:rPr>
          <w:rFonts w:hAnsi="宋体"/>
          <w:color w:val="000000"/>
        </w:rPr>
      </w:pPr>
      <w:r>
        <w:rPr>
          <w:color w:val="000000"/>
        </w:rPr>
        <w:t>1</w:t>
      </w:r>
      <w:r>
        <w:rPr>
          <w:rFonts w:hint="eastAsia" w:hAnsi="宋体" w:cs="宋体"/>
          <w:color w:val="000000"/>
        </w:rPr>
        <w:t>．属于保修范围、内容的项目，承包人应当在接到保修通知之日起</w:t>
      </w:r>
      <w:r>
        <w:rPr>
          <w:color w:val="000000"/>
          <w:u w:val="single"/>
        </w:rPr>
        <w:t xml:space="preserve">      </w:t>
      </w:r>
      <w:r>
        <w:rPr>
          <w:rFonts w:hint="eastAsia" w:hAnsi="宋体" w:cs="宋体"/>
          <w:color w:val="000000"/>
        </w:rPr>
        <w:t>天内派人保修。承包人不在约定期限内派人保修的，发包人可以委托他人修理，修理费用从质量保证金内扣除。</w:t>
      </w:r>
    </w:p>
    <w:p>
      <w:pPr>
        <w:spacing w:line="360" w:lineRule="auto"/>
        <w:ind w:firstLine="420"/>
        <w:rPr>
          <w:rFonts w:hAnsi="宋体"/>
          <w:color w:val="000000"/>
        </w:rPr>
      </w:pPr>
      <w:r>
        <w:rPr>
          <w:color w:val="000000"/>
        </w:rPr>
        <w:t>2</w:t>
      </w:r>
      <w:r>
        <w:rPr>
          <w:rFonts w:hint="eastAsia" w:hAnsi="宋体" w:cs="宋体"/>
          <w:color w:val="000000"/>
        </w:rPr>
        <w:t>．发生紧急事故需抢修的，承包人在接到事故通知后，应当立即到达事故现场抢修。</w:t>
      </w:r>
    </w:p>
    <w:p>
      <w:pPr>
        <w:spacing w:line="360" w:lineRule="auto"/>
        <w:ind w:firstLine="420"/>
        <w:rPr>
          <w:rFonts w:hAnsi="宋体"/>
          <w:color w:val="000000"/>
        </w:rPr>
      </w:pPr>
      <w:r>
        <w:rPr>
          <w:color w:val="000000"/>
        </w:rPr>
        <w:t>3</w:t>
      </w:r>
      <w:r>
        <w:rPr>
          <w:rFonts w:hint="eastAsia" w:hAnsi="宋体" w:cs="宋体"/>
          <w:color w:val="000000"/>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firstLine="420"/>
        <w:rPr>
          <w:rFonts w:hAnsi="宋体"/>
          <w:color w:val="000000"/>
        </w:rPr>
      </w:pPr>
      <w:r>
        <w:rPr>
          <w:color w:val="000000"/>
        </w:rPr>
        <w:t>4</w:t>
      </w:r>
      <w:r>
        <w:rPr>
          <w:rFonts w:hint="eastAsia" w:hAnsi="宋体" w:cs="宋体"/>
          <w:color w:val="000000"/>
        </w:rPr>
        <w:t>．质量保修完成后，由发包人组织验收。</w:t>
      </w:r>
    </w:p>
    <w:p>
      <w:pPr>
        <w:spacing w:line="360" w:lineRule="auto"/>
        <w:ind w:firstLine="420"/>
        <w:rPr>
          <w:rFonts w:ascii="黑体" w:hAnsi="宋体" w:eastAsia="黑体"/>
          <w:color w:val="000000"/>
        </w:rPr>
      </w:pPr>
      <w:r>
        <w:rPr>
          <w:rFonts w:hint="eastAsia" w:ascii="黑体" w:hAnsi="宋体" w:eastAsia="黑体" w:cs="黑体"/>
          <w:color w:val="000000"/>
        </w:rPr>
        <w:t>五、保修费用</w:t>
      </w:r>
    </w:p>
    <w:p>
      <w:pPr>
        <w:tabs>
          <w:tab w:val="left" w:pos="7380"/>
        </w:tabs>
        <w:spacing w:line="360" w:lineRule="auto"/>
        <w:ind w:firstLine="420"/>
        <w:rPr>
          <w:rFonts w:hAnsi="宋体"/>
          <w:color w:val="000000"/>
        </w:rPr>
      </w:pPr>
      <w:r>
        <w:rPr>
          <w:rFonts w:hint="eastAsia" w:hAnsi="宋体" w:cs="宋体"/>
          <w:color w:val="000000"/>
        </w:rPr>
        <w:t>保修费用由造成质量缺陷的责任方承担。</w:t>
      </w:r>
    </w:p>
    <w:p>
      <w:pPr>
        <w:spacing w:line="360" w:lineRule="auto"/>
        <w:ind w:firstLine="420"/>
        <w:rPr>
          <w:rFonts w:ascii="黑体" w:hAnsi="宋体" w:eastAsia="黑体" w:cs="黑体"/>
          <w:color w:val="000000"/>
        </w:rPr>
      </w:pPr>
      <w:r>
        <w:rPr>
          <w:rFonts w:hint="eastAsia" w:ascii="黑体" w:hAnsi="宋体" w:eastAsia="黑体" w:cs="黑体"/>
          <w:color w:val="000000"/>
        </w:rPr>
        <w:t>六、双方约定的其他工程质量保修事项：</w:t>
      </w:r>
      <w:r>
        <w:rPr>
          <w:rFonts w:ascii="黑体" w:hAnsi="宋体" w:eastAsia="黑体" w:cs="黑体"/>
          <w:color w:val="000000"/>
        </w:rPr>
        <w:t xml:space="preserve"> </w:t>
      </w:r>
    </w:p>
    <w:p>
      <w:pPr>
        <w:spacing w:line="360" w:lineRule="auto"/>
        <w:ind w:firstLine="420" w:firstLineChars="200"/>
        <w:jc w:val="left"/>
        <w:rPr>
          <w:color w:val="000000"/>
        </w:rPr>
      </w:pPr>
      <w:r>
        <w:rPr>
          <w:color w:val="000000"/>
          <w:u w:val="single"/>
        </w:rPr>
        <w:t xml:space="preserve">                                                                                                                                                             </w:t>
      </w:r>
      <w:r>
        <w:rPr>
          <w:rFonts w:hint="eastAsia" w:hAnsi="宋体" w:cs="宋体"/>
          <w:color w:val="000000"/>
        </w:rPr>
        <w:t>。</w:t>
      </w:r>
    </w:p>
    <w:p>
      <w:pPr>
        <w:spacing w:line="360" w:lineRule="auto"/>
        <w:ind w:firstLine="399" w:firstLineChars="190"/>
        <w:rPr>
          <w:color w:val="000000"/>
        </w:rPr>
      </w:pPr>
      <w:r>
        <w:rPr>
          <w:rFonts w:hint="eastAsia" w:hAnsi="宋体" w:cs="宋体"/>
          <w:color w:val="000000"/>
        </w:rPr>
        <w:t>工程质量保修书由发包人、承包人在工程竣工验收前共同签署，作为施工合同附件，其有效期限至保修期满。</w:t>
      </w:r>
    </w:p>
    <w:p>
      <w:pPr>
        <w:spacing w:line="360" w:lineRule="auto"/>
        <w:ind w:firstLine="420"/>
        <w:rPr>
          <w:color w:val="000000"/>
        </w:rPr>
      </w:pPr>
    </w:p>
    <w:p>
      <w:pPr>
        <w:spacing w:line="360" w:lineRule="auto"/>
        <w:rPr>
          <w:color w:val="000000"/>
        </w:rPr>
      </w:pPr>
      <w:r>
        <w:rPr>
          <w:rFonts w:hAnsi="宋体"/>
          <w:color w:val="000000"/>
        </w:rPr>
        <w:t>发包人</w:t>
      </w:r>
      <w:r>
        <w:rPr>
          <w:rFonts w:hint="eastAsia"/>
          <w:color w:val="000000"/>
        </w:rPr>
        <w:t>（</w:t>
      </w:r>
      <w:r>
        <w:rPr>
          <w:rFonts w:hAnsi="宋体"/>
          <w:color w:val="000000"/>
        </w:rPr>
        <w:t>公章</w:t>
      </w:r>
      <w:r>
        <w:rPr>
          <w:rFonts w:hint="eastAsia"/>
          <w:color w:val="000000"/>
        </w:rPr>
        <w:t>）</w:t>
      </w:r>
      <w:r>
        <w:rPr>
          <w:rFonts w:hAnsi="宋体"/>
          <w:color w:val="000000"/>
        </w:rPr>
        <w:t>：</w:t>
      </w:r>
      <w:r>
        <w:rPr>
          <w:color w:val="000000"/>
          <w:u w:val="single"/>
        </w:rPr>
        <w:t xml:space="preserve"> </w:t>
      </w:r>
      <w:r>
        <w:rPr>
          <w:rFonts w:ascii="宋体" w:hAnsi="宋体"/>
          <w:color w:val="000000"/>
          <w:u w:val="single"/>
        </w:rPr>
        <w:t></w:t>
      </w:r>
      <w:r>
        <w:rPr>
          <w:color w:val="000000"/>
          <w:u w:val="single"/>
        </w:rPr>
        <w:t xml:space="preserve"> </w:t>
      </w:r>
      <w:r>
        <w:rPr>
          <w:rFonts w:ascii="宋体" w:hAnsi="宋体"/>
          <w:color w:val="000000"/>
          <w:u w:val="single"/>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rFonts w:hAnsi="宋体"/>
          <w:color w:val="000000"/>
        </w:rPr>
        <w:t>承包人</w:t>
      </w:r>
      <w:r>
        <w:rPr>
          <w:rFonts w:hint="eastAsia"/>
          <w:color w:val="000000"/>
        </w:rPr>
        <w:t>（</w:t>
      </w:r>
      <w:r>
        <w:rPr>
          <w:rFonts w:hAnsi="宋体"/>
          <w:color w:val="000000"/>
        </w:rPr>
        <w:t>公章</w:t>
      </w:r>
      <w:r>
        <w:rPr>
          <w:rFonts w:hint="eastAsia"/>
          <w:color w:val="000000"/>
        </w:rPr>
        <w:t>）</w:t>
      </w:r>
      <w:r>
        <w:rPr>
          <w:rFonts w:hAnsi="宋体"/>
          <w:color w:val="000000"/>
        </w:rPr>
        <w:t>：</w:t>
      </w:r>
      <w:r>
        <w:rPr>
          <w:rFonts w:ascii="宋体" w:hAnsi="宋体"/>
          <w:color w:val="000000"/>
          <w:u w:val="single"/>
        </w:rPr>
        <w:t></w:t>
      </w:r>
      <w:r>
        <w:rPr>
          <w:color w:val="000000"/>
          <w:u w:val="single"/>
        </w:rPr>
        <w:t xml:space="preserve">          </w:t>
      </w:r>
      <w:r>
        <w:rPr>
          <w:rFonts w:ascii="宋体" w:hAnsi="宋体"/>
          <w:color w:val="000000"/>
          <w:u w:val="single"/>
        </w:rPr>
        <w:t></w:t>
      </w:r>
    </w:p>
    <w:p>
      <w:pPr>
        <w:spacing w:line="360" w:lineRule="auto"/>
        <w:rPr>
          <w:color w:val="000000"/>
        </w:rPr>
      </w:pPr>
      <w:r>
        <w:rPr>
          <w:rFonts w:hAnsi="宋体"/>
          <w:color w:val="000000"/>
        </w:rPr>
        <w:t>地</w:t>
      </w:r>
      <w:r>
        <w:rPr>
          <w:color w:val="000000"/>
        </w:rPr>
        <w:t xml:space="preserve">  </w:t>
      </w:r>
      <w:r>
        <w:rPr>
          <w:rFonts w:hAnsi="宋体"/>
          <w:color w:val="000000"/>
        </w:rPr>
        <w:t>址：</w:t>
      </w:r>
      <w:r>
        <w:rPr>
          <w:color w:val="000000"/>
          <w:u w:val="single"/>
        </w:rPr>
        <w:t xml:space="preserve"> </w:t>
      </w:r>
      <w:r>
        <w:rPr>
          <w:rFonts w:ascii="宋体" w:hAnsi="宋体"/>
          <w:color w:val="000000"/>
          <w:u w:val="single"/>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rFonts w:hAnsi="宋体"/>
          <w:color w:val="000000"/>
        </w:rPr>
        <w:t>地</w:t>
      </w:r>
      <w:r>
        <w:rPr>
          <w:color w:val="000000"/>
        </w:rPr>
        <w:t xml:space="preserve">  </w:t>
      </w:r>
      <w:r>
        <w:rPr>
          <w:rFonts w:hAnsi="宋体"/>
          <w:color w:val="000000"/>
        </w:rPr>
        <w:t>址：</w:t>
      </w:r>
      <w:r>
        <w:rPr>
          <w:rFonts w:ascii="宋体" w:hAnsi="宋体"/>
          <w:color w:val="000000"/>
          <w:u w:val="single"/>
        </w:rPr>
        <w:t></w:t>
      </w:r>
      <w:r>
        <w:rPr>
          <w:color w:val="000000"/>
          <w:u w:val="single"/>
        </w:rPr>
        <w:t xml:space="preserve"> </w:t>
      </w:r>
      <w:r>
        <w:rPr>
          <w:rFonts w:hint="eastAsia"/>
          <w:color w:val="000000"/>
          <w:u w:val="single"/>
        </w:rPr>
        <w:t xml:space="preserve">     </w:t>
      </w:r>
      <w:r>
        <w:rPr>
          <w:rFonts w:ascii="宋体" w:hAnsi="宋体"/>
          <w:color w:val="000000"/>
          <w:u w:val="single"/>
        </w:rPr>
        <w:t></w:t>
      </w:r>
    </w:p>
    <w:p>
      <w:pPr>
        <w:spacing w:line="360" w:lineRule="auto"/>
        <w:rPr>
          <w:color w:val="000000"/>
        </w:rPr>
      </w:pPr>
      <w:r>
        <w:rPr>
          <w:rFonts w:hAnsi="宋体"/>
          <w:color w:val="000000"/>
        </w:rPr>
        <w:t>法定代表人</w:t>
      </w:r>
      <w:r>
        <w:rPr>
          <w:rFonts w:hint="eastAsia"/>
          <w:color w:val="000000"/>
        </w:rPr>
        <w:t>（</w:t>
      </w:r>
      <w:r>
        <w:rPr>
          <w:rFonts w:hAnsi="宋体"/>
          <w:color w:val="000000"/>
        </w:rPr>
        <w:t>签字</w:t>
      </w:r>
      <w:r>
        <w:rPr>
          <w:rFonts w:hint="eastAsia"/>
          <w:color w:val="000000"/>
        </w:rPr>
        <w:t>）</w:t>
      </w:r>
      <w:r>
        <w:rPr>
          <w:rFonts w:hAnsi="宋体"/>
          <w:color w:val="000000"/>
        </w:rPr>
        <w:t>：</w:t>
      </w:r>
      <w:r>
        <w:rPr>
          <w:rFonts w:ascii="宋体" w:hAnsi="宋体"/>
          <w:color w:val="000000"/>
          <w:u w:val="single"/>
        </w:rPr>
        <w:t></w:t>
      </w:r>
      <w:r>
        <w:rPr>
          <w:color w:val="000000"/>
          <w:u w:val="single"/>
        </w:rPr>
        <w:t xml:space="preserve">      </w:t>
      </w:r>
      <w:r>
        <w:rPr>
          <w:color w:val="000000"/>
        </w:rPr>
        <w:t xml:space="preserve"> </w:t>
      </w:r>
      <w:r>
        <w:rPr>
          <w:rFonts w:hint="eastAsia"/>
          <w:color w:val="000000"/>
        </w:rPr>
        <w:t xml:space="preserve">             </w:t>
      </w:r>
      <w:r>
        <w:rPr>
          <w:rFonts w:hAnsi="宋体"/>
          <w:color w:val="000000"/>
        </w:rPr>
        <w:t>法定代表人</w:t>
      </w:r>
      <w:r>
        <w:rPr>
          <w:rFonts w:hint="eastAsia"/>
          <w:color w:val="000000"/>
        </w:rPr>
        <w:t>（</w:t>
      </w:r>
      <w:r>
        <w:rPr>
          <w:rFonts w:hAnsi="宋体"/>
          <w:color w:val="000000"/>
        </w:rPr>
        <w:t>签字</w:t>
      </w:r>
      <w:r>
        <w:rPr>
          <w:rFonts w:hint="eastAsia"/>
          <w:color w:val="000000"/>
        </w:rPr>
        <w:t>）</w:t>
      </w:r>
      <w:r>
        <w:rPr>
          <w:rFonts w:hAnsi="宋体"/>
          <w:color w:val="000000"/>
        </w:rPr>
        <w:t>：</w:t>
      </w:r>
      <w:r>
        <w:rPr>
          <w:rFonts w:ascii="宋体" w:hAnsi="宋体"/>
          <w:color w:val="000000"/>
          <w:u w:val="single"/>
        </w:rPr>
        <w:t></w:t>
      </w:r>
      <w:r>
        <w:rPr>
          <w:rFonts w:hint="eastAsia" w:ascii="宋体" w:hAnsi="宋体"/>
          <w:color w:val="000000"/>
          <w:u w:val="single"/>
        </w:rPr>
        <w:t xml:space="preserve">     </w:t>
      </w:r>
      <w:r>
        <w:rPr>
          <w:rFonts w:ascii="宋体" w:hAnsi="宋体"/>
          <w:color w:val="000000"/>
          <w:u w:val="single"/>
        </w:rPr>
        <w:t></w:t>
      </w:r>
    </w:p>
    <w:p>
      <w:pPr>
        <w:spacing w:line="360" w:lineRule="auto"/>
        <w:rPr>
          <w:color w:val="000000"/>
        </w:rPr>
      </w:pPr>
      <w:r>
        <w:rPr>
          <w:rFonts w:hAnsi="宋体"/>
          <w:color w:val="000000"/>
        </w:rPr>
        <w:t>委托代理人</w:t>
      </w:r>
      <w:r>
        <w:rPr>
          <w:rFonts w:hint="eastAsia"/>
          <w:color w:val="000000"/>
        </w:rPr>
        <w:t>（</w:t>
      </w:r>
      <w:r>
        <w:rPr>
          <w:rFonts w:hAnsi="宋体"/>
          <w:color w:val="000000"/>
        </w:rPr>
        <w:t>签字</w:t>
      </w:r>
      <w:r>
        <w:rPr>
          <w:rFonts w:hint="eastAsia"/>
          <w:color w:val="000000"/>
        </w:rPr>
        <w:t>）</w:t>
      </w:r>
      <w:r>
        <w:rPr>
          <w:rFonts w:hAnsi="宋体"/>
          <w:color w:val="000000"/>
        </w:rPr>
        <w:t>：</w:t>
      </w:r>
      <w:r>
        <w:rPr>
          <w:rFonts w:ascii="宋体" w:hAnsi="宋体"/>
          <w:color w:val="000000"/>
          <w:u w:val="single"/>
        </w:rPr>
        <w:t></w:t>
      </w:r>
      <w:r>
        <w:rPr>
          <w:color w:val="000000"/>
          <w:u w:val="single"/>
        </w:rPr>
        <w:t xml:space="preserve">      </w:t>
      </w:r>
      <w:r>
        <w:rPr>
          <w:color w:val="000000"/>
        </w:rPr>
        <w:t xml:space="preserve"> </w:t>
      </w:r>
      <w:r>
        <w:rPr>
          <w:rFonts w:hint="eastAsia"/>
          <w:color w:val="000000"/>
        </w:rPr>
        <w:t xml:space="preserve">             </w:t>
      </w:r>
      <w:r>
        <w:rPr>
          <w:rFonts w:hAnsi="宋体"/>
          <w:color w:val="000000"/>
        </w:rPr>
        <w:t>委托代理人</w:t>
      </w:r>
      <w:r>
        <w:rPr>
          <w:rFonts w:hint="eastAsia"/>
          <w:color w:val="000000"/>
        </w:rPr>
        <w:t>（</w:t>
      </w:r>
      <w:r>
        <w:rPr>
          <w:rFonts w:hAnsi="宋体"/>
          <w:color w:val="000000"/>
        </w:rPr>
        <w:t>签字</w:t>
      </w:r>
      <w:r>
        <w:rPr>
          <w:rFonts w:hint="eastAsia"/>
          <w:color w:val="000000"/>
        </w:rPr>
        <w:t>）</w:t>
      </w:r>
      <w:r>
        <w:rPr>
          <w:rFonts w:hAnsi="宋体"/>
          <w:color w:val="000000"/>
        </w:rPr>
        <w:t>：</w:t>
      </w:r>
      <w:r>
        <w:rPr>
          <w:rFonts w:ascii="宋体" w:hAnsi="宋体"/>
          <w:color w:val="000000"/>
          <w:u w:val="single"/>
        </w:rPr>
        <w:t></w:t>
      </w:r>
      <w:r>
        <w:rPr>
          <w:rFonts w:hint="eastAsia" w:ascii="宋体" w:hAnsi="宋体"/>
          <w:color w:val="000000"/>
          <w:u w:val="single"/>
        </w:rPr>
        <w:t xml:space="preserve">     </w:t>
      </w:r>
      <w:r>
        <w:rPr>
          <w:rFonts w:ascii="宋体" w:hAnsi="宋体"/>
          <w:color w:val="000000"/>
          <w:u w:val="single"/>
        </w:rPr>
        <w:t></w:t>
      </w:r>
    </w:p>
    <w:p>
      <w:pPr>
        <w:spacing w:line="360" w:lineRule="auto"/>
        <w:rPr>
          <w:color w:val="000000"/>
        </w:rPr>
      </w:pPr>
      <w:r>
        <w:rPr>
          <w:rFonts w:hAnsi="宋体"/>
          <w:color w:val="000000"/>
        </w:rPr>
        <w:t>电</w:t>
      </w:r>
      <w:r>
        <w:rPr>
          <w:color w:val="000000"/>
        </w:rPr>
        <w:t xml:space="preserve">  </w:t>
      </w:r>
      <w:r>
        <w:rPr>
          <w:rFonts w:hAnsi="宋体"/>
          <w:color w:val="000000"/>
        </w:rPr>
        <w:t>话：</w:t>
      </w:r>
      <w:r>
        <w:rPr>
          <w:rFonts w:ascii="宋体" w:hAnsi="宋体"/>
          <w:color w:val="000000"/>
          <w:u w:val="single"/>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rFonts w:hAnsi="宋体"/>
          <w:color w:val="000000"/>
        </w:rPr>
        <w:t>电</w:t>
      </w:r>
      <w:r>
        <w:rPr>
          <w:color w:val="000000"/>
        </w:rPr>
        <w:t xml:space="preserve">  </w:t>
      </w:r>
      <w:r>
        <w:rPr>
          <w:rFonts w:hAnsi="宋体"/>
          <w:color w:val="000000"/>
        </w:rPr>
        <w:t>话：</w:t>
      </w:r>
      <w:r>
        <w:rPr>
          <w:rFonts w:ascii="宋体" w:hAnsi="宋体"/>
          <w:color w:val="000000"/>
          <w:u w:val="single"/>
        </w:rPr>
        <w:t></w:t>
      </w:r>
      <w:r>
        <w:rPr>
          <w:rFonts w:hint="eastAsia" w:ascii="宋体" w:hAnsi="宋体"/>
          <w:color w:val="000000"/>
          <w:u w:val="single"/>
        </w:rPr>
        <w:t xml:space="preserve">      </w:t>
      </w:r>
      <w:r>
        <w:rPr>
          <w:rFonts w:ascii="宋体" w:hAnsi="宋体"/>
          <w:color w:val="000000"/>
          <w:u w:val="single"/>
        </w:rPr>
        <w:t></w:t>
      </w:r>
    </w:p>
    <w:p>
      <w:pPr>
        <w:spacing w:line="360" w:lineRule="auto"/>
        <w:rPr>
          <w:color w:val="000000"/>
        </w:rPr>
      </w:pPr>
      <w:r>
        <w:rPr>
          <w:rFonts w:hAnsi="宋体"/>
          <w:color w:val="000000"/>
        </w:rPr>
        <w:t>传</w:t>
      </w:r>
      <w:r>
        <w:rPr>
          <w:color w:val="000000"/>
        </w:rPr>
        <w:t xml:space="preserve">  </w:t>
      </w:r>
      <w:r>
        <w:rPr>
          <w:rFonts w:hAnsi="宋体"/>
          <w:color w:val="000000"/>
        </w:rPr>
        <w:t>真：</w:t>
      </w:r>
      <w:r>
        <w:rPr>
          <w:rFonts w:ascii="宋体" w:hAnsi="宋体"/>
          <w:color w:val="000000"/>
          <w:u w:val="single"/>
        </w:rPr>
        <w:t></w:t>
      </w:r>
      <w:r>
        <w:rPr>
          <w:rFonts w:hint="eastAsia" w:ascii="宋体" w:hAnsi="宋体"/>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rFonts w:hAnsi="宋体"/>
          <w:color w:val="000000"/>
        </w:rPr>
        <w:t>传</w:t>
      </w:r>
      <w:r>
        <w:rPr>
          <w:color w:val="000000"/>
        </w:rPr>
        <w:t xml:space="preserve">  </w:t>
      </w:r>
      <w:r>
        <w:rPr>
          <w:rFonts w:hAnsi="宋体"/>
          <w:color w:val="000000"/>
        </w:rPr>
        <w:t>真：</w:t>
      </w:r>
      <w:r>
        <w:rPr>
          <w:rFonts w:ascii="宋体" w:hAnsi="宋体"/>
          <w:color w:val="000000"/>
          <w:u w:val="single"/>
        </w:rPr>
        <w:t></w:t>
      </w:r>
      <w:r>
        <w:rPr>
          <w:rFonts w:hint="eastAsia" w:ascii="宋体" w:hAnsi="宋体"/>
          <w:color w:val="000000"/>
          <w:u w:val="single"/>
        </w:rPr>
        <w:t xml:space="preserve">  </w:t>
      </w:r>
      <w:r>
        <w:rPr>
          <w:color w:val="000000"/>
          <w:u w:val="single"/>
        </w:rPr>
        <w:t xml:space="preserve">  </w:t>
      </w:r>
      <w:r>
        <w:rPr>
          <w:rFonts w:ascii="宋体" w:hAnsi="宋体"/>
          <w:color w:val="000000"/>
          <w:u w:val="single"/>
        </w:rPr>
        <w:t></w:t>
      </w:r>
    </w:p>
    <w:p>
      <w:pPr>
        <w:spacing w:line="360" w:lineRule="auto"/>
        <w:rPr>
          <w:color w:val="000000"/>
        </w:rPr>
      </w:pPr>
      <w:r>
        <w:rPr>
          <w:rFonts w:hAnsi="宋体"/>
          <w:color w:val="000000"/>
        </w:rPr>
        <w:t>开户银行：</w:t>
      </w:r>
      <w:r>
        <w:rPr>
          <w:rFonts w:ascii="宋体" w:hAnsi="宋体"/>
          <w:color w:val="000000"/>
          <w:u w:val="single"/>
        </w:rPr>
        <w:t></w:t>
      </w:r>
      <w:r>
        <w:rPr>
          <w:rFonts w:hint="eastAsia" w:ascii="宋体" w:hAnsi="宋体"/>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rFonts w:hAnsi="宋体"/>
          <w:color w:val="000000"/>
        </w:rPr>
        <w:t>开户银行：</w:t>
      </w:r>
      <w:r>
        <w:rPr>
          <w:rFonts w:ascii="宋体" w:hAnsi="宋体"/>
          <w:color w:val="000000"/>
          <w:u w:val="single"/>
        </w:rPr>
        <w:t></w:t>
      </w:r>
      <w:r>
        <w:rPr>
          <w:rFonts w:hint="eastAsia" w:ascii="宋体" w:hAnsi="宋体"/>
          <w:color w:val="000000"/>
          <w:u w:val="single"/>
        </w:rPr>
        <w:t xml:space="preserve">  </w:t>
      </w:r>
      <w:r>
        <w:rPr>
          <w:rFonts w:ascii="宋体" w:hAnsi="宋体"/>
          <w:color w:val="000000"/>
          <w:u w:val="single"/>
        </w:rPr>
        <w:t></w:t>
      </w:r>
    </w:p>
    <w:p>
      <w:pPr>
        <w:tabs>
          <w:tab w:val="left" w:pos="2880"/>
          <w:tab w:val="left" w:pos="3060"/>
          <w:tab w:val="left" w:pos="4500"/>
        </w:tabs>
        <w:spacing w:line="360" w:lineRule="auto"/>
        <w:rPr>
          <w:color w:val="000000"/>
        </w:rPr>
      </w:pPr>
      <w:r>
        <w:rPr>
          <w:rFonts w:hAnsi="宋体"/>
          <w:color w:val="000000"/>
        </w:rPr>
        <w:t>账</w:t>
      </w:r>
      <w:r>
        <w:rPr>
          <w:color w:val="000000"/>
        </w:rPr>
        <w:t xml:space="preserve">  </w:t>
      </w:r>
      <w:r>
        <w:rPr>
          <w:rFonts w:hAnsi="宋体"/>
          <w:color w:val="000000"/>
        </w:rPr>
        <w:t>号：</w:t>
      </w:r>
      <w:r>
        <w:rPr>
          <w:rFonts w:ascii="宋体" w:hAnsi="宋体"/>
          <w:color w:val="000000"/>
          <w:u w:val="single"/>
        </w:rPr>
        <w:t></w:t>
      </w:r>
      <w:r>
        <w:rPr>
          <w:color w:val="000000"/>
          <w:u w:val="single"/>
        </w:rPr>
        <w:t xml:space="preserve"> </w:t>
      </w:r>
      <w:r>
        <w:rPr>
          <w:rFonts w:ascii="宋体" w:hAnsi="宋体"/>
          <w:color w:val="000000"/>
          <w:u w:val="single"/>
        </w:rPr>
        <w:t></w:t>
      </w:r>
      <w:r>
        <w:rPr>
          <w:color w:val="000000"/>
          <w:u w:val="single"/>
        </w:rPr>
        <w:t xml:space="preserve">   </w:t>
      </w:r>
      <w:r>
        <w:rPr>
          <w:rFonts w:hint="eastAsia"/>
          <w:color w:val="000000"/>
          <w:u w:val="single"/>
        </w:rPr>
        <w:t xml:space="preserve">  </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rFonts w:hAnsi="宋体"/>
          <w:color w:val="000000"/>
        </w:rPr>
        <w:t>账</w:t>
      </w:r>
      <w:r>
        <w:rPr>
          <w:color w:val="000000"/>
        </w:rPr>
        <w:t xml:space="preserve">  </w:t>
      </w:r>
      <w:r>
        <w:rPr>
          <w:rFonts w:hAnsi="宋体"/>
          <w:color w:val="000000"/>
        </w:rPr>
        <w:t>号：</w:t>
      </w:r>
      <w:r>
        <w:rPr>
          <w:rFonts w:ascii="宋体" w:hAnsi="宋体"/>
          <w:color w:val="000000"/>
          <w:u w:val="single"/>
        </w:rPr>
        <w:t></w:t>
      </w:r>
      <w:r>
        <w:rPr>
          <w:rFonts w:hint="eastAsia" w:ascii="宋体" w:hAnsi="宋体"/>
          <w:color w:val="000000"/>
          <w:u w:val="single"/>
        </w:rPr>
        <w:t xml:space="preserve">    </w:t>
      </w:r>
      <w:r>
        <w:rPr>
          <w:rFonts w:ascii="宋体" w:hAnsi="宋体"/>
          <w:color w:val="000000"/>
          <w:u w:val="single"/>
        </w:rPr>
        <w:t></w:t>
      </w:r>
    </w:p>
    <w:p>
      <w:pPr>
        <w:tabs>
          <w:tab w:val="left" w:pos="7200"/>
          <w:tab w:val="left" w:pos="7380"/>
          <w:tab w:val="left" w:pos="7560"/>
        </w:tabs>
        <w:spacing w:line="360" w:lineRule="auto"/>
        <w:rPr>
          <w:color w:val="000000"/>
        </w:rPr>
      </w:pPr>
      <w:r>
        <w:rPr>
          <w:rFonts w:hAnsi="宋体"/>
          <w:color w:val="000000"/>
        </w:rPr>
        <w:t>邮政编码：</w:t>
      </w:r>
      <w:r>
        <w:rPr>
          <w:color w:val="000000"/>
          <w:u w:val="single"/>
        </w:rPr>
        <w:t xml:space="preserve"> </w:t>
      </w:r>
      <w:r>
        <w:rPr>
          <w:rFonts w:ascii="宋体" w:hAnsi="宋体"/>
          <w:color w:val="000000"/>
          <w:u w:val="single"/>
        </w:rPr>
        <w:t></w:t>
      </w:r>
      <w:r>
        <w:rPr>
          <w:rFonts w:hint="eastAsia" w:ascii="宋体" w:hAnsi="宋体"/>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rFonts w:hAnsi="宋体"/>
          <w:color w:val="000000"/>
        </w:rPr>
        <w:t>邮政编码：</w:t>
      </w:r>
      <w:r>
        <w:rPr>
          <w:rFonts w:ascii="宋体" w:hAnsi="宋体"/>
          <w:color w:val="000000"/>
          <w:u w:val="single"/>
        </w:rPr>
        <w:t></w:t>
      </w:r>
      <w:r>
        <w:rPr>
          <w:rFonts w:hint="eastAsia" w:ascii="宋体" w:hAnsi="宋体"/>
          <w:color w:val="000000"/>
          <w:u w:val="single"/>
        </w:rPr>
        <w:t xml:space="preserve">   </w:t>
      </w:r>
      <w:r>
        <w:rPr>
          <w:rFonts w:ascii="宋体" w:hAnsi="宋体"/>
          <w:color w:val="000000"/>
          <w:u w:val="single"/>
        </w:rPr>
        <w:t></w:t>
      </w:r>
    </w:p>
    <w:p>
      <w:pPr>
        <w:spacing w:before="120" w:beforeLines="50" w:after="120" w:afterLines="50" w:line="440" w:lineRule="exact"/>
        <w:jc w:val="center"/>
        <w:rPr>
          <w:rFonts w:ascii="黑体" w:hAnsi="宋体" w:eastAsia="黑体"/>
          <w:color w:val="000000"/>
          <w:sz w:val="32"/>
          <w:szCs w:val="32"/>
        </w:rPr>
      </w:pPr>
    </w:p>
    <w:p>
      <w:pPr>
        <w:spacing w:before="120" w:beforeLines="50" w:after="120" w:afterLines="50" w:line="440" w:lineRule="exact"/>
        <w:jc w:val="center"/>
        <w:rPr>
          <w:rFonts w:ascii="黑体" w:hAnsi="宋体" w:eastAsia="黑体"/>
          <w:color w:val="000000"/>
          <w:sz w:val="32"/>
          <w:szCs w:val="32"/>
        </w:rPr>
      </w:pPr>
    </w:p>
    <w:p>
      <w:pPr>
        <w:spacing w:before="120" w:beforeLines="50" w:after="120" w:afterLines="50" w:line="440" w:lineRule="exact"/>
        <w:jc w:val="center"/>
        <w:rPr>
          <w:rFonts w:ascii="黑体" w:hAnsi="宋体" w:eastAsia="黑体"/>
          <w:color w:val="000000"/>
          <w:sz w:val="32"/>
          <w:szCs w:val="32"/>
        </w:rPr>
      </w:pPr>
    </w:p>
    <w:p>
      <w:pPr>
        <w:spacing w:before="120" w:beforeLines="50" w:after="120" w:afterLines="50" w:line="440" w:lineRule="exact"/>
        <w:jc w:val="center"/>
        <w:rPr>
          <w:rFonts w:ascii="黑体" w:hAnsi="宋体" w:eastAsia="黑体"/>
          <w:color w:val="000000"/>
          <w:sz w:val="32"/>
          <w:szCs w:val="32"/>
        </w:rPr>
      </w:pPr>
    </w:p>
    <w:p>
      <w:pPr>
        <w:spacing w:before="120" w:beforeLines="50" w:after="120" w:afterLines="50" w:line="440" w:lineRule="exact"/>
        <w:jc w:val="center"/>
        <w:rPr>
          <w:rFonts w:ascii="黑体" w:hAnsi="宋体" w:eastAsia="黑体"/>
          <w:color w:val="000000"/>
          <w:sz w:val="32"/>
          <w:szCs w:val="32"/>
        </w:rPr>
      </w:pPr>
    </w:p>
    <w:p>
      <w:pPr>
        <w:spacing w:before="120" w:beforeLines="50" w:after="120" w:afterLines="50" w:line="440" w:lineRule="exact"/>
        <w:jc w:val="center"/>
        <w:rPr>
          <w:rFonts w:ascii="黑体" w:hAnsi="宋体" w:eastAsia="黑体"/>
          <w:color w:val="000000"/>
          <w:sz w:val="32"/>
          <w:szCs w:val="32"/>
        </w:rPr>
      </w:pPr>
    </w:p>
    <w:p>
      <w:pPr>
        <w:spacing w:before="120" w:beforeLines="50" w:after="120" w:afterLines="50" w:line="440" w:lineRule="exact"/>
        <w:jc w:val="center"/>
        <w:rPr>
          <w:rFonts w:ascii="黑体" w:hAnsi="宋体" w:eastAsia="黑体"/>
          <w:color w:val="000000"/>
          <w:sz w:val="32"/>
          <w:szCs w:val="32"/>
        </w:rPr>
      </w:pPr>
    </w:p>
    <w:p>
      <w:pPr>
        <w:spacing w:before="120" w:beforeLines="50" w:after="120" w:afterLines="50" w:line="440" w:lineRule="exact"/>
        <w:jc w:val="center"/>
        <w:rPr>
          <w:rFonts w:ascii="黑体" w:hAnsi="宋体" w:eastAsia="黑体"/>
          <w:color w:val="000000"/>
          <w:sz w:val="32"/>
          <w:szCs w:val="32"/>
        </w:rPr>
      </w:pPr>
    </w:p>
    <w:p>
      <w:pPr>
        <w:spacing w:before="120" w:beforeLines="50" w:after="120" w:afterLines="50" w:line="440" w:lineRule="exact"/>
        <w:jc w:val="center"/>
        <w:rPr>
          <w:rFonts w:ascii="黑体" w:hAnsi="宋体" w:eastAsia="黑体"/>
          <w:color w:val="000000"/>
          <w:sz w:val="32"/>
          <w:szCs w:val="32"/>
        </w:rPr>
      </w:pPr>
    </w:p>
    <w:p>
      <w:pPr>
        <w:pStyle w:val="683"/>
        <w:numPr>
          <w:ilvl w:val="0"/>
          <w:numId w:val="0"/>
        </w:numPr>
      </w:pPr>
      <w:bookmarkStart w:id="1711" w:name="_Toc59203254"/>
      <w:r>
        <w:rPr>
          <w:rFonts w:hint="eastAsia"/>
        </w:rPr>
        <w:t>附件3</w:t>
      </w:r>
      <w:r>
        <w:t xml:space="preserve"> </w:t>
      </w:r>
      <w:r>
        <w:rPr>
          <w:rFonts w:hint="eastAsia"/>
        </w:rPr>
        <w:t xml:space="preserve">         工程质量保修书（市政公用工程）</w:t>
      </w:r>
      <w:bookmarkEnd w:id="1711"/>
    </w:p>
    <w:p>
      <w:pPr>
        <w:spacing w:line="360" w:lineRule="auto"/>
        <w:ind w:firstLine="420" w:firstLineChars="200"/>
        <w:rPr>
          <w:rFonts w:ascii="宋体"/>
          <w:color w:val="000000"/>
        </w:rPr>
      </w:pPr>
      <w:r>
        <w:rPr>
          <w:rFonts w:hint="eastAsia" w:ascii="宋体" w:hAnsi="宋体" w:cs="宋体"/>
          <w:color w:val="000000"/>
        </w:rPr>
        <w:t>发包人（全称）：</w:t>
      </w:r>
      <w:r>
        <w:rPr>
          <w:rFonts w:ascii="宋体" w:hAnsi="宋体" w:cs="宋体"/>
          <w:color w:val="000000"/>
          <w:u w:val="single"/>
        </w:rPr>
        <w:t xml:space="preserve">                                </w:t>
      </w:r>
      <w:r>
        <w:rPr>
          <w:rFonts w:ascii="宋体" w:hAnsi="宋体" w:cs="宋体"/>
          <w:color w:val="000000"/>
        </w:rPr>
        <w:t xml:space="preserve"> </w:t>
      </w:r>
    </w:p>
    <w:p>
      <w:pPr>
        <w:spacing w:line="360" w:lineRule="auto"/>
        <w:ind w:firstLine="420" w:firstLineChars="200"/>
        <w:rPr>
          <w:rFonts w:ascii="宋体"/>
          <w:color w:val="000000"/>
        </w:rPr>
      </w:pPr>
      <w:r>
        <w:rPr>
          <w:rFonts w:hint="eastAsia" w:ascii="宋体" w:hAnsi="宋体" w:cs="宋体"/>
          <w:color w:val="000000"/>
        </w:rPr>
        <w:t>承包人（全称）：</w:t>
      </w:r>
      <w:r>
        <w:rPr>
          <w:rFonts w:ascii="宋体" w:hAnsi="宋体" w:cs="宋体"/>
          <w:color w:val="000000"/>
          <w:u w:val="single"/>
        </w:rPr>
        <w:t xml:space="preserve">                                </w:t>
      </w:r>
      <w:r>
        <w:rPr>
          <w:rFonts w:ascii="宋体" w:hAnsi="宋体" w:cs="宋体"/>
          <w:color w:val="000000"/>
        </w:rPr>
        <w:t xml:space="preserve"> </w:t>
      </w:r>
    </w:p>
    <w:p>
      <w:pPr>
        <w:spacing w:line="360" w:lineRule="auto"/>
        <w:rPr>
          <w:rFonts w:ascii="宋体"/>
          <w:color w:val="000000"/>
        </w:rPr>
      </w:pPr>
    </w:p>
    <w:p>
      <w:pPr>
        <w:spacing w:line="360" w:lineRule="auto"/>
        <w:ind w:firstLine="420"/>
        <w:rPr>
          <w:rFonts w:ascii="宋体"/>
          <w:color w:val="000000"/>
        </w:rPr>
      </w:pPr>
      <w:r>
        <w:rPr>
          <w:rFonts w:hint="eastAsia" w:ascii="宋体" w:hAnsi="宋体" w:cs="宋体"/>
          <w:color w:val="000000"/>
        </w:rPr>
        <w:t>发包人和承包人根据《中华人民共和国建筑法》和《建设工程质量管理条例》，经协商一致就</w:t>
      </w:r>
      <w:r>
        <w:rPr>
          <w:rFonts w:ascii="宋体" w:hAnsi="宋体" w:cs="宋体"/>
          <w:color w:val="000000"/>
          <w:u w:val="single"/>
        </w:rPr>
        <w:t xml:space="preserve">                                     </w:t>
      </w:r>
      <w:r>
        <w:rPr>
          <w:rFonts w:hint="eastAsia" w:ascii="宋体" w:hAnsi="宋体" w:cs="宋体"/>
          <w:color w:val="000000"/>
        </w:rPr>
        <w:t>（工程全称）签订工程质量保修书。</w:t>
      </w:r>
    </w:p>
    <w:p>
      <w:pPr>
        <w:spacing w:line="360" w:lineRule="auto"/>
        <w:ind w:firstLine="420" w:firstLineChars="200"/>
        <w:rPr>
          <w:rFonts w:ascii="黑体" w:hAnsi="宋体" w:eastAsia="黑体"/>
          <w:color w:val="000000"/>
        </w:rPr>
      </w:pPr>
      <w:r>
        <w:rPr>
          <w:rFonts w:hint="eastAsia" w:ascii="黑体" w:hAnsi="宋体" w:eastAsia="黑体" w:cs="黑体"/>
          <w:color w:val="000000"/>
        </w:rPr>
        <w:t>一、工程质量保修范围和内容</w:t>
      </w:r>
    </w:p>
    <w:p>
      <w:pPr>
        <w:spacing w:line="360" w:lineRule="auto"/>
        <w:ind w:firstLine="420" w:firstLineChars="200"/>
        <w:rPr>
          <w:rFonts w:ascii="宋体"/>
          <w:color w:val="000000"/>
        </w:rPr>
      </w:pPr>
      <w:r>
        <w:rPr>
          <w:rFonts w:hint="eastAsia" w:ascii="宋体" w:hAnsi="宋体" w:cs="宋体"/>
          <w:color w:val="000000"/>
        </w:rPr>
        <w:t>承包人在质量保修期内，按照有关法律规定和合同约定，承担工程质量保修责任。工程总承包单位应当对其承包的全部建设工程质量负责，分包单位对其分包工程的质量负责，分包不免除工程总承包单位对其承包的全部建设工程所负的质量责任。</w:t>
      </w:r>
    </w:p>
    <w:p>
      <w:pPr>
        <w:spacing w:line="360" w:lineRule="auto"/>
        <w:ind w:firstLine="420" w:firstLineChars="200"/>
        <w:rPr>
          <w:rFonts w:ascii="宋体"/>
          <w:color w:val="000000"/>
        </w:rPr>
      </w:pPr>
      <w:r>
        <w:rPr>
          <w:rFonts w:hint="eastAsia" w:ascii="宋体" w:hAnsi="宋体" w:cs="宋体"/>
          <w:color w:val="000000"/>
        </w:rPr>
        <w:t>质量保修范围包括</w:t>
      </w:r>
      <w:r>
        <w:rPr>
          <w:rFonts w:ascii="宋体" w:hAnsi="宋体" w:cs="宋体"/>
          <w:color w:val="000000"/>
          <w:u w:val="single"/>
        </w:rPr>
        <w:t xml:space="preserve">                                </w:t>
      </w:r>
      <w:r>
        <w:rPr>
          <w:rFonts w:hint="eastAsia" w:ascii="宋体" w:hAnsi="宋体" w:cs="宋体"/>
          <w:color w:val="000000"/>
        </w:rPr>
        <w:t>，以及双方约定的其他项目。具体保修的内容，双方约定如下：</w:t>
      </w:r>
    </w:p>
    <w:p>
      <w:pPr>
        <w:spacing w:line="360" w:lineRule="auto"/>
        <w:ind w:firstLine="420" w:firstLineChars="200"/>
        <w:rPr>
          <w:rFonts w:ascii="宋体"/>
          <w:color w:val="000000"/>
        </w:rPr>
      </w:pPr>
      <w:r>
        <w:rPr>
          <w:rFonts w:ascii="宋体" w:hAnsi="宋体" w:cs="宋体"/>
          <w:color w:val="000000"/>
          <w:u w:val="single"/>
        </w:rPr>
        <w:t xml:space="preserve">                                                                                                                                                              </w:t>
      </w:r>
      <w:r>
        <w:rPr>
          <w:rFonts w:hint="eastAsia" w:ascii="宋体" w:hAnsi="宋体" w:cs="宋体"/>
          <w:color w:val="000000"/>
        </w:rPr>
        <w:t>。</w:t>
      </w:r>
    </w:p>
    <w:p>
      <w:pPr>
        <w:spacing w:line="360" w:lineRule="auto"/>
        <w:ind w:firstLine="420" w:firstLineChars="200"/>
        <w:rPr>
          <w:rFonts w:ascii="黑体" w:hAnsi="宋体" w:eastAsia="黑体"/>
          <w:color w:val="000000"/>
        </w:rPr>
      </w:pPr>
      <w:r>
        <w:rPr>
          <w:rFonts w:hint="eastAsia" w:ascii="黑体" w:hAnsi="宋体" w:eastAsia="黑体" w:cs="黑体"/>
          <w:color w:val="000000"/>
        </w:rPr>
        <w:t>二、质量保修期</w:t>
      </w:r>
    </w:p>
    <w:p>
      <w:pPr>
        <w:spacing w:line="360" w:lineRule="auto"/>
        <w:ind w:firstLine="420" w:firstLineChars="200"/>
        <w:rPr>
          <w:rFonts w:ascii="宋体"/>
          <w:color w:val="000000"/>
        </w:rPr>
      </w:pPr>
      <w:r>
        <w:rPr>
          <w:rFonts w:hint="eastAsia" w:ascii="宋体" w:hAnsi="宋体" w:cs="宋体"/>
          <w:color w:val="000000"/>
        </w:rPr>
        <w:t>根据《建设工程质量管理条例》及有关规定，工程的质量保修期如下：</w:t>
      </w:r>
    </w:p>
    <w:p>
      <w:pPr>
        <w:spacing w:line="360" w:lineRule="auto"/>
        <w:ind w:firstLine="426"/>
        <w:rPr>
          <w:color w:val="000000"/>
        </w:rPr>
      </w:pPr>
      <w:r>
        <w:rPr>
          <w:rFonts w:ascii="宋体" w:hAnsi="宋体" w:cs="宋体"/>
          <w:color w:val="000000"/>
        </w:rPr>
        <w:t>1</w:t>
      </w:r>
      <w:r>
        <w:rPr>
          <w:rFonts w:hint="eastAsia" w:ascii="宋体" w:hAnsi="宋体" w:cs="宋体"/>
          <w:color w:val="000000"/>
        </w:rPr>
        <w:t>．</w:t>
      </w:r>
      <w:r>
        <w:rPr>
          <w:rFonts w:hint="eastAsia" w:cs="宋体"/>
          <w:color w:val="000000"/>
        </w:rPr>
        <w:t>桥梁工程为</w:t>
      </w:r>
      <w:r>
        <w:rPr>
          <w:color w:val="000000"/>
          <w:u w:val="single"/>
        </w:rPr>
        <w:t xml:space="preserve">     </w:t>
      </w:r>
      <w:r>
        <w:rPr>
          <w:rFonts w:hint="eastAsia" w:cs="宋体"/>
          <w:color w:val="000000"/>
        </w:rPr>
        <w:t>年（建议桥梁隧道主体结构工程为设计文件规定的合理使用年限）；</w:t>
      </w:r>
    </w:p>
    <w:p>
      <w:pPr>
        <w:spacing w:line="360" w:lineRule="auto"/>
        <w:ind w:firstLine="426"/>
        <w:rPr>
          <w:color w:val="000000"/>
        </w:rPr>
      </w:pPr>
      <w:r>
        <w:rPr>
          <w:color w:val="000000"/>
        </w:rPr>
        <w:t>2</w:t>
      </w:r>
      <w:r>
        <w:rPr>
          <w:rFonts w:hint="eastAsia" w:ascii="宋体" w:hAnsi="宋体" w:cs="宋体"/>
          <w:color w:val="000000"/>
        </w:rPr>
        <w:t>．</w:t>
      </w:r>
      <w:r>
        <w:rPr>
          <w:rFonts w:hint="eastAsia" w:cs="宋体"/>
          <w:color w:val="000000"/>
        </w:rPr>
        <w:t>道路工程为</w:t>
      </w:r>
      <w:r>
        <w:rPr>
          <w:color w:val="000000"/>
          <w:u w:val="single"/>
        </w:rPr>
        <w:t xml:space="preserve">     </w:t>
      </w:r>
      <w:r>
        <w:rPr>
          <w:rFonts w:hint="eastAsia" w:cs="宋体"/>
          <w:color w:val="000000"/>
        </w:rPr>
        <w:t>年（建议路基、路面、桥面为</w:t>
      </w:r>
      <w:r>
        <w:rPr>
          <w:color w:val="000000"/>
        </w:rPr>
        <w:t>2</w:t>
      </w:r>
      <w:r>
        <w:rPr>
          <w:rFonts w:hint="eastAsia" w:cs="宋体"/>
          <w:color w:val="000000"/>
        </w:rPr>
        <w:t>年）；</w:t>
      </w:r>
    </w:p>
    <w:p>
      <w:pPr>
        <w:spacing w:line="360" w:lineRule="auto"/>
        <w:ind w:firstLine="426"/>
        <w:rPr>
          <w:color w:val="000000"/>
        </w:rPr>
      </w:pPr>
      <w:r>
        <w:rPr>
          <w:color w:val="000000"/>
        </w:rPr>
        <w:t>3</w:t>
      </w:r>
      <w:r>
        <w:rPr>
          <w:rFonts w:hint="eastAsia" w:ascii="宋体" w:hAnsi="宋体" w:cs="宋体"/>
          <w:color w:val="000000"/>
        </w:rPr>
        <w:t>．</w:t>
      </w:r>
      <w:r>
        <w:rPr>
          <w:rFonts w:hint="eastAsia" w:cs="宋体"/>
          <w:color w:val="000000"/>
        </w:rPr>
        <w:t>排水（雨水）工程为</w:t>
      </w:r>
      <w:r>
        <w:rPr>
          <w:color w:val="000000"/>
          <w:u w:val="single"/>
        </w:rPr>
        <w:t xml:space="preserve">     </w:t>
      </w:r>
      <w:r>
        <w:rPr>
          <w:rFonts w:hint="eastAsia" w:cs="宋体"/>
          <w:color w:val="000000"/>
        </w:rPr>
        <w:t>年（建议道路工程中的排水工程为</w:t>
      </w:r>
      <w:r>
        <w:rPr>
          <w:color w:val="000000"/>
        </w:rPr>
        <w:t>3</w:t>
      </w:r>
      <w:r>
        <w:rPr>
          <w:rFonts w:hint="eastAsia" w:cs="宋体"/>
          <w:color w:val="000000"/>
        </w:rPr>
        <w:t>年）；</w:t>
      </w:r>
    </w:p>
    <w:p>
      <w:pPr>
        <w:spacing w:line="360" w:lineRule="auto"/>
        <w:ind w:firstLine="426"/>
        <w:rPr>
          <w:color w:val="000000"/>
        </w:rPr>
      </w:pPr>
      <w:r>
        <w:rPr>
          <w:color w:val="000000"/>
        </w:rPr>
        <w:t>4</w:t>
      </w:r>
      <w:r>
        <w:rPr>
          <w:rFonts w:hint="eastAsia" w:ascii="宋体" w:hAnsi="宋体" w:cs="宋体"/>
          <w:color w:val="000000"/>
        </w:rPr>
        <w:t>．</w:t>
      </w:r>
      <w:r>
        <w:rPr>
          <w:rFonts w:hint="eastAsia" w:cs="宋体"/>
          <w:color w:val="000000"/>
        </w:rPr>
        <w:t>绿化工程为</w:t>
      </w:r>
      <w:r>
        <w:rPr>
          <w:color w:val="000000"/>
        </w:rPr>
        <w:t xml:space="preserve"> </w:t>
      </w:r>
      <w:r>
        <w:rPr>
          <w:rFonts w:hint="eastAsia" w:cs="宋体"/>
          <w:color w:val="000000"/>
          <w:u w:val="single"/>
        </w:rPr>
        <w:t>单位工程竣工验收合格后</w:t>
      </w:r>
      <w:r>
        <w:rPr>
          <w:color w:val="000000"/>
          <w:u w:val="single"/>
        </w:rPr>
        <w:t xml:space="preserve">    </w:t>
      </w:r>
      <w:r>
        <w:rPr>
          <w:rFonts w:hint="eastAsia" w:cs="宋体"/>
          <w:color w:val="000000"/>
          <w:u w:val="single"/>
        </w:rPr>
        <w:t>年</w:t>
      </w:r>
      <w:r>
        <w:rPr>
          <w:rFonts w:hint="eastAsia" w:cs="宋体"/>
          <w:color w:val="000000"/>
        </w:rPr>
        <w:t>；</w:t>
      </w:r>
    </w:p>
    <w:p>
      <w:pPr>
        <w:spacing w:line="360" w:lineRule="auto"/>
        <w:ind w:firstLine="426"/>
        <w:rPr>
          <w:color w:val="000000"/>
        </w:rPr>
      </w:pPr>
      <w:r>
        <w:rPr>
          <w:color w:val="000000"/>
        </w:rPr>
        <w:t xml:space="preserve">5.  </w:t>
      </w:r>
      <w:r>
        <w:rPr>
          <w:rFonts w:hint="eastAsia" w:cs="宋体"/>
          <w:color w:val="000000"/>
        </w:rPr>
        <w:t>地下防水工程为</w:t>
      </w:r>
      <w:r>
        <w:rPr>
          <w:color w:val="000000"/>
          <w:u w:val="single"/>
        </w:rPr>
        <w:t xml:space="preserve">     </w:t>
      </w:r>
      <w:r>
        <w:rPr>
          <w:rFonts w:hint="eastAsia" w:cs="宋体"/>
          <w:color w:val="000000"/>
        </w:rPr>
        <w:t>年（建议为</w:t>
      </w:r>
      <w:r>
        <w:rPr>
          <w:color w:val="000000"/>
        </w:rPr>
        <w:t>5</w:t>
      </w:r>
      <w:r>
        <w:rPr>
          <w:rFonts w:hint="eastAsia" w:cs="宋体"/>
          <w:color w:val="000000"/>
        </w:rPr>
        <w:t>年）；</w:t>
      </w:r>
    </w:p>
    <w:p>
      <w:pPr>
        <w:spacing w:line="360" w:lineRule="auto"/>
        <w:ind w:firstLine="426"/>
        <w:rPr>
          <w:color w:val="000000"/>
        </w:rPr>
      </w:pPr>
      <w:r>
        <w:rPr>
          <w:color w:val="000000"/>
        </w:rPr>
        <w:t>6</w:t>
      </w:r>
      <w:r>
        <w:rPr>
          <w:rFonts w:hint="eastAsia" w:ascii="宋体" w:hAnsi="宋体" w:cs="宋体"/>
          <w:color w:val="000000"/>
        </w:rPr>
        <w:t>．</w:t>
      </w:r>
      <w:r>
        <w:rPr>
          <w:rFonts w:hint="eastAsia" w:cs="宋体"/>
          <w:color w:val="000000"/>
        </w:rPr>
        <w:t>其他附属工程为</w:t>
      </w:r>
      <w:r>
        <w:rPr>
          <w:color w:val="000000"/>
          <w:u w:val="single"/>
        </w:rPr>
        <w:t xml:space="preserve">      </w:t>
      </w:r>
      <w:r>
        <w:rPr>
          <w:rFonts w:hint="eastAsia" w:cs="宋体"/>
          <w:color w:val="000000"/>
        </w:rPr>
        <w:t>年；</w:t>
      </w:r>
    </w:p>
    <w:p>
      <w:pPr>
        <w:spacing w:line="360" w:lineRule="auto"/>
        <w:ind w:firstLine="420" w:firstLineChars="200"/>
        <w:rPr>
          <w:rFonts w:ascii="宋体"/>
          <w:color w:val="000000"/>
        </w:rPr>
      </w:pPr>
      <w:r>
        <w:rPr>
          <w:rFonts w:ascii="宋体" w:hAnsi="宋体" w:cs="宋体"/>
          <w:color w:val="000000"/>
        </w:rPr>
        <w:t>7</w:t>
      </w:r>
      <w:r>
        <w:rPr>
          <w:rFonts w:hint="eastAsia" w:ascii="宋体" w:hAnsi="宋体" w:cs="宋体"/>
          <w:color w:val="000000"/>
        </w:rPr>
        <w:t>．其他项目保修期限约定如下：</w:t>
      </w:r>
    </w:p>
    <w:p>
      <w:pPr>
        <w:spacing w:line="360" w:lineRule="auto"/>
        <w:ind w:firstLine="420" w:firstLineChars="200"/>
        <w:rPr>
          <w:rFonts w:ascii="宋体"/>
          <w:color w:val="000000"/>
        </w:rPr>
      </w:pPr>
      <w:r>
        <w:rPr>
          <w:rFonts w:ascii="宋体" w:hAnsi="宋体" w:cs="宋体"/>
          <w:color w:val="000000"/>
          <w:u w:val="single"/>
        </w:rPr>
        <w:t xml:space="preserve">                                                                                                                                                              </w:t>
      </w:r>
      <w:r>
        <w:rPr>
          <w:rFonts w:hint="eastAsia" w:ascii="宋体" w:hAnsi="宋体" w:cs="宋体"/>
          <w:color w:val="000000"/>
        </w:rPr>
        <w:t>。</w:t>
      </w:r>
    </w:p>
    <w:p>
      <w:pPr>
        <w:spacing w:line="360" w:lineRule="auto"/>
        <w:ind w:firstLine="420" w:firstLineChars="200"/>
        <w:rPr>
          <w:rFonts w:ascii="宋体"/>
          <w:color w:val="000000"/>
        </w:rPr>
      </w:pPr>
      <w:r>
        <w:rPr>
          <w:rFonts w:hint="eastAsia" w:ascii="宋体" w:hAnsi="宋体" w:cs="宋体"/>
          <w:color w:val="000000"/>
        </w:rPr>
        <w:t>质量保修期自工程竣工验收合格之日起计算。</w:t>
      </w:r>
    </w:p>
    <w:p>
      <w:pPr>
        <w:spacing w:line="360" w:lineRule="auto"/>
        <w:ind w:firstLine="420" w:firstLineChars="200"/>
        <w:rPr>
          <w:rFonts w:ascii="黑体" w:hAnsi="宋体" w:eastAsia="黑体"/>
          <w:color w:val="000000"/>
        </w:rPr>
      </w:pPr>
      <w:r>
        <w:rPr>
          <w:rFonts w:hint="eastAsia" w:ascii="黑体" w:hAnsi="宋体" w:eastAsia="黑体" w:cs="黑体"/>
          <w:color w:val="000000"/>
        </w:rPr>
        <w:t>三、缺陷责任期</w:t>
      </w:r>
    </w:p>
    <w:p>
      <w:pPr>
        <w:spacing w:line="360" w:lineRule="auto"/>
        <w:ind w:firstLine="420" w:firstLineChars="200"/>
        <w:rPr>
          <w:rFonts w:ascii="宋体"/>
          <w:color w:val="000000"/>
        </w:rPr>
      </w:pPr>
      <w:r>
        <w:rPr>
          <w:rFonts w:hint="eastAsia" w:ascii="宋体" w:hAnsi="宋体" w:cs="宋体"/>
          <w:color w:val="000000"/>
        </w:rPr>
        <w:t>工程缺陷责任期为</w:t>
      </w:r>
      <w:r>
        <w:rPr>
          <w:rFonts w:ascii="宋体" w:hAnsi="宋体" w:cs="宋体"/>
          <w:color w:val="000000"/>
          <w:u w:val="single"/>
        </w:rPr>
        <w:t xml:space="preserve">         </w:t>
      </w:r>
      <w:r>
        <w:rPr>
          <w:rFonts w:hint="eastAsia" w:ascii="宋体" w:hAnsi="宋体" w:cs="宋体"/>
          <w:color w:val="000000"/>
        </w:rPr>
        <w:t>个月</w:t>
      </w:r>
      <w:r>
        <w:rPr>
          <w:rFonts w:hint="eastAsia" w:hAnsi="宋体" w:cs="宋体"/>
          <w:color w:val="000000"/>
        </w:rPr>
        <w:t>（最长不超过</w:t>
      </w:r>
      <w:r>
        <w:rPr>
          <w:rFonts w:hAnsi="宋体"/>
          <w:color w:val="000000"/>
        </w:rPr>
        <w:t>24</w:t>
      </w:r>
      <w:r>
        <w:rPr>
          <w:rFonts w:hint="eastAsia" w:hAnsi="宋体" w:cs="宋体"/>
          <w:color w:val="000000"/>
        </w:rPr>
        <w:t>个月）</w:t>
      </w:r>
      <w:r>
        <w:rPr>
          <w:rFonts w:hint="eastAsia" w:ascii="宋体" w:hAnsi="宋体" w:cs="宋体"/>
          <w:color w:val="000000"/>
        </w:rPr>
        <w:t>，缺陷责任期自工程竣工验收合格之日起计算。单位工程先于全部工程进行验收，单位工程缺陷责任期自单位工程验收合格之日起算。</w:t>
      </w:r>
    </w:p>
    <w:p>
      <w:pPr>
        <w:spacing w:line="360" w:lineRule="auto"/>
        <w:ind w:firstLine="420" w:firstLineChars="200"/>
        <w:rPr>
          <w:rFonts w:ascii="宋体"/>
          <w:color w:val="000000"/>
        </w:rPr>
      </w:pPr>
      <w:r>
        <w:rPr>
          <w:rFonts w:hint="eastAsia" w:ascii="宋体" w:hAnsi="宋体" w:cs="宋体"/>
          <w:color w:val="000000"/>
        </w:rPr>
        <w:t>缺陷责任期</w:t>
      </w:r>
      <w:r>
        <w:rPr>
          <w:rFonts w:hint="eastAsia" w:hAnsi="宋体" w:cs="宋体"/>
          <w:color w:val="000000"/>
          <w:u w:val="single"/>
        </w:rPr>
        <w:t>满</w:t>
      </w:r>
      <w:r>
        <w:rPr>
          <w:rFonts w:hint="eastAsia" w:ascii="仿宋_GB2312" w:hAnsi="宋体"/>
          <w:color w:val="000000"/>
        </w:rPr>
        <w:t>之日起</w:t>
      </w:r>
      <w:r>
        <w:rPr>
          <w:rFonts w:hint="eastAsia" w:ascii="仿宋_GB2312" w:hAnsi="宋体"/>
          <w:color w:val="000000"/>
          <w:u w:val="single"/>
        </w:rPr>
        <w:t xml:space="preserve"> </w:t>
      </w:r>
      <w:r>
        <w:rPr>
          <w:rFonts w:ascii="仿宋_GB2312" w:hAnsi="宋体"/>
          <w:color w:val="000000"/>
          <w:u w:val="single"/>
        </w:rPr>
        <w:t xml:space="preserve">  </w:t>
      </w:r>
      <w:r>
        <w:rPr>
          <w:rFonts w:hint="eastAsia" w:ascii="仿宋_GB2312" w:hAnsi="宋体"/>
          <w:color w:val="000000"/>
          <w:u w:val="single"/>
        </w:rPr>
        <w:t xml:space="preserve"> </w:t>
      </w:r>
      <w:r>
        <w:rPr>
          <w:rFonts w:hint="eastAsia" w:ascii="仿宋_GB2312" w:hAnsi="宋体"/>
          <w:color w:val="000000"/>
        </w:rPr>
        <w:t>天</w:t>
      </w:r>
      <w:r>
        <w:rPr>
          <w:rFonts w:hint="eastAsia" w:hAnsi="宋体" w:cs="宋体"/>
          <w:color w:val="000000"/>
          <w:u w:val="single"/>
        </w:rPr>
        <w:t>（按</w:t>
      </w:r>
      <w:r>
        <w:rPr>
          <w:rFonts w:hAnsi="宋体" w:cs="宋体"/>
          <w:color w:val="000000"/>
          <w:u w:val="single"/>
        </w:rPr>
        <w:t>合同约定期限）</w:t>
      </w:r>
      <w:r>
        <w:rPr>
          <w:rFonts w:hint="eastAsia" w:hAnsi="宋体" w:cs="宋体"/>
          <w:color w:val="000000"/>
          <w:u w:val="single"/>
        </w:rPr>
        <w:t>，</w:t>
      </w:r>
      <w:r>
        <w:rPr>
          <w:rFonts w:hint="eastAsia" w:ascii="宋体" w:hAnsi="宋体" w:cs="宋体"/>
          <w:color w:val="000000"/>
        </w:rPr>
        <w:t>发包人应退还剩余的质量保证金。</w:t>
      </w:r>
    </w:p>
    <w:p>
      <w:pPr>
        <w:spacing w:line="360" w:lineRule="auto"/>
        <w:ind w:firstLine="420" w:firstLineChars="200"/>
        <w:rPr>
          <w:rFonts w:ascii="黑体" w:hAnsi="宋体" w:eastAsia="黑体"/>
          <w:color w:val="000000"/>
        </w:rPr>
      </w:pPr>
      <w:r>
        <w:rPr>
          <w:rFonts w:hint="eastAsia" w:ascii="黑体" w:hAnsi="宋体" w:eastAsia="黑体" w:cs="黑体"/>
          <w:color w:val="000000"/>
        </w:rPr>
        <w:t>四、质量保修责任</w:t>
      </w:r>
    </w:p>
    <w:p>
      <w:pPr>
        <w:spacing w:line="360" w:lineRule="auto"/>
        <w:ind w:firstLine="420" w:firstLineChars="200"/>
        <w:rPr>
          <w:rFonts w:ascii="宋体"/>
          <w:color w:val="000000"/>
        </w:rPr>
      </w:pPr>
      <w:r>
        <w:rPr>
          <w:rFonts w:ascii="宋体" w:hAnsi="宋体" w:cs="宋体"/>
          <w:color w:val="000000"/>
        </w:rPr>
        <w:t>1</w:t>
      </w:r>
      <w:r>
        <w:rPr>
          <w:rFonts w:hint="eastAsia" w:ascii="宋体" w:hAnsi="宋体" w:cs="宋体"/>
          <w:color w:val="000000"/>
        </w:rPr>
        <w:t>．属于保修范围、内容的项目，承包人应当在接到保修通知之日起</w:t>
      </w:r>
      <w:r>
        <w:rPr>
          <w:rFonts w:ascii="宋体" w:hAnsi="宋体" w:cs="宋体"/>
          <w:color w:val="000000"/>
          <w:u w:val="single"/>
        </w:rPr>
        <w:t xml:space="preserve">      </w:t>
      </w:r>
      <w:r>
        <w:rPr>
          <w:rFonts w:hint="eastAsia" w:ascii="宋体" w:hAnsi="宋体" w:cs="宋体"/>
          <w:color w:val="000000"/>
        </w:rPr>
        <w:t>天内派人保修。承包人不在约定期限内派人保修的，发包人可以委托他人修理</w:t>
      </w:r>
      <w:r>
        <w:rPr>
          <w:rFonts w:hint="eastAsia" w:hAnsi="宋体" w:cs="宋体"/>
          <w:color w:val="000000"/>
        </w:rPr>
        <w:t>，修理费用从质量保证金内扣除。</w:t>
      </w:r>
    </w:p>
    <w:p>
      <w:pPr>
        <w:spacing w:line="360" w:lineRule="auto"/>
        <w:ind w:firstLine="420" w:firstLineChars="200"/>
        <w:rPr>
          <w:rFonts w:ascii="宋体"/>
          <w:color w:val="000000"/>
        </w:rPr>
      </w:pPr>
      <w:r>
        <w:rPr>
          <w:rFonts w:ascii="宋体" w:hAnsi="宋体" w:cs="宋体"/>
          <w:color w:val="000000"/>
        </w:rPr>
        <w:t>2</w:t>
      </w:r>
      <w:r>
        <w:rPr>
          <w:rFonts w:hint="eastAsia" w:ascii="宋体" w:hAnsi="宋体" w:cs="宋体"/>
          <w:color w:val="000000"/>
        </w:rPr>
        <w:t>．发生紧急事故需抢修的，承包人在接到事故通知后，应当立即到达事故现场抢修。</w:t>
      </w:r>
    </w:p>
    <w:p>
      <w:pPr>
        <w:spacing w:line="360" w:lineRule="auto"/>
        <w:ind w:firstLine="420" w:firstLineChars="200"/>
        <w:rPr>
          <w:rFonts w:ascii="宋体"/>
          <w:color w:val="000000"/>
        </w:rPr>
      </w:pPr>
      <w:r>
        <w:rPr>
          <w:rFonts w:ascii="宋体" w:hAnsi="宋体" w:cs="宋体"/>
          <w:color w:val="000000"/>
        </w:rPr>
        <w:t>3</w:t>
      </w:r>
      <w:r>
        <w:rPr>
          <w:rFonts w:hint="eastAsia" w:ascii="宋体" w:hAnsi="宋体" w:cs="宋体"/>
          <w:color w:val="000000"/>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firstLine="420" w:firstLineChars="200"/>
        <w:rPr>
          <w:rFonts w:ascii="宋体"/>
          <w:color w:val="000000"/>
        </w:rPr>
      </w:pPr>
      <w:r>
        <w:rPr>
          <w:rFonts w:ascii="宋体" w:hAnsi="宋体" w:cs="宋体"/>
          <w:color w:val="000000"/>
        </w:rPr>
        <w:t>4</w:t>
      </w:r>
      <w:r>
        <w:rPr>
          <w:rFonts w:hint="eastAsia" w:ascii="宋体" w:hAnsi="宋体" w:cs="宋体"/>
          <w:color w:val="000000"/>
        </w:rPr>
        <w:t>．质量保修完成后，由发包人组织验收。</w:t>
      </w:r>
    </w:p>
    <w:p>
      <w:pPr>
        <w:spacing w:line="360" w:lineRule="auto"/>
        <w:ind w:firstLine="420" w:firstLineChars="200"/>
        <w:rPr>
          <w:rFonts w:ascii="黑体" w:hAnsi="宋体" w:eastAsia="黑体"/>
          <w:color w:val="000000"/>
        </w:rPr>
      </w:pPr>
      <w:r>
        <w:rPr>
          <w:rFonts w:hint="eastAsia" w:ascii="黑体" w:hAnsi="宋体" w:eastAsia="黑体" w:cs="黑体"/>
          <w:color w:val="000000"/>
        </w:rPr>
        <w:t>五、保修费用</w:t>
      </w:r>
    </w:p>
    <w:p>
      <w:pPr>
        <w:spacing w:line="360" w:lineRule="auto"/>
        <w:ind w:firstLine="420" w:firstLineChars="200"/>
        <w:rPr>
          <w:rFonts w:ascii="宋体"/>
          <w:color w:val="000000"/>
        </w:rPr>
      </w:pPr>
      <w:r>
        <w:rPr>
          <w:rFonts w:hint="eastAsia" w:ascii="宋体" w:hAnsi="宋体" w:cs="宋体"/>
          <w:color w:val="000000"/>
        </w:rPr>
        <w:t>保修费用由造成质量缺陷的责任方承担。</w:t>
      </w:r>
    </w:p>
    <w:p>
      <w:pPr>
        <w:spacing w:line="360" w:lineRule="auto"/>
        <w:ind w:firstLine="420" w:firstLineChars="200"/>
        <w:rPr>
          <w:rFonts w:ascii="黑体" w:hAnsi="宋体" w:eastAsia="黑体" w:cs="黑体"/>
          <w:color w:val="000000"/>
          <w:u w:val="single"/>
        </w:rPr>
      </w:pPr>
      <w:r>
        <w:rPr>
          <w:rFonts w:hint="eastAsia" w:ascii="黑体" w:hAnsi="宋体" w:eastAsia="黑体" w:cs="黑体"/>
          <w:color w:val="000000"/>
        </w:rPr>
        <w:t>六、双方约定的其他工程质量保修事项：</w:t>
      </w:r>
      <w:r>
        <w:rPr>
          <w:rFonts w:ascii="黑体" w:hAnsi="宋体" w:eastAsia="黑体" w:cs="黑体"/>
          <w:color w:val="000000"/>
          <w:u w:val="single"/>
        </w:rPr>
        <w:t xml:space="preserve">                                          </w:t>
      </w:r>
    </w:p>
    <w:p>
      <w:pPr>
        <w:spacing w:line="360" w:lineRule="auto"/>
        <w:jc w:val="left"/>
        <w:rPr>
          <w:rFonts w:ascii="宋体"/>
          <w:color w:val="000000"/>
        </w:rPr>
      </w:pPr>
      <w:r>
        <w:rPr>
          <w:rFonts w:ascii="宋体" w:hAnsi="宋体" w:cs="宋体"/>
          <w:color w:val="000000"/>
          <w:u w:val="single"/>
        </w:rPr>
        <w:t xml:space="preserve">                                                                               </w:t>
      </w:r>
      <w:r>
        <w:rPr>
          <w:rFonts w:hint="eastAsia" w:ascii="宋体" w:hAnsi="宋体" w:cs="宋体"/>
          <w:color w:val="000000"/>
        </w:rPr>
        <w:t>。</w:t>
      </w:r>
    </w:p>
    <w:p>
      <w:pPr>
        <w:spacing w:line="360" w:lineRule="auto"/>
        <w:ind w:firstLine="399" w:firstLineChars="190"/>
        <w:rPr>
          <w:rFonts w:ascii="宋体"/>
          <w:color w:val="000000"/>
        </w:rPr>
      </w:pPr>
      <w:r>
        <w:rPr>
          <w:rFonts w:hint="eastAsia" w:ascii="宋体" w:hAnsi="宋体" w:cs="宋体"/>
          <w:color w:val="000000"/>
        </w:rPr>
        <w:t>工程质量保修书由发包人、承包人在工程竣工验收前共同签署，作为施工合同附件，其有效期限至保修期满。</w:t>
      </w:r>
    </w:p>
    <w:p>
      <w:pPr>
        <w:spacing w:line="360" w:lineRule="auto"/>
        <w:ind w:firstLine="420"/>
        <w:rPr>
          <w:rFonts w:ascii="宋体"/>
          <w:color w:val="000000"/>
        </w:rPr>
      </w:pPr>
    </w:p>
    <w:p>
      <w:pPr>
        <w:spacing w:line="360" w:lineRule="auto"/>
        <w:ind w:firstLine="420"/>
        <w:rPr>
          <w:rFonts w:ascii="宋体"/>
          <w:color w:val="000000"/>
        </w:rPr>
      </w:pPr>
    </w:p>
    <w:p>
      <w:pPr>
        <w:spacing w:line="360" w:lineRule="auto"/>
        <w:rPr>
          <w:color w:val="000000"/>
        </w:rPr>
      </w:pPr>
      <w:r>
        <w:rPr>
          <w:rFonts w:hAnsi="宋体"/>
          <w:color w:val="000000"/>
        </w:rPr>
        <w:t>发包人</w:t>
      </w:r>
      <w:r>
        <w:rPr>
          <w:rFonts w:hint="eastAsia"/>
          <w:color w:val="000000"/>
        </w:rPr>
        <w:t>（</w:t>
      </w:r>
      <w:r>
        <w:rPr>
          <w:rFonts w:hAnsi="宋体"/>
          <w:color w:val="000000"/>
        </w:rPr>
        <w:t>公章</w:t>
      </w:r>
      <w:r>
        <w:rPr>
          <w:rFonts w:hint="eastAsia"/>
          <w:color w:val="000000"/>
        </w:rPr>
        <w:t>）</w:t>
      </w:r>
      <w:r>
        <w:rPr>
          <w:rFonts w:hAnsi="宋体"/>
          <w:color w:val="000000"/>
        </w:rPr>
        <w:t>：</w:t>
      </w:r>
      <w:r>
        <w:rPr>
          <w:color w:val="000000"/>
          <w:u w:val="single"/>
        </w:rPr>
        <w:t xml:space="preserve"> </w:t>
      </w:r>
      <w:r>
        <w:rPr>
          <w:rFonts w:ascii="宋体" w:hAnsi="宋体"/>
          <w:color w:val="000000"/>
          <w:u w:val="single"/>
        </w:rPr>
        <w:t></w:t>
      </w:r>
      <w:r>
        <w:rPr>
          <w:color w:val="000000"/>
          <w:u w:val="single"/>
        </w:rPr>
        <w:t xml:space="preserve"> </w:t>
      </w:r>
      <w:r>
        <w:rPr>
          <w:rFonts w:ascii="宋体" w:hAnsi="宋体"/>
          <w:color w:val="000000"/>
          <w:u w:val="single"/>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rFonts w:hAnsi="宋体"/>
          <w:color w:val="000000"/>
        </w:rPr>
        <w:t>承包人</w:t>
      </w:r>
      <w:r>
        <w:rPr>
          <w:rFonts w:hint="eastAsia"/>
          <w:color w:val="000000"/>
        </w:rPr>
        <w:t>（</w:t>
      </w:r>
      <w:r>
        <w:rPr>
          <w:rFonts w:hAnsi="宋体"/>
          <w:color w:val="000000"/>
        </w:rPr>
        <w:t>公章</w:t>
      </w:r>
      <w:r>
        <w:rPr>
          <w:rFonts w:hint="eastAsia"/>
          <w:color w:val="000000"/>
        </w:rPr>
        <w:t>）</w:t>
      </w:r>
      <w:r>
        <w:rPr>
          <w:rFonts w:hAnsi="宋体"/>
          <w:color w:val="000000"/>
        </w:rPr>
        <w:t>：</w:t>
      </w:r>
      <w:r>
        <w:rPr>
          <w:rFonts w:ascii="宋体" w:hAnsi="宋体"/>
          <w:color w:val="000000"/>
          <w:u w:val="single"/>
        </w:rPr>
        <w:t></w:t>
      </w:r>
      <w:r>
        <w:rPr>
          <w:color w:val="000000"/>
          <w:u w:val="single"/>
        </w:rPr>
        <w:t xml:space="preserve">          </w:t>
      </w:r>
      <w:r>
        <w:rPr>
          <w:rFonts w:ascii="宋体" w:hAnsi="宋体"/>
          <w:color w:val="000000"/>
          <w:u w:val="single"/>
        </w:rPr>
        <w:t></w:t>
      </w:r>
    </w:p>
    <w:p>
      <w:pPr>
        <w:spacing w:line="360" w:lineRule="auto"/>
        <w:rPr>
          <w:color w:val="000000"/>
        </w:rPr>
      </w:pPr>
      <w:r>
        <w:rPr>
          <w:rFonts w:hAnsi="宋体"/>
          <w:color w:val="000000"/>
        </w:rPr>
        <w:t>地</w:t>
      </w:r>
      <w:r>
        <w:rPr>
          <w:color w:val="000000"/>
        </w:rPr>
        <w:t xml:space="preserve">  </w:t>
      </w:r>
      <w:r>
        <w:rPr>
          <w:rFonts w:hAnsi="宋体"/>
          <w:color w:val="000000"/>
        </w:rPr>
        <w:t>址：</w:t>
      </w:r>
      <w:r>
        <w:rPr>
          <w:color w:val="000000"/>
          <w:u w:val="single"/>
        </w:rPr>
        <w:t xml:space="preserve"> </w:t>
      </w:r>
      <w:r>
        <w:rPr>
          <w:rFonts w:ascii="宋体" w:hAnsi="宋体"/>
          <w:color w:val="000000"/>
          <w:u w:val="single"/>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rFonts w:hAnsi="宋体"/>
          <w:color w:val="000000"/>
        </w:rPr>
        <w:t>地</w:t>
      </w:r>
      <w:r>
        <w:rPr>
          <w:color w:val="000000"/>
        </w:rPr>
        <w:t xml:space="preserve">  </w:t>
      </w:r>
      <w:r>
        <w:rPr>
          <w:rFonts w:hAnsi="宋体"/>
          <w:color w:val="000000"/>
        </w:rPr>
        <w:t>址：</w:t>
      </w:r>
      <w:r>
        <w:rPr>
          <w:rFonts w:ascii="宋体" w:hAnsi="宋体"/>
          <w:color w:val="000000"/>
          <w:u w:val="single"/>
        </w:rPr>
        <w:t></w:t>
      </w:r>
      <w:r>
        <w:rPr>
          <w:color w:val="000000"/>
          <w:u w:val="single"/>
        </w:rPr>
        <w:t xml:space="preserve"> </w:t>
      </w:r>
      <w:r>
        <w:rPr>
          <w:rFonts w:hint="eastAsia"/>
          <w:color w:val="000000"/>
          <w:u w:val="single"/>
        </w:rPr>
        <w:t xml:space="preserve">     </w:t>
      </w:r>
      <w:r>
        <w:rPr>
          <w:rFonts w:ascii="宋体" w:hAnsi="宋体"/>
          <w:color w:val="000000"/>
          <w:u w:val="single"/>
        </w:rPr>
        <w:t></w:t>
      </w:r>
    </w:p>
    <w:p>
      <w:pPr>
        <w:spacing w:line="360" w:lineRule="auto"/>
        <w:rPr>
          <w:color w:val="000000"/>
        </w:rPr>
      </w:pPr>
      <w:r>
        <w:rPr>
          <w:rFonts w:hAnsi="宋体"/>
          <w:color w:val="000000"/>
        </w:rPr>
        <w:t>法定代表人</w:t>
      </w:r>
      <w:r>
        <w:rPr>
          <w:rFonts w:hint="eastAsia"/>
          <w:color w:val="000000"/>
        </w:rPr>
        <w:t>（</w:t>
      </w:r>
      <w:r>
        <w:rPr>
          <w:rFonts w:hAnsi="宋体"/>
          <w:color w:val="000000"/>
        </w:rPr>
        <w:t>签字</w:t>
      </w:r>
      <w:r>
        <w:rPr>
          <w:rFonts w:hint="eastAsia"/>
          <w:color w:val="000000"/>
        </w:rPr>
        <w:t>）</w:t>
      </w:r>
      <w:r>
        <w:rPr>
          <w:rFonts w:hAnsi="宋体"/>
          <w:color w:val="000000"/>
        </w:rPr>
        <w:t>：</w:t>
      </w:r>
      <w:r>
        <w:rPr>
          <w:rFonts w:ascii="宋体" w:hAnsi="宋体"/>
          <w:color w:val="000000"/>
          <w:u w:val="single"/>
        </w:rPr>
        <w:t></w:t>
      </w:r>
      <w:r>
        <w:rPr>
          <w:color w:val="000000"/>
          <w:u w:val="single"/>
        </w:rPr>
        <w:t xml:space="preserve">      </w:t>
      </w:r>
      <w:r>
        <w:rPr>
          <w:color w:val="000000"/>
        </w:rPr>
        <w:t xml:space="preserve"> </w:t>
      </w:r>
      <w:r>
        <w:rPr>
          <w:rFonts w:hint="eastAsia"/>
          <w:color w:val="000000"/>
        </w:rPr>
        <w:t xml:space="preserve">             </w:t>
      </w:r>
      <w:r>
        <w:rPr>
          <w:rFonts w:hAnsi="宋体"/>
          <w:color w:val="000000"/>
        </w:rPr>
        <w:t>法定代表人</w:t>
      </w:r>
      <w:r>
        <w:rPr>
          <w:rFonts w:hint="eastAsia"/>
          <w:color w:val="000000"/>
        </w:rPr>
        <w:t>（</w:t>
      </w:r>
      <w:r>
        <w:rPr>
          <w:rFonts w:hAnsi="宋体"/>
          <w:color w:val="000000"/>
        </w:rPr>
        <w:t>签字</w:t>
      </w:r>
      <w:r>
        <w:rPr>
          <w:rFonts w:hint="eastAsia"/>
          <w:color w:val="000000"/>
        </w:rPr>
        <w:t>）</w:t>
      </w:r>
      <w:r>
        <w:rPr>
          <w:rFonts w:hAnsi="宋体"/>
          <w:color w:val="000000"/>
        </w:rPr>
        <w:t>：</w:t>
      </w:r>
      <w:r>
        <w:rPr>
          <w:rFonts w:ascii="宋体" w:hAnsi="宋体"/>
          <w:color w:val="000000"/>
          <w:u w:val="single"/>
        </w:rPr>
        <w:t></w:t>
      </w:r>
      <w:r>
        <w:rPr>
          <w:rFonts w:hint="eastAsia" w:ascii="宋体" w:hAnsi="宋体"/>
          <w:color w:val="000000"/>
          <w:u w:val="single"/>
        </w:rPr>
        <w:t xml:space="preserve">     </w:t>
      </w:r>
      <w:r>
        <w:rPr>
          <w:rFonts w:ascii="宋体" w:hAnsi="宋体"/>
          <w:color w:val="000000"/>
          <w:u w:val="single"/>
        </w:rPr>
        <w:t></w:t>
      </w:r>
    </w:p>
    <w:p>
      <w:pPr>
        <w:spacing w:line="360" w:lineRule="auto"/>
        <w:rPr>
          <w:color w:val="000000"/>
        </w:rPr>
      </w:pPr>
      <w:r>
        <w:rPr>
          <w:rFonts w:hAnsi="宋体"/>
          <w:color w:val="000000"/>
        </w:rPr>
        <w:t>委托代理人</w:t>
      </w:r>
      <w:r>
        <w:rPr>
          <w:rFonts w:hint="eastAsia"/>
          <w:color w:val="000000"/>
        </w:rPr>
        <w:t>（</w:t>
      </w:r>
      <w:r>
        <w:rPr>
          <w:rFonts w:hAnsi="宋体"/>
          <w:color w:val="000000"/>
        </w:rPr>
        <w:t>签字</w:t>
      </w:r>
      <w:r>
        <w:rPr>
          <w:rFonts w:hint="eastAsia"/>
          <w:color w:val="000000"/>
        </w:rPr>
        <w:t>）</w:t>
      </w:r>
      <w:r>
        <w:rPr>
          <w:rFonts w:hAnsi="宋体"/>
          <w:color w:val="000000"/>
        </w:rPr>
        <w:t>：</w:t>
      </w:r>
      <w:r>
        <w:rPr>
          <w:rFonts w:ascii="宋体" w:hAnsi="宋体"/>
          <w:color w:val="000000"/>
          <w:u w:val="single"/>
        </w:rPr>
        <w:t></w:t>
      </w:r>
      <w:r>
        <w:rPr>
          <w:color w:val="000000"/>
          <w:u w:val="single"/>
        </w:rPr>
        <w:t xml:space="preserve">      </w:t>
      </w:r>
      <w:r>
        <w:rPr>
          <w:color w:val="000000"/>
        </w:rPr>
        <w:t xml:space="preserve"> </w:t>
      </w:r>
      <w:r>
        <w:rPr>
          <w:rFonts w:hint="eastAsia"/>
          <w:color w:val="000000"/>
        </w:rPr>
        <w:t xml:space="preserve">             </w:t>
      </w:r>
      <w:r>
        <w:rPr>
          <w:rFonts w:hAnsi="宋体"/>
          <w:color w:val="000000"/>
        </w:rPr>
        <w:t>委托代理人</w:t>
      </w:r>
      <w:r>
        <w:rPr>
          <w:rFonts w:hint="eastAsia"/>
          <w:color w:val="000000"/>
        </w:rPr>
        <w:t>（</w:t>
      </w:r>
      <w:r>
        <w:rPr>
          <w:rFonts w:hAnsi="宋体"/>
          <w:color w:val="000000"/>
        </w:rPr>
        <w:t>签字</w:t>
      </w:r>
      <w:r>
        <w:rPr>
          <w:rFonts w:hint="eastAsia"/>
          <w:color w:val="000000"/>
        </w:rPr>
        <w:t>）</w:t>
      </w:r>
      <w:r>
        <w:rPr>
          <w:rFonts w:hAnsi="宋体"/>
          <w:color w:val="000000"/>
        </w:rPr>
        <w:t>：</w:t>
      </w:r>
      <w:r>
        <w:rPr>
          <w:rFonts w:ascii="宋体" w:hAnsi="宋体"/>
          <w:color w:val="000000"/>
          <w:u w:val="single"/>
        </w:rPr>
        <w:t></w:t>
      </w:r>
      <w:r>
        <w:rPr>
          <w:rFonts w:hint="eastAsia" w:ascii="宋体" w:hAnsi="宋体"/>
          <w:color w:val="000000"/>
          <w:u w:val="single"/>
        </w:rPr>
        <w:t xml:space="preserve">     </w:t>
      </w:r>
      <w:r>
        <w:rPr>
          <w:rFonts w:ascii="宋体" w:hAnsi="宋体"/>
          <w:color w:val="000000"/>
          <w:u w:val="single"/>
        </w:rPr>
        <w:t></w:t>
      </w:r>
    </w:p>
    <w:p>
      <w:pPr>
        <w:spacing w:line="360" w:lineRule="auto"/>
        <w:rPr>
          <w:color w:val="000000"/>
        </w:rPr>
      </w:pPr>
      <w:r>
        <w:rPr>
          <w:rFonts w:hAnsi="宋体"/>
          <w:color w:val="000000"/>
        </w:rPr>
        <w:t>电</w:t>
      </w:r>
      <w:r>
        <w:rPr>
          <w:color w:val="000000"/>
        </w:rPr>
        <w:t xml:space="preserve">  </w:t>
      </w:r>
      <w:r>
        <w:rPr>
          <w:rFonts w:hAnsi="宋体"/>
          <w:color w:val="000000"/>
        </w:rPr>
        <w:t>话：</w:t>
      </w:r>
      <w:r>
        <w:rPr>
          <w:rFonts w:ascii="宋体" w:hAnsi="宋体"/>
          <w:color w:val="000000"/>
          <w:u w:val="single"/>
        </w:rPr>
        <w:t></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rFonts w:hAnsi="宋体"/>
          <w:color w:val="000000"/>
        </w:rPr>
        <w:t>电</w:t>
      </w:r>
      <w:r>
        <w:rPr>
          <w:color w:val="000000"/>
        </w:rPr>
        <w:t xml:space="preserve">  </w:t>
      </w:r>
      <w:r>
        <w:rPr>
          <w:rFonts w:hAnsi="宋体"/>
          <w:color w:val="000000"/>
        </w:rPr>
        <w:t>话：</w:t>
      </w:r>
      <w:r>
        <w:rPr>
          <w:rFonts w:ascii="宋体" w:hAnsi="宋体"/>
          <w:color w:val="000000"/>
          <w:u w:val="single"/>
        </w:rPr>
        <w:t></w:t>
      </w:r>
      <w:r>
        <w:rPr>
          <w:rFonts w:hint="eastAsia" w:ascii="宋体" w:hAnsi="宋体"/>
          <w:color w:val="000000"/>
          <w:u w:val="single"/>
        </w:rPr>
        <w:t xml:space="preserve">      </w:t>
      </w:r>
      <w:r>
        <w:rPr>
          <w:rFonts w:ascii="宋体" w:hAnsi="宋体"/>
          <w:color w:val="000000"/>
          <w:u w:val="single"/>
        </w:rPr>
        <w:t></w:t>
      </w:r>
    </w:p>
    <w:p>
      <w:pPr>
        <w:spacing w:line="360" w:lineRule="auto"/>
        <w:rPr>
          <w:color w:val="000000"/>
        </w:rPr>
      </w:pPr>
      <w:r>
        <w:rPr>
          <w:rFonts w:hAnsi="宋体"/>
          <w:color w:val="000000"/>
        </w:rPr>
        <w:t>传</w:t>
      </w:r>
      <w:r>
        <w:rPr>
          <w:color w:val="000000"/>
        </w:rPr>
        <w:t xml:space="preserve">  </w:t>
      </w:r>
      <w:r>
        <w:rPr>
          <w:rFonts w:hAnsi="宋体"/>
          <w:color w:val="000000"/>
        </w:rPr>
        <w:t>真：</w:t>
      </w:r>
      <w:r>
        <w:rPr>
          <w:rFonts w:ascii="宋体" w:hAnsi="宋体"/>
          <w:color w:val="000000"/>
          <w:u w:val="single"/>
        </w:rPr>
        <w:t></w:t>
      </w:r>
      <w:r>
        <w:rPr>
          <w:rFonts w:hint="eastAsia" w:ascii="宋体" w:hAnsi="宋体"/>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rFonts w:hAnsi="宋体"/>
          <w:color w:val="000000"/>
        </w:rPr>
        <w:t>传</w:t>
      </w:r>
      <w:r>
        <w:rPr>
          <w:color w:val="000000"/>
        </w:rPr>
        <w:t xml:space="preserve">  </w:t>
      </w:r>
      <w:r>
        <w:rPr>
          <w:rFonts w:hAnsi="宋体"/>
          <w:color w:val="000000"/>
        </w:rPr>
        <w:t>真：</w:t>
      </w:r>
      <w:r>
        <w:rPr>
          <w:rFonts w:ascii="宋体" w:hAnsi="宋体"/>
          <w:color w:val="000000"/>
          <w:u w:val="single"/>
        </w:rPr>
        <w:t></w:t>
      </w:r>
      <w:r>
        <w:rPr>
          <w:rFonts w:hint="eastAsia" w:ascii="宋体" w:hAnsi="宋体"/>
          <w:color w:val="000000"/>
          <w:u w:val="single"/>
        </w:rPr>
        <w:t xml:space="preserve">  </w:t>
      </w:r>
      <w:r>
        <w:rPr>
          <w:color w:val="000000"/>
          <w:u w:val="single"/>
        </w:rPr>
        <w:t xml:space="preserve">  </w:t>
      </w:r>
      <w:r>
        <w:rPr>
          <w:rFonts w:ascii="宋体" w:hAnsi="宋体"/>
          <w:color w:val="000000"/>
          <w:u w:val="single"/>
        </w:rPr>
        <w:t></w:t>
      </w:r>
    </w:p>
    <w:p>
      <w:pPr>
        <w:spacing w:line="360" w:lineRule="auto"/>
        <w:rPr>
          <w:color w:val="000000"/>
        </w:rPr>
      </w:pPr>
      <w:r>
        <w:rPr>
          <w:rFonts w:hAnsi="宋体"/>
          <w:color w:val="000000"/>
        </w:rPr>
        <w:t>开户银行：</w:t>
      </w:r>
      <w:r>
        <w:rPr>
          <w:rFonts w:ascii="宋体" w:hAnsi="宋体"/>
          <w:color w:val="000000"/>
          <w:u w:val="single"/>
        </w:rPr>
        <w:t></w:t>
      </w:r>
      <w:r>
        <w:rPr>
          <w:rFonts w:hint="eastAsia" w:ascii="宋体" w:hAnsi="宋体"/>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rFonts w:hAnsi="宋体"/>
          <w:color w:val="000000"/>
        </w:rPr>
        <w:t>开户银行：</w:t>
      </w:r>
      <w:r>
        <w:rPr>
          <w:rFonts w:ascii="宋体" w:hAnsi="宋体"/>
          <w:color w:val="000000"/>
          <w:u w:val="single"/>
        </w:rPr>
        <w:t></w:t>
      </w:r>
      <w:r>
        <w:rPr>
          <w:rFonts w:hint="eastAsia" w:ascii="宋体" w:hAnsi="宋体"/>
          <w:color w:val="000000"/>
          <w:u w:val="single"/>
        </w:rPr>
        <w:t xml:space="preserve">  </w:t>
      </w:r>
      <w:r>
        <w:rPr>
          <w:rFonts w:ascii="宋体" w:hAnsi="宋体"/>
          <w:color w:val="000000"/>
          <w:u w:val="single"/>
        </w:rPr>
        <w:t></w:t>
      </w:r>
    </w:p>
    <w:p>
      <w:pPr>
        <w:tabs>
          <w:tab w:val="left" w:pos="2880"/>
          <w:tab w:val="left" w:pos="3060"/>
          <w:tab w:val="left" w:pos="4500"/>
        </w:tabs>
        <w:spacing w:line="360" w:lineRule="auto"/>
        <w:rPr>
          <w:color w:val="000000"/>
        </w:rPr>
      </w:pPr>
      <w:r>
        <w:rPr>
          <w:rFonts w:hAnsi="宋体"/>
          <w:color w:val="000000"/>
        </w:rPr>
        <w:t>账</w:t>
      </w:r>
      <w:r>
        <w:rPr>
          <w:color w:val="000000"/>
        </w:rPr>
        <w:t xml:space="preserve">  </w:t>
      </w:r>
      <w:r>
        <w:rPr>
          <w:rFonts w:hAnsi="宋体"/>
          <w:color w:val="000000"/>
        </w:rPr>
        <w:t>号：</w:t>
      </w:r>
      <w:r>
        <w:rPr>
          <w:rFonts w:ascii="宋体" w:hAnsi="宋体"/>
          <w:color w:val="000000"/>
          <w:u w:val="single"/>
        </w:rPr>
        <w:t></w:t>
      </w:r>
      <w:r>
        <w:rPr>
          <w:color w:val="000000"/>
          <w:u w:val="single"/>
        </w:rPr>
        <w:t xml:space="preserve"> </w:t>
      </w:r>
      <w:r>
        <w:rPr>
          <w:rFonts w:ascii="宋体" w:hAnsi="宋体"/>
          <w:color w:val="000000"/>
          <w:u w:val="single"/>
        </w:rPr>
        <w:t></w:t>
      </w:r>
      <w:r>
        <w:rPr>
          <w:color w:val="000000"/>
          <w:u w:val="single"/>
        </w:rPr>
        <w:t xml:space="preserve">   </w:t>
      </w:r>
      <w:r>
        <w:rPr>
          <w:rFonts w:hint="eastAsia"/>
          <w:color w:val="000000"/>
          <w:u w:val="single"/>
        </w:rPr>
        <w:t xml:space="preserve">  </w:t>
      </w: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rFonts w:hAnsi="宋体"/>
          <w:color w:val="000000"/>
        </w:rPr>
        <w:t>账</w:t>
      </w:r>
      <w:r>
        <w:rPr>
          <w:color w:val="000000"/>
        </w:rPr>
        <w:t xml:space="preserve">  </w:t>
      </w:r>
      <w:r>
        <w:rPr>
          <w:rFonts w:hAnsi="宋体"/>
          <w:color w:val="000000"/>
        </w:rPr>
        <w:t>号：</w:t>
      </w:r>
      <w:r>
        <w:rPr>
          <w:rFonts w:ascii="宋体" w:hAnsi="宋体"/>
          <w:color w:val="000000"/>
          <w:u w:val="single"/>
        </w:rPr>
        <w:t></w:t>
      </w:r>
      <w:r>
        <w:rPr>
          <w:rFonts w:hint="eastAsia" w:ascii="宋体" w:hAnsi="宋体"/>
          <w:color w:val="000000"/>
          <w:u w:val="single"/>
        </w:rPr>
        <w:t xml:space="preserve">    </w:t>
      </w:r>
      <w:r>
        <w:rPr>
          <w:rFonts w:ascii="宋体" w:hAnsi="宋体"/>
          <w:color w:val="000000"/>
          <w:u w:val="single"/>
        </w:rPr>
        <w:t></w:t>
      </w:r>
    </w:p>
    <w:p>
      <w:pPr>
        <w:spacing w:line="360" w:lineRule="auto"/>
        <w:rPr>
          <w:rFonts w:ascii="宋体"/>
          <w:color w:val="000000"/>
          <w:u w:val="single"/>
        </w:rPr>
      </w:pPr>
      <w:r>
        <w:rPr>
          <w:rFonts w:hAnsi="宋体"/>
          <w:color w:val="000000"/>
        </w:rPr>
        <w:t>邮政编码：</w:t>
      </w:r>
      <w:r>
        <w:rPr>
          <w:color w:val="000000"/>
          <w:u w:val="single"/>
        </w:rPr>
        <w:t xml:space="preserve"> </w:t>
      </w:r>
      <w:r>
        <w:rPr>
          <w:rFonts w:ascii="宋体" w:hAnsi="宋体"/>
          <w:color w:val="000000"/>
          <w:u w:val="single"/>
        </w:rPr>
        <w:t></w:t>
      </w:r>
      <w:r>
        <w:rPr>
          <w:rFonts w:hint="eastAsia" w:ascii="宋体" w:hAnsi="宋体"/>
          <w:color w:val="000000"/>
          <w:u w:val="single"/>
        </w:rPr>
        <w:t xml:space="preserve">  </w:t>
      </w:r>
      <w:r>
        <w:rPr>
          <w:color w:val="000000"/>
          <w:u w:val="single"/>
        </w:rPr>
        <w:t xml:space="preserve">    </w:t>
      </w:r>
      <w:r>
        <w:rPr>
          <w:color w:val="000000"/>
        </w:rPr>
        <w:t xml:space="preserve"> </w:t>
      </w:r>
      <w:r>
        <w:rPr>
          <w:rFonts w:hint="eastAsia"/>
          <w:color w:val="000000"/>
        </w:rPr>
        <w:t xml:space="preserve">             </w:t>
      </w:r>
      <w:r>
        <w:rPr>
          <w:rFonts w:hAnsi="宋体"/>
          <w:color w:val="000000"/>
        </w:rPr>
        <w:t>邮政编码：</w:t>
      </w:r>
      <w:r>
        <w:rPr>
          <w:rFonts w:ascii="宋体" w:hAnsi="宋体"/>
          <w:color w:val="000000"/>
          <w:u w:val="single"/>
        </w:rPr>
        <w:t></w:t>
      </w:r>
      <w:r>
        <w:rPr>
          <w:rFonts w:hint="eastAsia" w:ascii="宋体" w:hAnsi="宋体"/>
          <w:color w:val="000000"/>
          <w:u w:val="single"/>
        </w:rPr>
        <w:t xml:space="preserve">   </w:t>
      </w:r>
      <w:r>
        <w:rPr>
          <w:rFonts w:ascii="宋体" w:hAnsi="宋体"/>
          <w:color w:val="000000"/>
          <w:u w:val="single"/>
        </w:rPr>
        <w:t></w:t>
      </w:r>
      <w:r>
        <w:rPr>
          <w:rFonts w:hint="eastAsia" w:ascii="宋体" w:hAnsi="宋体"/>
          <w:color w:val="000000"/>
          <w:u w:val="single"/>
        </w:rPr>
        <w:t xml:space="preserve"> </w:t>
      </w:r>
    </w:p>
    <w:p>
      <w:pPr>
        <w:spacing w:line="360" w:lineRule="auto"/>
        <w:rPr>
          <w:rFonts w:ascii="宋体"/>
          <w:color w:val="000000"/>
        </w:rPr>
      </w:pPr>
    </w:p>
    <w:p>
      <w:pPr>
        <w:spacing w:line="360" w:lineRule="auto"/>
        <w:rPr>
          <w:rFonts w:ascii="宋体"/>
          <w:color w:val="000000"/>
          <w:u w:val="single"/>
        </w:rPr>
      </w:pPr>
    </w:p>
    <w:p>
      <w:pPr>
        <w:spacing w:line="360" w:lineRule="auto"/>
        <w:rPr>
          <w:rFonts w:ascii="宋体"/>
          <w:color w:val="000000"/>
        </w:rPr>
      </w:pPr>
    </w:p>
    <w:p>
      <w:pPr>
        <w:spacing w:line="360" w:lineRule="auto"/>
        <w:rPr>
          <w:rFonts w:ascii="宋体"/>
          <w:color w:val="000000"/>
        </w:rPr>
      </w:pPr>
    </w:p>
    <w:p>
      <w:pPr>
        <w:ind w:firstLine="600"/>
        <w:rPr>
          <w:rFonts w:ascii="仿宋_GB2312" w:eastAsia="仿宋_GB2312"/>
          <w:sz w:val="30"/>
          <w:szCs w:val="30"/>
        </w:rPr>
      </w:pPr>
      <w:r>
        <w:rPr>
          <w:rFonts w:hint="eastAsia" w:ascii="仿宋_GB2312" w:eastAsia="仿宋_GB2312"/>
          <w:sz w:val="30"/>
          <w:szCs w:val="30"/>
        </w:rPr>
        <w:t xml:space="preserve"> </w:t>
      </w:r>
    </w:p>
    <w:p>
      <w:pPr>
        <w:jc w:val="left"/>
        <w:rPr>
          <w:sz w:val="30"/>
          <w:szCs w:val="30"/>
        </w:rPr>
      </w:pPr>
      <w:r>
        <w:rPr>
          <w:sz w:val="30"/>
          <w:szCs w:val="30"/>
        </w:rPr>
        <w:br w:type="page"/>
      </w:r>
    </w:p>
    <w:p/>
    <w:p>
      <w:pPr>
        <w:pStyle w:val="683"/>
        <w:numPr>
          <w:ilvl w:val="0"/>
          <w:numId w:val="0"/>
        </w:numPr>
        <w:jc w:val="left"/>
      </w:pPr>
      <w:bookmarkStart w:id="1712" w:name="_Toc59203255"/>
      <w:bookmarkStart w:id="1713" w:name="_Toc20171897"/>
      <w:bookmarkStart w:id="1714" w:name="_Toc54862356"/>
      <w:r>
        <w:rPr>
          <w:rFonts w:hint="eastAsia"/>
        </w:rPr>
        <w:t>附件4</w:t>
      </w:r>
      <w:r>
        <w:t xml:space="preserve"> </w:t>
      </w:r>
      <w:r>
        <w:rPr>
          <w:rFonts w:hint="eastAsia"/>
        </w:rPr>
        <w:t xml:space="preserve">          </w:t>
      </w:r>
      <w:r>
        <w:t>承包人主要管理人员表</w:t>
      </w:r>
      <w:bookmarkEnd w:id="1712"/>
      <w:bookmarkEnd w:id="1713"/>
      <w:bookmarkEnd w:id="1714"/>
    </w:p>
    <w:tbl>
      <w:tblPr>
        <w:tblStyle w:val="8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05"/>
        <w:gridCol w:w="1418"/>
        <w:gridCol w:w="1134"/>
        <w:gridCol w:w="1134"/>
        <w:gridCol w:w="38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12" w:space="0"/>
              <w:bottom w:val="double" w:color="auto" w:sz="6" w:space="0"/>
            </w:tcBorders>
            <w:noWrap w:val="0"/>
            <w:vAlign w:val="center"/>
          </w:tcPr>
          <w:p>
            <w:pPr>
              <w:pStyle w:val="32"/>
              <w:spacing w:after="0"/>
              <w:ind w:firstLine="420"/>
              <w:rPr>
                <w:rFonts w:ascii="仿宋_GB2312" w:eastAsia="仿宋_GB2312"/>
                <w:szCs w:val="21"/>
              </w:rPr>
            </w:pPr>
            <w:r>
              <w:rPr>
                <w:rFonts w:hint="eastAsia" w:ascii="仿宋_GB2312" w:eastAsia="仿宋_GB2312"/>
                <w:szCs w:val="21"/>
              </w:rPr>
              <w:t>名    称</w:t>
            </w:r>
          </w:p>
        </w:tc>
        <w:tc>
          <w:tcPr>
            <w:tcW w:w="1418" w:type="dxa"/>
            <w:tcBorders>
              <w:top w:val="single" w:color="auto" w:sz="12" w:space="0"/>
              <w:bottom w:val="double" w:color="auto" w:sz="6" w:space="0"/>
            </w:tcBorders>
            <w:noWrap w:val="0"/>
            <w:vAlign w:val="center"/>
          </w:tcPr>
          <w:p>
            <w:pPr>
              <w:pStyle w:val="32"/>
              <w:spacing w:after="0"/>
              <w:ind w:firstLine="420"/>
              <w:rPr>
                <w:rFonts w:ascii="仿宋_GB2312" w:eastAsia="仿宋_GB2312"/>
                <w:szCs w:val="21"/>
              </w:rPr>
            </w:pPr>
            <w:r>
              <w:rPr>
                <w:rFonts w:hint="eastAsia" w:ascii="仿宋_GB2312" w:eastAsia="仿宋_GB2312"/>
                <w:szCs w:val="21"/>
              </w:rPr>
              <w:t>姓名</w:t>
            </w:r>
          </w:p>
        </w:tc>
        <w:tc>
          <w:tcPr>
            <w:tcW w:w="1134" w:type="dxa"/>
            <w:tcBorders>
              <w:top w:val="single" w:color="auto" w:sz="12" w:space="0"/>
              <w:bottom w:val="double" w:color="auto" w:sz="6" w:space="0"/>
            </w:tcBorders>
            <w:noWrap w:val="0"/>
            <w:vAlign w:val="center"/>
          </w:tcPr>
          <w:p>
            <w:pPr>
              <w:pStyle w:val="32"/>
              <w:spacing w:after="0"/>
              <w:ind w:firstLine="420"/>
              <w:rPr>
                <w:rFonts w:ascii="仿宋_GB2312" w:eastAsia="仿宋_GB2312"/>
                <w:szCs w:val="21"/>
              </w:rPr>
            </w:pPr>
            <w:r>
              <w:rPr>
                <w:rFonts w:hint="eastAsia" w:ascii="仿宋_GB2312" w:eastAsia="仿宋_GB2312"/>
                <w:szCs w:val="21"/>
              </w:rPr>
              <w:t>职务</w:t>
            </w:r>
          </w:p>
        </w:tc>
        <w:tc>
          <w:tcPr>
            <w:tcW w:w="1134" w:type="dxa"/>
            <w:tcBorders>
              <w:top w:val="single" w:color="auto" w:sz="12" w:space="0"/>
              <w:bottom w:val="double" w:color="auto" w:sz="6" w:space="0"/>
            </w:tcBorders>
            <w:noWrap w:val="0"/>
            <w:vAlign w:val="center"/>
          </w:tcPr>
          <w:p>
            <w:pPr>
              <w:pStyle w:val="32"/>
              <w:spacing w:after="0"/>
              <w:ind w:firstLine="420"/>
              <w:rPr>
                <w:rFonts w:ascii="仿宋_GB2312" w:eastAsia="仿宋_GB2312"/>
                <w:szCs w:val="21"/>
              </w:rPr>
            </w:pPr>
            <w:r>
              <w:rPr>
                <w:rFonts w:hint="eastAsia" w:ascii="仿宋_GB2312" w:eastAsia="仿宋_GB2312"/>
                <w:szCs w:val="21"/>
              </w:rPr>
              <w:t>职称</w:t>
            </w:r>
          </w:p>
        </w:tc>
        <w:tc>
          <w:tcPr>
            <w:tcW w:w="3896" w:type="dxa"/>
            <w:tcBorders>
              <w:top w:val="single" w:color="auto" w:sz="12" w:space="0"/>
              <w:bottom w:val="double" w:color="auto" w:sz="6" w:space="0"/>
            </w:tcBorders>
            <w:noWrap w:val="0"/>
            <w:vAlign w:val="center"/>
          </w:tcPr>
          <w:p>
            <w:pPr>
              <w:pStyle w:val="32"/>
              <w:spacing w:after="0"/>
              <w:ind w:firstLine="420"/>
              <w:rPr>
                <w:rFonts w:ascii="仿宋_GB2312" w:eastAsia="仿宋_GB2312"/>
                <w:szCs w:val="21"/>
              </w:rPr>
            </w:pPr>
            <w:r>
              <w:rPr>
                <w:rFonts w:hint="eastAsia" w:ascii="仿宋_GB2312" w:eastAsia="仿宋_GB2312"/>
                <w:szCs w:val="21"/>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double" w:color="auto" w:sz="6" w:space="0"/>
              <w:bottom w:val="single" w:color="auto" w:sz="6" w:space="0"/>
            </w:tcBorders>
            <w:noWrap w:val="0"/>
            <w:vAlign w:val="center"/>
          </w:tcPr>
          <w:p>
            <w:pPr>
              <w:pStyle w:val="32"/>
              <w:spacing w:after="0"/>
              <w:ind w:firstLine="420"/>
              <w:rPr>
                <w:rFonts w:ascii="仿宋_GB2312" w:eastAsia="仿宋_GB2312"/>
                <w:szCs w:val="21"/>
              </w:rPr>
            </w:pPr>
            <w:r>
              <w:rPr>
                <w:rFonts w:hint="eastAsia" w:ascii="仿宋_GB2312" w:eastAsia="仿宋_GB2312"/>
                <w:szCs w:val="21"/>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0"/>
            <w:vAlign w:val="center"/>
          </w:tcPr>
          <w:p>
            <w:pPr>
              <w:pStyle w:val="32"/>
              <w:spacing w:after="0"/>
              <w:jc w:val="center"/>
              <w:rPr>
                <w:rFonts w:ascii="仿宋_GB2312" w:eastAsia="仿宋_GB2312"/>
                <w:szCs w:val="21"/>
              </w:rPr>
            </w:pPr>
            <w:r>
              <w:rPr>
                <w:rFonts w:hint="eastAsia" w:ascii="仿宋_GB2312" w:eastAsia="仿宋_GB2312"/>
                <w:szCs w:val="21"/>
              </w:rPr>
              <w:t>项目主管</w:t>
            </w:r>
          </w:p>
        </w:tc>
        <w:tc>
          <w:tcPr>
            <w:tcW w:w="1418" w:type="dxa"/>
            <w:tcBorders>
              <w:top w:val="nil"/>
            </w:tcBorders>
            <w:noWrap w:val="0"/>
            <w:vAlign w:val="center"/>
          </w:tcPr>
          <w:p>
            <w:pPr>
              <w:pStyle w:val="32"/>
              <w:spacing w:after="0"/>
              <w:ind w:firstLine="420"/>
              <w:rPr>
                <w:rFonts w:ascii="仿宋_GB2312" w:eastAsia="仿宋_GB2312"/>
                <w:szCs w:val="21"/>
              </w:rPr>
            </w:pPr>
          </w:p>
        </w:tc>
        <w:tc>
          <w:tcPr>
            <w:tcW w:w="1134" w:type="dxa"/>
            <w:tcBorders>
              <w:top w:val="nil"/>
            </w:tcBorders>
            <w:noWrap w:val="0"/>
            <w:vAlign w:val="center"/>
          </w:tcPr>
          <w:p>
            <w:pPr>
              <w:pStyle w:val="32"/>
              <w:spacing w:after="0"/>
              <w:ind w:firstLine="420"/>
              <w:rPr>
                <w:rFonts w:ascii="仿宋_GB2312" w:eastAsia="仿宋_GB2312"/>
                <w:szCs w:val="21"/>
              </w:rPr>
            </w:pPr>
          </w:p>
        </w:tc>
        <w:tc>
          <w:tcPr>
            <w:tcW w:w="1134" w:type="dxa"/>
            <w:tcBorders>
              <w:top w:val="nil"/>
            </w:tcBorders>
            <w:noWrap w:val="0"/>
            <w:vAlign w:val="center"/>
          </w:tcPr>
          <w:p>
            <w:pPr>
              <w:pStyle w:val="32"/>
              <w:spacing w:after="0"/>
              <w:ind w:firstLine="420"/>
              <w:rPr>
                <w:rFonts w:ascii="仿宋_GB2312" w:eastAsia="仿宋_GB2312"/>
                <w:szCs w:val="21"/>
              </w:rPr>
            </w:pPr>
          </w:p>
        </w:tc>
        <w:tc>
          <w:tcPr>
            <w:tcW w:w="3896" w:type="dxa"/>
            <w:tcBorders>
              <w:top w:val="nil"/>
            </w:tcBorders>
            <w:noWrap w:val="0"/>
            <w:vAlign w:val="center"/>
          </w:tcPr>
          <w:p>
            <w:pPr>
              <w:pStyle w:val="32"/>
              <w:spacing w:after="0"/>
              <w:ind w:firstLine="420"/>
              <w:rPr>
                <w:rFonts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nil"/>
            </w:tcBorders>
            <w:noWrap w:val="0"/>
            <w:vAlign w:val="center"/>
          </w:tcPr>
          <w:p>
            <w:pPr>
              <w:pStyle w:val="32"/>
              <w:spacing w:after="0"/>
              <w:ind w:firstLine="420"/>
              <w:rPr>
                <w:rFonts w:ascii="仿宋_GB2312" w:eastAsia="仿宋_GB2312"/>
                <w:szCs w:val="21"/>
              </w:rPr>
            </w:pPr>
          </w:p>
        </w:tc>
        <w:tc>
          <w:tcPr>
            <w:tcW w:w="1418"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3896" w:type="dxa"/>
            <w:noWrap w:val="0"/>
            <w:vAlign w:val="center"/>
          </w:tcPr>
          <w:p>
            <w:pPr>
              <w:pStyle w:val="32"/>
              <w:spacing w:after="0"/>
              <w:ind w:firstLine="420"/>
              <w:rPr>
                <w:rFonts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0"/>
            <w:vAlign w:val="center"/>
          </w:tcPr>
          <w:p>
            <w:pPr>
              <w:pStyle w:val="32"/>
              <w:spacing w:after="0"/>
              <w:jc w:val="center"/>
              <w:rPr>
                <w:rFonts w:ascii="仿宋_GB2312" w:eastAsia="仿宋_GB2312"/>
                <w:szCs w:val="21"/>
              </w:rPr>
            </w:pPr>
            <w:r>
              <w:rPr>
                <w:rFonts w:hint="eastAsia" w:ascii="仿宋_GB2312" w:eastAsia="仿宋_GB2312"/>
                <w:szCs w:val="21"/>
              </w:rPr>
              <w:t>其他人员</w:t>
            </w:r>
          </w:p>
        </w:tc>
        <w:tc>
          <w:tcPr>
            <w:tcW w:w="1418"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3896" w:type="dxa"/>
            <w:noWrap w:val="0"/>
            <w:vAlign w:val="center"/>
          </w:tcPr>
          <w:p>
            <w:pPr>
              <w:pStyle w:val="32"/>
              <w:spacing w:after="0"/>
              <w:ind w:firstLine="420"/>
              <w:rPr>
                <w:rFonts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0"/>
            <w:vAlign w:val="center"/>
          </w:tcPr>
          <w:p>
            <w:pPr>
              <w:pStyle w:val="32"/>
              <w:spacing w:after="0"/>
              <w:ind w:firstLine="420"/>
              <w:rPr>
                <w:rFonts w:ascii="仿宋_GB2312" w:eastAsia="仿宋_GB2312"/>
                <w:szCs w:val="21"/>
              </w:rPr>
            </w:pPr>
          </w:p>
        </w:tc>
        <w:tc>
          <w:tcPr>
            <w:tcW w:w="1418"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3896" w:type="dxa"/>
            <w:noWrap w:val="0"/>
            <w:vAlign w:val="center"/>
          </w:tcPr>
          <w:p>
            <w:pPr>
              <w:pStyle w:val="32"/>
              <w:spacing w:after="0"/>
              <w:ind w:firstLine="420"/>
              <w:rPr>
                <w:rFonts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single" w:color="auto" w:sz="6" w:space="0"/>
              <w:bottom w:val="single" w:color="auto" w:sz="6" w:space="0"/>
            </w:tcBorders>
            <w:noWrap w:val="0"/>
            <w:vAlign w:val="center"/>
          </w:tcPr>
          <w:p>
            <w:pPr>
              <w:pStyle w:val="32"/>
              <w:spacing w:after="0"/>
              <w:ind w:firstLine="420"/>
              <w:rPr>
                <w:rFonts w:ascii="仿宋_GB2312" w:eastAsia="仿宋_GB2312"/>
                <w:szCs w:val="21"/>
              </w:rPr>
            </w:pPr>
            <w:r>
              <w:rPr>
                <w:rFonts w:hint="eastAsia" w:ascii="仿宋_GB2312" w:eastAsia="仿宋_GB2312"/>
                <w:szCs w:val="21"/>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pPr>
              <w:pStyle w:val="32"/>
              <w:spacing w:after="0"/>
              <w:jc w:val="center"/>
              <w:rPr>
                <w:rFonts w:ascii="仿宋_GB2312" w:eastAsia="仿宋_GB2312"/>
                <w:szCs w:val="21"/>
              </w:rPr>
            </w:pPr>
            <w:r>
              <w:rPr>
                <w:rFonts w:hint="eastAsia" w:ascii="仿宋_GB2312" w:eastAsia="仿宋_GB2312"/>
                <w:szCs w:val="21"/>
              </w:rPr>
              <w:t>工程总承包</w:t>
            </w:r>
          </w:p>
          <w:p>
            <w:pPr>
              <w:pStyle w:val="32"/>
              <w:spacing w:after="0"/>
              <w:jc w:val="center"/>
              <w:rPr>
                <w:rFonts w:ascii="仿宋_GB2312" w:eastAsia="仿宋_GB2312"/>
                <w:szCs w:val="21"/>
              </w:rPr>
            </w:pPr>
            <w:r>
              <w:rPr>
                <w:rFonts w:hint="eastAsia" w:ascii="仿宋_GB2312" w:eastAsia="仿宋_GB2312"/>
                <w:szCs w:val="21"/>
              </w:rPr>
              <w:t>项目经理</w:t>
            </w:r>
          </w:p>
        </w:tc>
        <w:tc>
          <w:tcPr>
            <w:tcW w:w="1418"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3896" w:type="dxa"/>
            <w:noWrap w:val="0"/>
            <w:vAlign w:val="center"/>
          </w:tcPr>
          <w:p>
            <w:pPr>
              <w:pStyle w:val="32"/>
              <w:spacing w:after="0"/>
              <w:ind w:firstLine="420"/>
              <w:rPr>
                <w:rFonts w:ascii="仿宋_GB2312" w:eastAsia="仿宋_GB2312"/>
                <w:szCs w:val="21"/>
              </w:rPr>
            </w:pPr>
          </w:p>
          <w:p>
            <w:pPr>
              <w:pStyle w:val="32"/>
              <w:spacing w:after="0"/>
              <w:ind w:firstLine="420"/>
              <w:rPr>
                <w:rFonts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pPr>
              <w:pStyle w:val="32"/>
              <w:spacing w:after="0"/>
              <w:jc w:val="center"/>
              <w:rPr>
                <w:rFonts w:ascii="仿宋_GB2312" w:eastAsia="仿宋_GB2312"/>
                <w:szCs w:val="21"/>
              </w:rPr>
            </w:pPr>
            <w:r>
              <w:rPr>
                <w:rFonts w:hint="eastAsia" w:ascii="仿宋_GB2312" w:eastAsia="仿宋_GB2312"/>
                <w:szCs w:val="21"/>
              </w:rPr>
              <w:t>项目副经理</w:t>
            </w:r>
          </w:p>
        </w:tc>
        <w:tc>
          <w:tcPr>
            <w:tcW w:w="1418"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3896" w:type="dxa"/>
            <w:noWrap w:val="0"/>
            <w:vAlign w:val="center"/>
          </w:tcPr>
          <w:p>
            <w:pPr>
              <w:pStyle w:val="32"/>
              <w:spacing w:after="0"/>
              <w:ind w:firstLine="420"/>
              <w:rPr>
                <w:rFonts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pPr>
              <w:pStyle w:val="32"/>
              <w:spacing w:after="0"/>
              <w:jc w:val="center"/>
              <w:rPr>
                <w:rFonts w:ascii="仿宋_GB2312" w:eastAsia="仿宋_GB2312"/>
                <w:szCs w:val="21"/>
              </w:rPr>
            </w:pPr>
            <w:r>
              <w:rPr>
                <w:rFonts w:hint="eastAsia" w:ascii="仿宋_GB2312" w:eastAsia="仿宋_GB2312"/>
                <w:szCs w:val="21"/>
              </w:rPr>
              <w:t>设计负责人</w:t>
            </w:r>
          </w:p>
        </w:tc>
        <w:tc>
          <w:tcPr>
            <w:tcW w:w="1418"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3896" w:type="dxa"/>
            <w:noWrap w:val="0"/>
            <w:vAlign w:val="center"/>
          </w:tcPr>
          <w:p>
            <w:pPr>
              <w:pStyle w:val="32"/>
              <w:spacing w:after="0"/>
              <w:ind w:firstLine="420"/>
              <w:rPr>
                <w:rFonts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pPr>
              <w:pStyle w:val="32"/>
              <w:spacing w:after="0"/>
              <w:jc w:val="center"/>
              <w:rPr>
                <w:rFonts w:ascii="仿宋_GB2312" w:eastAsia="仿宋_GB2312"/>
                <w:szCs w:val="21"/>
              </w:rPr>
            </w:pPr>
            <w:r>
              <w:rPr>
                <w:rFonts w:hint="eastAsia" w:ascii="仿宋_GB2312" w:eastAsia="仿宋_GB2312"/>
                <w:szCs w:val="21"/>
              </w:rPr>
              <w:t>采购负责人</w:t>
            </w:r>
          </w:p>
        </w:tc>
        <w:tc>
          <w:tcPr>
            <w:tcW w:w="1418"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3896" w:type="dxa"/>
            <w:noWrap w:val="0"/>
            <w:vAlign w:val="center"/>
          </w:tcPr>
          <w:p>
            <w:pPr>
              <w:pStyle w:val="32"/>
              <w:spacing w:after="0"/>
              <w:ind w:firstLine="420"/>
              <w:rPr>
                <w:rFonts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pPr>
              <w:pStyle w:val="32"/>
              <w:spacing w:after="0"/>
              <w:jc w:val="center"/>
              <w:rPr>
                <w:rFonts w:ascii="仿宋_GB2312" w:eastAsia="仿宋_GB2312"/>
                <w:szCs w:val="21"/>
              </w:rPr>
            </w:pPr>
            <w:r>
              <w:rPr>
                <w:rFonts w:hint="eastAsia" w:ascii="仿宋_GB2312" w:eastAsia="仿宋_GB2312"/>
                <w:szCs w:val="21"/>
              </w:rPr>
              <w:t>施工负责人</w:t>
            </w:r>
          </w:p>
        </w:tc>
        <w:tc>
          <w:tcPr>
            <w:tcW w:w="1418"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3896" w:type="dxa"/>
            <w:noWrap w:val="0"/>
            <w:vAlign w:val="center"/>
          </w:tcPr>
          <w:p>
            <w:pPr>
              <w:pStyle w:val="32"/>
              <w:spacing w:after="0"/>
              <w:ind w:firstLine="420"/>
              <w:rPr>
                <w:rFonts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pPr>
              <w:pStyle w:val="32"/>
              <w:spacing w:after="0"/>
              <w:jc w:val="center"/>
              <w:rPr>
                <w:rFonts w:ascii="仿宋_GB2312" w:eastAsia="仿宋_GB2312"/>
                <w:szCs w:val="21"/>
              </w:rPr>
            </w:pPr>
            <w:r>
              <w:rPr>
                <w:rFonts w:hint="eastAsia" w:ascii="仿宋_GB2312" w:eastAsia="仿宋_GB2312"/>
                <w:szCs w:val="21"/>
              </w:rPr>
              <w:t>技术负责人</w:t>
            </w:r>
          </w:p>
        </w:tc>
        <w:tc>
          <w:tcPr>
            <w:tcW w:w="1418"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3896" w:type="dxa"/>
            <w:noWrap w:val="0"/>
            <w:vAlign w:val="center"/>
          </w:tcPr>
          <w:p>
            <w:pPr>
              <w:pStyle w:val="32"/>
              <w:spacing w:after="0"/>
              <w:ind w:firstLine="420"/>
              <w:rPr>
                <w:rFonts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pPr>
              <w:pStyle w:val="32"/>
              <w:spacing w:after="0"/>
              <w:jc w:val="center"/>
              <w:rPr>
                <w:rFonts w:ascii="仿宋_GB2312" w:eastAsia="仿宋_GB2312"/>
                <w:szCs w:val="21"/>
              </w:rPr>
            </w:pPr>
            <w:r>
              <w:rPr>
                <w:rFonts w:hint="eastAsia" w:ascii="仿宋_GB2312" w:eastAsia="仿宋_GB2312"/>
                <w:szCs w:val="21"/>
              </w:rPr>
              <w:t>造价管理</w:t>
            </w:r>
          </w:p>
        </w:tc>
        <w:tc>
          <w:tcPr>
            <w:tcW w:w="1418"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3896" w:type="dxa"/>
            <w:noWrap w:val="0"/>
            <w:vAlign w:val="center"/>
          </w:tcPr>
          <w:p>
            <w:pPr>
              <w:pStyle w:val="32"/>
              <w:spacing w:after="0"/>
              <w:ind w:firstLine="420"/>
              <w:rPr>
                <w:rFonts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pPr>
              <w:pStyle w:val="32"/>
              <w:spacing w:after="0"/>
              <w:jc w:val="center"/>
              <w:rPr>
                <w:rFonts w:ascii="仿宋_GB2312" w:eastAsia="仿宋_GB2312"/>
                <w:szCs w:val="21"/>
              </w:rPr>
            </w:pPr>
            <w:r>
              <w:rPr>
                <w:rFonts w:hint="eastAsia" w:ascii="仿宋_GB2312" w:eastAsia="仿宋_GB2312"/>
                <w:szCs w:val="21"/>
              </w:rPr>
              <w:t>质量管理</w:t>
            </w:r>
          </w:p>
        </w:tc>
        <w:tc>
          <w:tcPr>
            <w:tcW w:w="1418"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3896" w:type="dxa"/>
            <w:noWrap w:val="0"/>
            <w:vAlign w:val="center"/>
          </w:tcPr>
          <w:p>
            <w:pPr>
              <w:pStyle w:val="32"/>
              <w:spacing w:after="0"/>
              <w:ind w:firstLine="420"/>
              <w:rPr>
                <w:rFonts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pPr>
              <w:pStyle w:val="32"/>
              <w:spacing w:after="0"/>
              <w:jc w:val="center"/>
              <w:rPr>
                <w:rFonts w:ascii="仿宋_GB2312" w:eastAsia="仿宋_GB2312"/>
                <w:szCs w:val="21"/>
              </w:rPr>
            </w:pPr>
            <w:r>
              <w:rPr>
                <w:rFonts w:hint="eastAsia" w:ascii="仿宋_GB2312" w:eastAsia="仿宋_GB2312"/>
                <w:szCs w:val="21"/>
              </w:rPr>
              <w:t>计划管理</w:t>
            </w:r>
          </w:p>
        </w:tc>
        <w:tc>
          <w:tcPr>
            <w:tcW w:w="1418"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3896" w:type="dxa"/>
            <w:noWrap w:val="0"/>
            <w:vAlign w:val="center"/>
          </w:tcPr>
          <w:p>
            <w:pPr>
              <w:pStyle w:val="32"/>
              <w:spacing w:after="0"/>
              <w:ind w:firstLine="420"/>
              <w:rPr>
                <w:rFonts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pPr>
              <w:pStyle w:val="32"/>
              <w:spacing w:after="0"/>
              <w:jc w:val="center"/>
              <w:rPr>
                <w:rFonts w:ascii="仿宋_GB2312" w:eastAsia="仿宋_GB2312"/>
                <w:szCs w:val="21"/>
              </w:rPr>
            </w:pPr>
            <w:r>
              <w:rPr>
                <w:rFonts w:hint="eastAsia" w:ascii="仿宋_GB2312" w:eastAsia="仿宋_GB2312"/>
                <w:szCs w:val="21"/>
              </w:rPr>
              <w:t>安全管理</w:t>
            </w:r>
          </w:p>
        </w:tc>
        <w:tc>
          <w:tcPr>
            <w:tcW w:w="1418"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3896" w:type="dxa"/>
            <w:noWrap w:val="0"/>
            <w:vAlign w:val="center"/>
          </w:tcPr>
          <w:p>
            <w:pPr>
              <w:pStyle w:val="32"/>
              <w:spacing w:after="0"/>
              <w:ind w:firstLine="420"/>
              <w:rPr>
                <w:rFonts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pPr>
              <w:pStyle w:val="32"/>
              <w:spacing w:after="0"/>
              <w:jc w:val="center"/>
              <w:rPr>
                <w:rFonts w:ascii="仿宋_GB2312" w:eastAsia="仿宋_GB2312"/>
                <w:szCs w:val="21"/>
              </w:rPr>
            </w:pPr>
            <w:r>
              <w:rPr>
                <w:rFonts w:hint="eastAsia" w:ascii="仿宋_GB2312" w:eastAsia="仿宋_GB2312"/>
                <w:szCs w:val="21"/>
              </w:rPr>
              <w:t>环境管理</w:t>
            </w:r>
          </w:p>
        </w:tc>
        <w:tc>
          <w:tcPr>
            <w:tcW w:w="1418"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3896" w:type="dxa"/>
            <w:noWrap w:val="0"/>
            <w:vAlign w:val="center"/>
          </w:tcPr>
          <w:p>
            <w:pPr>
              <w:pStyle w:val="32"/>
              <w:spacing w:after="0"/>
              <w:ind w:firstLine="420"/>
              <w:rPr>
                <w:rFonts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restart"/>
            <w:tcBorders>
              <w:top w:val="single" w:color="auto" w:sz="6" w:space="0"/>
            </w:tcBorders>
            <w:noWrap w:val="0"/>
            <w:vAlign w:val="center"/>
          </w:tcPr>
          <w:p>
            <w:pPr>
              <w:pStyle w:val="32"/>
              <w:spacing w:after="0"/>
              <w:jc w:val="center"/>
              <w:rPr>
                <w:rFonts w:ascii="仿宋_GB2312" w:eastAsia="仿宋_GB2312"/>
                <w:szCs w:val="21"/>
              </w:rPr>
            </w:pPr>
            <w:r>
              <w:rPr>
                <w:rFonts w:hint="eastAsia" w:ascii="仿宋_GB2312" w:eastAsia="仿宋_GB2312"/>
                <w:szCs w:val="21"/>
              </w:rPr>
              <w:t>其他人员</w:t>
            </w:r>
          </w:p>
        </w:tc>
        <w:tc>
          <w:tcPr>
            <w:tcW w:w="1418"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3896" w:type="dxa"/>
            <w:noWrap w:val="0"/>
            <w:vAlign w:val="center"/>
          </w:tcPr>
          <w:p>
            <w:pPr>
              <w:pStyle w:val="32"/>
              <w:spacing w:after="0"/>
              <w:ind w:firstLine="420"/>
              <w:rPr>
                <w:rFonts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pPr>
              <w:pStyle w:val="32"/>
              <w:spacing w:after="0"/>
              <w:ind w:firstLine="420"/>
              <w:rPr>
                <w:rFonts w:ascii="仿宋_GB2312" w:eastAsia="仿宋_GB2312"/>
                <w:szCs w:val="21"/>
              </w:rPr>
            </w:pPr>
          </w:p>
        </w:tc>
        <w:tc>
          <w:tcPr>
            <w:tcW w:w="1418" w:type="dxa"/>
            <w:tcBorders>
              <w:bottom w:val="nil"/>
            </w:tcBorders>
            <w:noWrap w:val="0"/>
            <w:vAlign w:val="center"/>
          </w:tcPr>
          <w:p>
            <w:pPr>
              <w:pStyle w:val="32"/>
              <w:spacing w:after="0"/>
              <w:ind w:firstLine="420"/>
              <w:rPr>
                <w:rFonts w:ascii="仿宋_GB2312" w:eastAsia="仿宋_GB2312"/>
                <w:szCs w:val="21"/>
              </w:rPr>
            </w:pPr>
          </w:p>
        </w:tc>
        <w:tc>
          <w:tcPr>
            <w:tcW w:w="1134" w:type="dxa"/>
            <w:tcBorders>
              <w:bottom w:val="nil"/>
            </w:tcBorders>
            <w:noWrap w:val="0"/>
            <w:vAlign w:val="center"/>
          </w:tcPr>
          <w:p>
            <w:pPr>
              <w:pStyle w:val="32"/>
              <w:spacing w:after="0"/>
              <w:ind w:firstLine="420"/>
              <w:rPr>
                <w:rFonts w:ascii="仿宋_GB2312" w:eastAsia="仿宋_GB2312"/>
                <w:szCs w:val="21"/>
              </w:rPr>
            </w:pPr>
          </w:p>
        </w:tc>
        <w:tc>
          <w:tcPr>
            <w:tcW w:w="1134" w:type="dxa"/>
            <w:tcBorders>
              <w:bottom w:val="nil"/>
            </w:tcBorders>
            <w:noWrap w:val="0"/>
            <w:vAlign w:val="center"/>
          </w:tcPr>
          <w:p>
            <w:pPr>
              <w:pStyle w:val="32"/>
              <w:spacing w:after="0"/>
              <w:ind w:firstLine="420"/>
              <w:rPr>
                <w:rFonts w:ascii="仿宋_GB2312" w:eastAsia="仿宋_GB2312"/>
                <w:szCs w:val="21"/>
              </w:rPr>
            </w:pPr>
          </w:p>
        </w:tc>
        <w:tc>
          <w:tcPr>
            <w:tcW w:w="3896" w:type="dxa"/>
            <w:tcBorders>
              <w:bottom w:val="nil"/>
            </w:tcBorders>
            <w:noWrap w:val="0"/>
            <w:vAlign w:val="center"/>
          </w:tcPr>
          <w:p>
            <w:pPr>
              <w:pStyle w:val="32"/>
              <w:spacing w:after="0"/>
              <w:ind w:firstLine="420"/>
              <w:rPr>
                <w:rFonts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pPr>
              <w:pStyle w:val="32"/>
              <w:spacing w:after="0"/>
              <w:ind w:firstLine="420"/>
              <w:rPr>
                <w:rFonts w:ascii="仿宋_GB2312" w:eastAsia="仿宋_GB2312"/>
                <w:szCs w:val="21"/>
              </w:rPr>
            </w:pPr>
          </w:p>
        </w:tc>
        <w:tc>
          <w:tcPr>
            <w:tcW w:w="1418"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3896" w:type="dxa"/>
            <w:noWrap w:val="0"/>
            <w:vAlign w:val="center"/>
          </w:tcPr>
          <w:p>
            <w:pPr>
              <w:pStyle w:val="32"/>
              <w:spacing w:after="0"/>
              <w:ind w:firstLine="420"/>
              <w:rPr>
                <w:rFonts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pPr>
              <w:pStyle w:val="32"/>
              <w:spacing w:after="0"/>
              <w:ind w:firstLine="420"/>
              <w:rPr>
                <w:rFonts w:ascii="仿宋_GB2312" w:eastAsia="仿宋_GB2312"/>
                <w:szCs w:val="21"/>
              </w:rPr>
            </w:pPr>
          </w:p>
        </w:tc>
        <w:tc>
          <w:tcPr>
            <w:tcW w:w="1418"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3896" w:type="dxa"/>
            <w:noWrap w:val="0"/>
            <w:vAlign w:val="center"/>
          </w:tcPr>
          <w:p>
            <w:pPr>
              <w:pStyle w:val="32"/>
              <w:spacing w:after="0"/>
              <w:ind w:firstLine="420"/>
              <w:rPr>
                <w:rFonts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pPr>
              <w:pStyle w:val="32"/>
              <w:spacing w:after="0"/>
              <w:ind w:firstLine="420"/>
              <w:rPr>
                <w:rFonts w:ascii="仿宋_GB2312" w:eastAsia="仿宋_GB2312"/>
                <w:szCs w:val="21"/>
              </w:rPr>
            </w:pPr>
          </w:p>
        </w:tc>
        <w:tc>
          <w:tcPr>
            <w:tcW w:w="1418"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1134" w:type="dxa"/>
            <w:noWrap w:val="0"/>
            <w:vAlign w:val="center"/>
          </w:tcPr>
          <w:p>
            <w:pPr>
              <w:pStyle w:val="32"/>
              <w:spacing w:after="0"/>
              <w:ind w:firstLine="420"/>
              <w:rPr>
                <w:rFonts w:ascii="仿宋_GB2312" w:eastAsia="仿宋_GB2312"/>
                <w:szCs w:val="21"/>
              </w:rPr>
            </w:pPr>
          </w:p>
        </w:tc>
        <w:tc>
          <w:tcPr>
            <w:tcW w:w="3896" w:type="dxa"/>
            <w:noWrap w:val="0"/>
            <w:vAlign w:val="center"/>
          </w:tcPr>
          <w:p>
            <w:pPr>
              <w:pStyle w:val="32"/>
              <w:spacing w:after="0"/>
              <w:ind w:firstLine="420"/>
              <w:rPr>
                <w:rFonts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tcBorders>
              <w:bottom w:val="single" w:color="auto" w:sz="12" w:space="0"/>
            </w:tcBorders>
            <w:noWrap w:val="0"/>
            <w:vAlign w:val="center"/>
          </w:tcPr>
          <w:p>
            <w:pPr>
              <w:pStyle w:val="32"/>
              <w:rPr>
                <w:rFonts w:ascii="仿宋_GB2312" w:eastAsia="仿宋_GB2312"/>
              </w:rPr>
            </w:pPr>
          </w:p>
        </w:tc>
        <w:tc>
          <w:tcPr>
            <w:tcW w:w="1418" w:type="dxa"/>
            <w:tcBorders>
              <w:bottom w:val="single" w:color="auto" w:sz="12" w:space="0"/>
            </w:tcBorders>
            <w:noWrap w:val="0"/>
            <w:vAlign w:val="center"/>
          </w:tcPr>
          <w:p>
            <w:pPr>
              <w:pStyle w:val="32"/>
              <w:rPr>
                <w:rFonts w:ascii="仿宋_GB2312" w:eastAsia="仿宋_GB2312"/>
              </w:rPr>
            </w:pPr>
          </w:p>
        </w:tc>
        <w:tc>
          <w:tcPr>
            <w:tcW w:w="1134" w:type="dxa"/>
            <w:tcBorders>
              <w:bottom w:val="single" w:color="auto" w:sz="12" w:space="0"/>
            </w:tcBorders>
            <w:noWrap w:val="0"/>
            <w:vAlign w:val="center"/>
          </w:tcPr>
          <w:p>
            <w:pPr>
              <w:pStyle w:val="32"/>
              <w:rPr>
                <w:rFonts w:ascii="仿宋_GB2312" w:eastAsia="仿宋_GB2312"/>
              </w:rPr>
            </w:pPr>
          </w:p>
        </w:tc>
        <w:tc>
          <w:tcPr>
            <w:tcW w:w="1134" w:type="dxa"/>
            <w:tcBorders>
              <w:bottom w:val="single" w:color="auto" w:sz="12" w:space="0"/>
            </w:tcBorders>
            <w:noWrap w:val="0"/>
            <w:vAlign w:val="center"/>
          </w:tcPr>
          <w:p>
            <w:pPr>
              <w:pStyle w:val="32"/>
              <w:rPr>
                <w:rFonts w:ascii="仿宋_GB2312" w:eastAsia="仿宋_GB2312"/>
              </w:rPr>
            </w:pPr>
          </w:p>
        </w:tc>
        <w:tc>
          <w:tcPr>
            <w:tcW w:w="3896" w:type="dxa"/>
            <w:tcBorders>
              <w:bottom w:val="single" w:color="auto" w:sz="12" w:space="0"/>
            </w:tcBorders>
            <w:noWrap w:val="0"/>
            <w:vAlign w:val="center"/>
          </w:tcPr>
          <w:p>
            <w:pPr>
              <w:pStyle w:val="32"/>
              <w:rPr>
                <w:rFonts w:ascii="仿宋_GB2312" w:eastAsia="仿宋_GB2312"/>
              </w:rPr>
            </w:pPr>
          </w:p>
        </w:tc>
      </w:tr>
    </w:tbl>
    <w:p>
      <w:r>
        <w:br w:type="page"/>
      </w:r>
    </w:p>
    <w:p>
      <w:pPr>
        <w:pStyle w:val="683"/>
        <w:numPr>
          <w:ilvl w:val="0"/>
          <w:numId w:val="0"/>
        </w:numPr>
        <w:jc w:val="left"/>
      </w:pPr>
      <w:bookmarkStart w:id="1715" w:name="_Toc54862357"/>
      <w:bookmarkStart w:id="1716" w:name="_Toc59203256"/>
      <w:r>
        <w:rPr>
          <w:rFonts w:hint="eastAsia"/>
        </w:rPr>
        <w:t>附件5</w:t>
      </w:r>
      <w:r>
        <w:t xml:space="preserve"> </w:t>
      </w:r>
      <w:r>
        <w:rPr>
          <w:rFonts w:hint="eastAsia"/>
        </w:rPr>
        <w:t xml:space="preserve">             价格指数权重表</w:t>
      </w:r>
      <w:bookmarkEnd w:id="1715"/>
      <w:bookmarkEnd w:id="1716"/>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584"/>
        <w:gridCol w:w="876"/>
        <w:gridCol w:w="1215"/>
        <w:gridCol w:w="1080"/>
        <w:gridCol w:w="1215"/>
        <w:gridCol w:w="1230"/>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29" w:type="dxa"/>
            <w:vMerge w:val="restart"/>
            <w:noWrap w:val="0"/>
            <w:vAlign w:val="top"/>
          </w:tcPr>
          <w:p>
            <w:pPr>
              <w:rPr>
                <w:rFonts w:ascii="仿宋_GB2312" w:eastAsia="仿宋_GB2312"/>
              </w:rPr>
            </w:pPr>
            <w:r>
              <w:rPr>
                <w:rFonts w:hint="eastAsia" w:ascii="仿宋_GB2312" w:eastAsia="仿宋_GB2312"/>
              </w:rPr>
              <w:t>序号</w:t>
            </w:r>
          </w:p>
        </w:tc>
        <w:tc>
          <w:tcPr>
            <w:tcW w:w="1460" w:type="dxa"/>
            <w:gridSpan w:val="2"/>
            <w:vMerge w:val="restart"/>
            <w:noWrap w:val="0"/>
            <w:vAlign w:val="top"/>
          </w:tcPr>
          <w:p>
            <w:pPr>
              <w:rPr>
                <w:rFonts w:ascii="仿宋_GB2312" w:eastAsia="仿宋_GB2312"/>
              </w:rPr>
            </w:pPr>
            <w:r>
              <w:rPr>
                <w:rFonts w:hint="eastAsia" w:ascii="仿宋_GB2312" w:eastAsia="仿宋_GB2312"/>
              </w:rPr>
              <w:t>名称</w:t>
            </w:r>
          </w:p>
        </w:tc>
        <w:tc>
          <w:tcPr>
            <w:tcW w:w="2295" w:type="dxa"/>
            <w:gridSpan w:val="2"/>
            <w:noWrap w:val="0"/>
            <w:vAlign w:val="top"/>
          </w:tcPr>
          <w:p>
            <w:pPr>
              <w:rPr>
                <w:rFonts w:ascii="仿宋_GB2312" w:eastAsia="仿宋_GB2312"/>
              </w:rPr>
            </w:pPr>
            <w:r>
              <w:rPr>
                <w:rFonts w:hint="eastAsia" w:ascii="仿宋_GB2312" w:eastAsia="仿宋_GB2312"/>
              </w:rPr>
              <w:t>变更权重B</w:t>
            </w:r>
          </w:p>
        </w:tc>
        <w:tc>
          <w:tcPr>
            <w:tcW w:w="2445" w:type="dxa"/>
            <w:gridSpan w:val="2"/>
            <w:noWrap w:val="0"/>
            <w:vAlign w:val="top"/>
          </w:tcPr>
          <w:p>
            <w:pPr>
              <w:rPr>
                <w:rFonts w:ascii="仿宋_GB2312" w:eastAsia="仿宋_GB2312"/>
              </w:rPr>
            </w:pPr>
            <w:r>
              <w:rPr>
                <w:rFonts w:hint="eastAsia" w:ascii="仿宋_GB2312" w:eastAsia="仿宋_GB2312"/>
              </w:rPr>
              <w:t>基本价格指数F0</w:t>
            </w:r>
          </w:p>
        </w:tc>
        <w:tc>
          <w:tcPr>
            <w:tcW w:w="1380" w:type="dxa"/>
            <w:noWrap w:val="0"/>
            <w:vAlign w:val="top"/>
          </w:tcPr>
          <w:p>
            <w:pPr>
              <w:rPr>
                <w:rFonts w:ascii="仿宋_GB2312" w:eastAsia="仿宋_GB2312"/>
              </w:rPr>
            </w:pPr>
            <w:r>
              <w:rPr>
                <w:rFonts w:hint="eastAsia" w:ascii="仿宋_GB2312" w:eastAsia="仿宋_GB231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29" w:type="dxa"/>
            <w:vMerge w:val="continue"/>
            <w:noWrap w:val="0"/>
            <w:vAlign w:val="top"/>
          </w:tcPr>
          <w:p>
            <w:pPr>
              <w:rPr>
                <w:rFonts w:ascii="仿宋_GB2312" w:eastAsia="仿宋_GB2312"/>
              </w:rPr>
            </w:pPr>
          </w:p>
        </w:tc>
        <w:tc>
          <w:tcPr>
            <w:tcW w:w="1460" w:type="dxa"/>
            <w:gridSpan w:val="2"/>
            <w:vMerge w:val="continue"/>
            <w:noWrap w:val="0"/>
            <w:vAlign w:val="top"/>
          </w:tcPr>
          <w:p>
            <w:pPr>
              <w:rPr>
                <w:rFonts w:ascii="仿宋_GB2312" w:eastAsia="仿宋_GB2312"/>
              </w:rPr>
            </w:pPr>
          </w:p>
        </w:tc>
        <w:tc>
          <w:tcPr>
            <w:tcW w:w="1215" w:type="dxa"/>
            <w:noWrap w:val="0"/>
            <w:vAlign w:val="top"/>
          </w:tcPr>
          <w:p>
            <w:pPr>
              <w:rPr>
                <w:rFonts w:ascii="仿宋_GB2312" w:eastAsia="仿宋_GB2312"/>
              </w:rPr>
            </w:pPr>
            <w:r>
              <w:rPr>
                <w:rFonts w:hint="eastAsia" w:ascii="仿宋_GB2312" w:eastAsia="仿宋_GB2312"/>
              </w:rPr>
              <w:t>代号</w:t>
            </w:r>
          </w:p>
        </w:tc>
        <w:tc>
          <w:tcPr>
            <w:tcW w:w="1080" w:type="dxa"/>
            <w:noWrap w:val="0"/>
            <w:vAlign w:val="top"/>
          </w:tcPr>
          <w:p>
            <w:pPr>
              <w:rPr>
                <w:rFonts w:ascii="仿宋_GB2312" w:eastAsia="仿宋_GB2312"/>
              </w:rPr>
            </w:pPr>
            <w:r>
              <w:rPr>
                <w:rFonts w:hint="eastAsia" w:ascii="仿宋_GB2312" w:eastAsia="仿宋_GB2312"/>
              </w:rPr>
              <w:t>权重</w:t>
            </w:r>
          </w:p>
        </w:tc>
        <w:tc>
          <w:tcPr>
            <w:tcW w:w="1215" w:type="dxa"/>
            <w:noWrap w:val="0"/>
            <w:vAlign w:val="top"/>
          </w:tcPr>
          <w:p>
            <w:pPr>
              <w:rPr>
                <w:rFonts w:ascii="仿宋_GB2312" w:eastAsia="仿宋_GB2312"/>
              </w:rPr>
            </w:pPr>
            <w:r>
              <w:rPr>
                <w:rFonts w:hint="eastAsia" w:ascii="仿宋_GB2312" w:eastAsia="仿宋_GB2312"/>
              </w:rPr>
              <w:t>代号</w:t>
            </w:r>
          </w:p>
        </w:tc>
        <w:tc>
          <w:tcPr>
            <w:tcW w:w="1230" w:type="dxa"/>
            <w:noWrap w:val="0"/>
            <w:vAlign w:val="top"/>
          </w:tcPr>
          <w:p>
            <w:pPr>
              <w:rPr>
                <w:rFonts w:ascii="仿宋_GB2312" w:eastAsia="仿宋_GB2312"/>
              </w:rPr>
            </w:pPr>
            <w:r>
              <w:rPr>
                <w:rFonts w:hint="eastAsia" w:ascii="仿宋_GB2312" w:eastAsia="仿宋_GB2312"/>
              </w:rPr>
              <w:t>指数</w:t>
            </w:r>
          </w:p>
        </w:tc>
        <w:tc>
          <w:tcPr>
            <w:tcW w:w="1380" w:type="dxa"/>
            <w:noWrap w:val="0"/>
            <w:vAlign w:val="top"/>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rPr>
                <w:rFonts w:ascii="仿宋_GB2312" w:eastAsia="仿宋_GB2312"/>
              </w:rPr>
            </w:pPr>
          </w:p>
        </w:tc>
        <w:tc>
          <w:tcPr>
            <w:tcW w:w="584" w:type="dxa"/>
            <w:vMerge w:val="restart"/>
            <w:noWrap w:val="0"/>
            <w:vAlign w:val="top"/>
          </w:tcPr>
          <w:p>
            <w:pPr>
              <w:rPr>
                <w:rFonts w:ascii="仿宋_GB2312" w:eastAsia="仿宋_GB2312"/>
              </w:rPr>
            </w:pPr>
            <w:r>
              <w:rPr>
                <w:rFonts w:hint="eastAsia" w:ascii="仿宋_GB2312" w:eastAsia="仿宋_GB2312"/>
              </w:rPr>
              <w:t>变</w:t>
            </w:r>
          </w:p>
          <w:p>
            <w:pPr>
              <w:rPr>
                <w:rFonts w:ascii="仿宋_GB2312" w:eastAsia="仿宋_GB2312"/>
              </w:rPr>
            </w:pPr>
            <w:r>
              <w:rPr>
                <w:rFonts w:hint="eastAsia" w:ascii="仿宋_GB2312" w:eastAsia="仿宋_GB2312"/>
              </w:rPr>
              <w:t>值</w:t>
            </w:r>
          </w:p>
          <w:p>
            <w:pPr>
              <w:rPr>
                <w:rFonts w:ascii="仿宋_GB2312" w:eastAsia="仿宋_GB2312"/>
              </w:rPr>
            </w:pPr>
            <w:r>
              <w:rPr>
                <w:rFonts w:hint="eastAsia" w:ascii="仿宋_GB2312" w:eastAsia="仿宋_GB2312"/>
              </w:rPr>
              <w:t>部</w:t>
            </w:r>
          </w:p>
          <w:p>
            <w:pPr>
              <w:rPr>
                <w:rFonts w:ascii="仿宋_GB2312" w:eastAsia="仿宋_GB2312"/>
              </w:rPr>
            </w:pPr>
            <w:r>
              <w:rPr>
                <w:rFonts w:hint="eastAsia" w:ascii="仿宋_GB2312" w:eastAsia="仿宋_GB2312"/>
              </w:rPr>
              <w:t>分</w:t>
            </w:r>
          </w:p>
        </w:tc>
        <w:tc>
          <w:tcPr>
            <w:tcW w:w="876" w:type="dxa"/>
            <w:noWrap w:val="0"/>
            <w:vAlign w:val="top"/>
          </w:tcPr>
          <w:p>
            <w:pPr>
              <w:rPr>
                <w:rFonts w:ascii="仿宋_GB2312" w:eastAsia="仿宋_GB2312"/>
              </w:rPr>
            </w:pPr>
          </w:p>
        </w:tc>
        <w:tc>
          <w:tcPr>
            <w:tcW w:w="1215" w:type="dxa"/>
            <w:noWrap w:val="0"/>
            <w:vAlign w:val="top"/>
          </w:tcPr>
          <w:p>
            <w:pPr>
              <w:rPr>
                <w:rFonts w:ascii="仿宋_GB2312" w:eastAsia="仿宋_GB2312"/>
              </w:rPr>
            </w:pPr>
            <w:r>
              <w:rPr>
                <w:rFonts w:hint="eastAsia" w:ascii="仿宋_GB2312" w:eastAsia="仿宋_GB2312"/>
              </w:rPr>
              <w:t>B1</w:t>
            </w:r>
          </w:p>
        </w:tc>
        <w:tc>
          <w:tcPr>
            <w:tcW w:w="1080" w:type="dxa"/>
            <w:noWrap w:val="0"/>
            <w:vAlign w:val="top"/>
          </w:tcPr>
          <w:p>
            <w:pPr>
              <w:rPr>
                <w:rFonts w:ascii="仿宋_GB2312" w:eastAsia="仿宋_GB2312"/>
              </w:rPr>
            </w:pPr>
          </w:p>
        </w:tc>
        <w:tc>
          <w:tcPr>
            <w:tcW w:w="1215" w:type="dxa"/>
            <w:noWrap w:val="0"/>
            <w:vAlign w:val="top"/>
          </w:tcPr>
          <w:p>
            <w:pPr>
              <w:rPr>
                <w:rFonts w:ascii="仿宋_GB2312" w:eastAsia="仿宋_GB2312"/>
              </w:rPr>
            </w:pPr>
            <w:r>
              <w:rPr>
                <w:rFonts w:hint="eastAsia" w:ascii="仿宋_GB2312" w:eastAsia="仿宋_GB2312"/>
              </w:rPr>
              <w:t>F01</w:t>
            </w:r>
          </w:p>
        </w:tc>
        <w:tc>
          <w:tcPr>
            <w:tcW w:w="1230" w:type="dxa"/>
            <w:noWrap w:val="0"/>
            <w:vAlign w:val="top"/>
          </w:tcPr>
          <w:p>
            <w:pPr>
              <w:rPr>
                <w:rFonts w:ascii="仿宋_GB2312" w:eastAsia="仿宋_GB2312"/>
              </w:rPr>
            </w:pPr>
          </w:p>
        </w:tc>
        <w:tc>
          <w:tcPr>
            <w:tcW w:w="1380" w:type="dxa"/>
            <w:noWrap w:val="0"/>
            <w:vAlign w:val="top"/>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rPr>
                <w:rFonts w:ascii="仿宋_GB2312" w:eastAsia="仿宋_GB2312"/>
              </w:rPr>
            </w:pPr>
          </w:p>
        </w:tc>
        <w:tc>
          <w:tcPr>
            <w:tcW w:w="584" w:type="dxa"/>
            <w:vMerge w:val="continue"/>
            <w:noWrap w:val="0"/>
            <w:vAlign w:val="top"/>
          </w:tcPr>
          <w:p>
            <w:pPr>
              <w:rPr>
                <w:rFonts w:ascii="仿宋_GB2312" w:eastAsia="仿宋_GB2312"/>
              </w:rPr>
            </w:pPr>
          </w:p>
        </w:tc>
        <w:tc>
          <w:tcPr>
            <w:tcW w:w="876" w:type="dxa"/>
            <w:noWrap w:val="0"/>
            <w:vAlign w:val="top"/>
          </w:tcPr>
          <w:p>
            <w:pPr>
              <w:rPr>
                <w:rFonts w:ascii="仿宋_GB2312" w:eastAsia="仿宋_GB2312"/>
              </w:rPr>
            </w:pPr>
          </w:p>
        </w:tc>
        <w:tc>
          <w:tcPr>
            <w:tcW w:w="1215" w:type="dxa"/>
            <w:noWrap w:val="0"/>
            <w:vAlign w:val="top"/>
          </w:tcPr>
          <w:p>
            <w:pPr>
              <w:rPr>
                <w:rFonts w:ascii="仿宋_GB2312" w:eastAsia="仿宋_GB2312"/>
              </w:rPr>
            </w:pPr>
            <w:r>
              <w:rPr>
                <w:rFonts w:hint="eastAsia" w:ascii="仿宋_GB2312" w:eastAsia="仿宋_GB2312"/>
              </w:rPr>
              <w:t>B2</w:t>
            </w:r>
          </w:p>
        </w:tc>
        <w:tc>
          <w:tcPr>
            <w:tcW w:w="1080" w:type="dxa"/>
            <w:noWrap w:val="0"/>
            <w:vAlign w:val="top"/>
          </w:tcPr>
          <w:p>
            <w:pPr>
              <w:rPr>
                <w:rFonts w:ascii="仿宋_GB2312" w:eastAsia="仿宋_GB2312"/>
              </w:rPr>
            </w:pPr>
          </w:p>
        </w:tc>
        <w:tc>
          <w:tcPr>
            <w:tcW w:w="1215" w:type="dxa"/>
            <w:noWrap w:val="0"/>
            <w:vAlign w:val="top"/>
          </w:tcPr>
          <w:p>
            <w:pPr>
              <w:rPr>
                <w:rFonts w:ascii="仿宋_GB2312" w:eastAsia="仿宋_GB2312"/>
              </w:rPr>
            </w:pPr>
            <w:r>
              <w:rPr>
                <w:rFonts w:hint="eastAsia" w:ascii="仿宋_GB2312" w:eastAsia="仿宋_GB2312"/>
              </w:rPr>
              <w:t>F02</w:t>
            </w:r>
          </w:p>
        </w:tc>
        <w:tc>
          <w:tcPr>
            <w:tcW w:w="1230" w:type="dxa"/>
            <w:noWrap w:val="0"/>
            <w:vAlign w:val="top"/>
          </w:tcPr>
          <w:p>
            <w:pPr>
              <w:rPr>
                <w:rFonts w:ascii="仿宋_GB2312" w:eastAsia="仿宋_GB2312"/>
              </w:rPr>
            </w:pPr>
          </w:p>
        </w:tc>
        <w:tc>
          <w:tcPr>
            <w:tcW w:w="1380" w:type="dxa"/>
            <w:noWrap w:val="0"/>
            <w:vAlign w:val="top"/>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rPr>
                <w:rFonts w:ascii="仿宋_GB2312" w:eastAsia="仿宋_GB2312"/>
              </w:rPr>
            </w:pPr>
          </w:p>
        </w:tc>
        <w:tc>
          <w:tcPr>
            <w:tcW w:w="584" w:type="dxa"/>
            <w:vMerge w:val="continue"/>
            <w:noWrap w:val="0"/>
            <w:vAlign w:val="top"/>
          </w:tcPr>
          <w:p>
            <w:pPr>
              <w:rPr>
                <w:rFonts w:ascii="仿宋_GB2312" w:eastAsia="仿宋_GB2312"/>
              </w:rPr>
            </w:pPr>
          </w:p>
        </w:tc>
        <w:tc>
          <w:tcPr>
            <w:tcW w:w="876" w:type="dxa"/>
            <w:noWrap w:val="0"/>
            <w:vAlign w:val="top"/>
          </w:tcPr>
          <w:p>
            <w:pPr>
              <w:rPr>
                <w:rFonts w:ascii="仿宋_GB2312" w:eastAsia="仿宋_GB2312"/>
              </w:rPr>
            </w:pPr>
          </w:p>
        </w:tc>
        <w:tc>
          <w:tcPr>
            <w:tcW w:w="1215" w:type="dxa"/>
            <w:noWrap w:val="0"/>
            <w:vAlign w:val="top"/>
          </w:tcPr>
          <w:p>
            <w:pPr>
              <w:rPr>
                <w:rFonts w:ascii="仿宋_GB2312" w:eastAsia="仿宋_GB2312"/>
              </w:rPr>
            </w:pPr>
            <w:r>
              <w:rPr>
                <w:rFonts w:hint="eastAsia" w:ascii="仿宋_GB2312" w:eastAsia="仿宋_GB2312"/>
              </w:rPr>
              <w:t>B3</w:t>
            </w:r>
          </w:p>
        </w:tc>
        <w:tc>
          <w:tcPr>
            <w:tcW w:w="1080" w:type="dxa"/>
            <w:noWrap w:val="0"/>
            <w:vAlign w:val="top"/>
          </w:tcPr>
          <w:p>
            <w:pPr>
              <w:rPr>
                <w:rFonts w:ascii="仿宋_GB2312" w:eastAsia="仿宋_GB2312"/>
              </w:rPr>
            </w:pPr>
          </w:p>
        </w:tc>
        <w:tc>
          <w:tcPr>
            <w:tcW w:w="1215" w:type="dxa"/>
            <w:noWrap w:val="0"/>
            <w:vAlign w:val="top"/>
          </w:tcPr>
          <w:p>
            <w:pPr>
              <w:rPr>
                <w:rFonts w:ascii="仿宋_GB2312" w:eastAsia="仿宋_GB2312"/>
              </w:rPr>
            </w:pPr>
            <w:r>
              <w:rPr>
                <w:rFonts w:hint="eastAsia" w:ascii="仿宋_GB2312" w:eastAsia="仿宋_GB2312"/>
              </w:rPr>
              <w:t>F03</w:t>
            </w:r>
          </w:p>
        </w:tc>
        <w:tc>
          <w:tcPr>
            <w:tcW w:w="1230" w:type="dxa"/>
            <w:noWrap w:val="0"/>
            <w:vAlign w:val="top"/>
          </w:tcPr>
          <w:p>
            <w:pPr>
              <w:rPr>
                <w:rFonts w:ascii="仿宋_GB2312" w:eastAsia="仿宋_GB2312"/>
              </w:rPr>
            </w:pPr>
          </w:p>
        </w:tc>
        <w:tc>
          <w:tcPr>
            <w:tcW w:w="1380" w:type="dxa"/>
            <w:noWrap w:val="0"/>
            <w:vAlign w:val="top"/>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rPr>
                <w:rFonts w:ascii="仿宋_GB2312" w:eastAsia="仿宋_GB2312"/>
              </w:rPr>
            </w:pPr>
          </w:p>
        </w:tc>
        <w:tc>
          <w:tcPr>
            <w:tcW w:w="584" w:type="dxa"/>
            <w:vMerge w:val="continue"/>
            <w:noWrap w:val="0"/>
            <w:vAlign w:val="top"/>
          </w:tcPr>
          <w:p>
            <w:pPr>
              <w:rPr>
                <w:rFonts w:ascii="仿宋_GB2312" w:eastAsia="仿宋_GB2312"/>
              </w:rPr>
            </w:pPr>
          </w:p>
        </w:tc>
        <w:tc>
          <w:tcPr>
            <w:tcW w:w="876" w:type="dxa"/>
            <w:noWrap w:val="0"/>
            <w:vAlign w:val="top"/>
          </w:tcPr>
          <w:p>
            <w:pPr>
              <w:rPr>
                <w:rFonts w:ascii="仿宋_GB2312" w:eastAsia="仿宋_GB2312"/>
              </w:rPr>
            </w:pPr>
          </w:p>
        </w:tc>
        <w:tc>
          <w:tcPr>
            <w:tcW w:w="1215" w:type="dxa"/>
            <w:noWrap w:val="0"/>
            <w:vAlign w:val="top"/>
          </w:tcPr>
          <w:p>
            <w:pPr>
              <w:rPr>
                <w:rFonts w:ascii="仿宋_GB2312" w:eastAsia="仿宋_GB2312"/>
              </w:rPr>
            </w:pPr>
            <w:r>
              <w:rPr>
                <w:rFonts w:hint="eastAsia" w:ascii="仿宋_GB2312" w:eastAsia="仿宋_GB2312"/>
              </w:rPr>
              <w:t>B4</w:t>
            </w:r>
          </w:p>
        </w:tc>
        <w:tc>
          <w:tcPr>
            <w:tcW w:w="1080" w:type="dxa"/>
            <w:noWrap w:val="0"/>
            <w:vAlign w:val="top"/>
          </w:tcPr>
          <w:p>
            <w:pPr>
              <w:rPr>
                <w:rFonts w:ascii="仿宋_GB2312" w:eastAsia="仿宋_GB2312"/>
              </w:rPr>
            </w:pPr>
          </w:p>
        </w:tc>
        <w:tc>
          <w:tcPr>
            <w:tcW w:w="1215" w:type="dxa"/>
            <w:noWrap w:val="0"/>
            <w:vAlign w:val="top"/>
          </w:tcPr>
          <w:p>
            <w:pPr>
              <w:rPr>
                <w:rFonts w:ascii="仿宋_GB2312" w:eastAsia="仿宋_GB2312"/>
              </w:rPr>
            </w:pPr>
            <w:r>
              <w:rPr>
                <w:rFonts w:hint="eastAsia" w:ascii="仿宋_GB2312" w:eastAsia="仿宋_GB2312"/>
              </w:rPr>
              <w:t>F04</w:t>
            </w:r>
          </w:p>
        </w:tc>
        <w:tc>
          <w:tcPr>
            <w:tcW w:w="1230" w:type="dxa"/>
            <w:noWrap w:val="0"/>
            <w:vAlign w:val="top"/>
          </w:tcPr>
          <w:p>
            <w:pPr>
              <w:rPr>
                <w:rFonts w:ascii="仿宋_GB2312" w:eastAsia="仿宋_GB2312"/>
              </w:rPr>
            </w:pPr>
          </w:p>
        </w:tc>
        <w:tc>
          <w:tcPr>
            <w:tcW w:w="1380" w:type="dxa"/>
            <w:noWrap w:val="0"/>
            <w:vAlign w:val="top"/>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rPr>
                <w:rFonts w:ascii="仿宋_GB2312" w:eastAsia="仿宋_GB2312"/>
              </w:rPr>
            </w:pPr>
          </w:p>
        </w:tc>
        <w:tc>
          <w:tcPr>
            <w:tcW w:w="584" w:type="dxa"/>
            <w:vMerge w:val="continue"/>
            <w:noWrap w:val="0"/>
            <w:vAlign w:val="top"/>
          </w:tcPr>
          <w:p>
            <w:pPr>
              <w:rPr>
                <w:rFonts w:ascii="仿宋_GB2312" w:eastAsia="仿宋_GB2312"/>
              </w:rPr>
            </w:pPr>
          </w:p>
        </w:tc>
        <w:tc>
          <w:tcPr>
            <w:tcW w:w="876" w:type="dxa"/>
            <w:noWrap w:val="0"/>
            <w:vAlign w:val="top"/>
          </w:tcPr>
          <w:p>
            <w:pPr>
              <w:rPr>
                <w:rFonts w:ascii="仿宋_GB2312" w:eastAsia="仿宋_GB2312"/>
              </w:rPr>
            </w:pPr>
          </w:p>
        </w:tc>
        <w:tc>
          <w:tcPr>
            <w:tcW w:w="1215" w:type="dxa"/>
            <w:noWrap w:val="0"/>
            <w:vAlign w:val="top"/>
          </w:tcPr>
          <w:p>
            <w:pPr>
              <w:rPr>
                <w:rFonts w:ascii="仿宋_GB2312" w:eastAsia="仿宋_GB2312"/>
              </w:rPr>
            </w:pPr>
          </w:p>
        </w:tc>
        <w:tc>
          <w:tcPr>
            <w:tcW w:w="1080" w:type="dxa"/>
            <w:noWrap w:val="0"/>
            <w:vAlign w:val="top"/>
          </w:tcPr>
          <w:p>
            <w:pPr>
              <w:rPr>
                <w:rFonts w:ascii="仿宋_GB2312" w:eastAsia="仿宋_GB2312"/>
              </w:rPr>
            </w:pPr>
          </w:p>
        </w:tc>
        <w:tc>
          <w:tcPr>
            <w:tcW w:w="1215" w:type="dxa"/>
            <w:noWrap w:val="0"/>
            <w:vAlign w:val="top"/>
          </w:tcPr>
          <w:p>
            <w:pPr>
              <w:rPr>
                <w:rFonts w:ascii="仿宋_GB2312" w:eastAsia="仿宋_GB2312"/>
              </w:rPr>
            </w:pPr>
          </w:p>
        </w:tc>
        <w:tc>
          <w:tcPr>
            <w:tcW w:w="1230" w:type="dxa"/>
            <w:noWrap w:val="0"/>
            <w:vAlign w:val="top"/>
          </w:tcPr>
          <w:p>
            <w:pPr>
              <w:rPr>
                <w:rFonts w:ascii="仿宋_GB2312" w:eastAsia="仿宋_GB2312"/>
              </w:rPr>
            </w:pPr>
          </w:p>
        </w:tc>
        <w:tc>
          <w:tcPr>
            <w:tcW w:w="1380" w:type="dxa"/>
            <w:noWrap w:val="0"/>
            <w:vAlign w:val="top"/>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rPr>
                <w:rFonts w:ascii="仿宋_GB2312" w:eastAsia="仿宋_GB2312"/>
              </w:rPr>
            </w:pPr>
          </w:p>
        </w:tc>
        <w:tc>
          <w:tcPr>
            <w:tcW w:w="584" w:type="dxa"/>
            <w:vMerge w:val="continue"/>
            <w:noWrap w:val="0"/>
            <w:vAlign w:val="top"/>
          </w:tcPr>
          <w:p>
            <w:pPr>
              <w:rPr>
                <w:rFonts w:ascii="仿宋_GB2312" w:eastAsia="仿宋_GB2312"/>
              </w:rPr>
            </w:pPr>
          </w:p>
        </w:tc>
        <w:tc>
          <w:tcPr>
            <w:tcW w:w="876" w:type="dxa"/>
            <w:noWrap w:val="0"/>
            <w:vAlign w:val="top"/>
          </w:tcPr>
          <w:p>
            <w:pPr>
              <w:rPr>
                <w:rFonts w:ascii="仿宋_GB2312" w:eastAsia="仿宋_GB2312"/>
              </w:rPr>
            </w:pPr>
          </w:p>
        </w:tc>
        <w:tc>
          <w:tcPr>
            <w:tcW w:w="1215" w:type="dxa"/>
            <w:noWrap w:val="0"/>
            <w:vAlign w:val="top"/>
          </w:tcPr>
          <w:p>
            <w:pPr>
              <w:rPr>
                <w:rFonts w:ascii="仿宋_GB2312" w:eastAsia="仿宋_GB2312"/>
              </w:rPr>
            </w:pPr>
          </w:p>
        </w:tc>
        <w:tc>
          <w:tcPr>
            <w:tcW w:w="1080" w:type="dxa"/>
            <w:noWrap w:val="0"/>
            <w:vAlign w:val="top"/>
          </w:tcPr>
          <w:p>
            <w:pPr>
              <w:rPr>
                <w:rFonts w:ascii="仿宋_GB2312" w:eastAsia="仿宋_GB2312"/>
              </w:rPr>
            </w:pPr>
          </w:p>
        </w:tc>
        <w:tc>
          <w:tcPr>
            <w:tcW w:w="1215" w:type="dxa"/>
            <w:noWrap w:val="0"/>
            <w:vAlign w:val="top"/>
          </w:tcPr>
          <w:p>
            <w:pPr>
              <w:rPr>
                <w:rFonts w:ascii="仿宋_GB2312" w:eastAsia="仿宋_GB2312"/>
              </w:rPr>
            </w:pPr>
          </w:p>
        </w:tc>
        <w:tc>
          <w:tcPr>
            <w:tcW w:w="1230" w:type="dxa"/>
            <w:noWrap w:val="0"/>
            <w:vAlign w:val="top"/>
          </w:tcPr>
          <w:p>
            <w:pPr>
              <w:rPr>
                <w:rFonts w:ascii="仿宋_GB2312" w:eastAsia="仿宋_GB2312"/>
              </w:rPr>
            </w:pPr>
          </w:p>
        </w:tc>
        <w:tc>
          <w:tcPr>
            <w:tcW w:w="1380" w:type="dxa"/>
            <w:noWrap w:val="0"/>
            <w:vAlign w:val="top"/>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gridSpan w:val="3"/>
            <w:noWrap w:val="0"/>
            <w:vAlign w:val="top"/>
          </w:tcPr>
          <w:p>
            <w:pPr>
              <w:rPr>
                <w:rFonts w:ascii="仿宋_GB2312" w:eastAsia="仿宋_GB2312"/>
              </w:rPr>
            </w:pPr>
            <w:r>
              <w:rPr>
                <w:rFonts w:hint="eastAsia" w:ascii="仿宋_GB2312" w:eastAsia="仿宋_GB2312"/>
              </w:rPr>
              <w:t>定值部分权重A</w:t>
            </w:r>
          </w:p>
        </w:tc>
        <w:tc>
          <w:tcPr>
            <w:tcW w:w="1215" w:type="dxa"/>
            <w:noWrap w:val="0"/>
            <w:vAlign w:val="top"/>
          </w:tcPr>
          <w:p>
            <w:pPr>
              <w:rPr>
                <w:rFonts w:ascii="仿宋_GB2312" w:eastAsia="仿宋_GB2312"/>
              </w:rPr>
            </w:pPr>
          </w:p>
        </w:tc>
        <w:tc>
          <w:tcPr>
            <w:tcW w:w="1080" w:type="dxa"/>
            <w:noWrap w:val="0"/>
            <w:vAlign w:val="top"/>
          </w:tcPr>
          <w:p>
            <w:pPr>
              <w:rPr>
                <w:rFonts w:ascii="仿宋_GB2312" w:eastAsia="仿宋_GB2312"/>
              </w:rPr>
            </w:pPr>
          </w:p>
        </w:tc>
        <w:tc>
          <w:tcPr>
            <w:tcW w:w="1215" w:type="dxa"/>
            <w:noWrap w:val="0"/>
            <w:vAlign w:val="top"/>
          </w:tcPr>
          <w:p>
            <w:pPr>
              <w:rPr>
                <w:rFonts w:ascii="仿宋_GB2312" w:eastAsia="仿宋_GB2312"/>
              </w:rPr>
            </w:pPr>
          </w:p>
        </w:tc>
        <w:tc>
          <w:tcPr>
            <w:tcW w:w="1230" w:type="dxa"/>
            <w:noWrap w:val="0"/>
            <w:vAlign w:val="top"/>
          </w:tcPr>
          <w:p>
            <w:pPr>
              <w:rPr>
                <w:rFonts w:ascii="仿宋_GB2312" w:eastAsia="仿宋_GB2312"/>
              </w:rPr>
            </w:pPr>
          </w:p>
        </w:tc>
        <w:tc>
          <w:tcPr>
            <w:tcW w:w="1380" w:type="dxa"/>
            <w:noWrap w:val="0"/>
            <w:vAlign w:val="top"/>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gridSpan w:val="3"/>
            <w:noWrap w:val="0"/>
            <w:vAlign w:val="top"/>
          </w:tcPr>
          <w:p>
            <w:pPr>
              <w:rPr>
                <w:rFonts w:ascii="仿宋_GB2312" w:eastAsia="仿宋_GB2312"/>
              </w:rPr>
            </w:pPr>
            <w:r>
              <w:rPr>
                <w:rFonts w:hint="eastAsia" w:ascii="仿宋_GB2312" w:eastAsia="仿宋_GB2312"/>
              </w:rPr>
              <w:t>合计</w:t>
            </w:r>
          </w:p>
        </w:tc>
        <w:tc>
          <w:tcPr>
            <w:tcW w:w="2295" w:type="dxa"/>
            <w:gridSpan w:val="2"/>
            <w:noWrap w:val="0"/>
            <w:vAlign w:val="top"/>
          </w:tcPr>
          <w:p>
            <w:pPr>
              <w:rPr>
                <w:rFonts w:ascii="仿宋_GB2312" w:eastAsia="仿宋_GB2312"/>
              </w:rPr>
            </w:pPr>
          </w:p>
        </w:tc>
        <w:tc>
          <w:tcPr>
            <w:tcW w:w="2445" w:type="dxa"/>
            <w:gridSpan w:val="2"/>
            <w:noWrap w:val="0"/>
            <w:vAlign w:val="top"/>
          </w:tcPr>
          <w:p>
            <w:pPr>
              <w:rPr>
                <w:rFonts w:ascii="仿宋_GB2312" w:eastAsia="仿宋_GB2312"/>
              </w:rPr>
            </w:pPr>
          </w:p>
        </w:tc>
        <w:tc>
          <w:tcPr>
            <w:tcW w:w="1380" w:type="dxa"/>
            <w:noWrap w:val="0"/>
            <w:vAlign w:val="top"/>
          </w:tcPr>
          <w:p>
            <w:pPr>
              <w:rPr>
                <w:rFonts w:ascii="仿宋_GB2312" w:eastAsia="仿宋_GB2312"/>
              </w:rPr>
            </w:pPr>
          </w:p>
        </w:tc>
      </w:tr>
    </w:tbl>
    <w:p/>
    <w:p>
      <w:pPr>
        <w:spacing w:before="120" w:beforeLines="50" w:after="120" w:afterLines="50" w:line="440" w:lineRule="exact"/>
        <w:jc w:val="center"/>
        <w:rPr>
          <w:rFonts w:hint="eastAsia" w:eastAsia="黑体" w:cs="黑体"/>
          <w:color w:val="000000"/>
          <w:sz w:val="30"/>
          <w:szCs w:val="30"/>
        </w:rPr>
      </w:pPr>
    </w:p>
    <w:p>
      <w:pPr>
        <w:spacing w:before="120" w:beforeLines="50" w:after="120" w:afterLines="50" w:line="440" w:lineRule="exact"/>
        <w:jc w:val="center"/>
        <w:rPr>
          <w:rFonts w:hint="eastAsia" w:eastAsia="黑体" w:cs="黑体"/>
          <w:color w:val="000000"/>
          <w:sz w:val="30"/>
          <w:szCs w:val="30"/>
        </w:rPr>
      </w:pPr>
    </w:p>
    <w:p>
      <w:pPr>
        <w:spacing w:before="120" w:beforeLines="50" w:after="120" w:afterLines="50" w:line="440" w:lineRule="exact"/>
        <w:jc w:val="center"/>
        <w:rPr>
          <w:rFonts w:hint="eastAsia" w:eastAsia="黑体" w:cs="黑体"/>
          <w:color w:val="000000"/>
          <w:sz w:val="30"/>
          <w:szCs w:val="30"/>
        </w:rPr>
      </w:pPr>
    </w:p>
    <w:p>
      <w:pPr>
        <w:spacing w:before="120" w:beforeLines="50" w:after="120" w:afterLines="50" w:line="440" w:lineRule="exact"/>
        <w:jc w:val="center"/>
        <w:rPr>
          <w:rFonts w:hint="eastAsia" w:eastAsia="黑体" w:cs="黑体"/>
          <w:color w:val="000000"/>
          <w:sz w:val="30"/>
          <w:szCs w:val="30"/>
        </w:rPr>
      </w:pPr>
    </w:p>
    <w:p>
      <w:pPr>
        <w:spacing w:before="120" w:beforeLines="50" w:after="120" w:afterLines="50" w:line="440" w:lineRule="exact"/>
        <w:jc w:val="center"/>
        <w:rPr>
          <w:rFonts w:hint="eastAsia" w:eastAsia="黑体" w:cs="黑体"/>
          <w:color w:val="000000"/>
          <w:sz w:val="30"/>
          <w:szCs w:val="30"/>
        </w:rPr>
      </w:pPr>
    </w:p>
    <w:p>
      <w:pPr>
        <w:spacing w:before="120" w:beforeLines="50" w:after="120" w:afterLines="50" w:line="440" w:lineRule="exact"/>
        <w:jc w:val="center"/>
        <w:rPr>
          <w:rFonts w:hint="eastAsia" w:eastAsia="黑体" w:cs="黑体"/>
          <w:color w:val="000000"/>
          <w:sz w:val="30"/>
          <w:szCs w:val="30"/>
        </w:rPr>
      </w:pPr>
    </w:p>
    <w:p>
      <w:pPr>
        <w:spacing w:before="120" w:beforeLines="50" w:after="120" w:afterLines="50" w:line="440" w:lineRule="exact"/>
        <w:jc w:val="center"/>
        <w:rPr>
          <w:rFonts w:hint="eastAsia" w:eastAsia="黑体" w:cs="黑体"/>
          <w:color w:val="000000"/>
          <w:sz w:val="30"/>
          <w:szCs w:val="30"/>
        </w:rPr>
      </w:pPr>
    </w:p>
    <w:p>
      <w:pPr>
        <w:spacing w:before="120" w:beforeLines="50" w:after="120" w:afterLines="50" w:line="440" w:lineRule="exact"/>
        <w:jc w:val="center"/>
        <w:rPr>
          <w:rFonts w:hint="eastAsia" w:eastAsia="黑体" w:cs="黑体"/>
          <w:color w:val="000000"/>
          <w:sz w:val="30"/>
          <w:szCs w:val="30"/>
        </w:rPr>
      </w:pPr>
    </w:p>
    <w:p>
      <w:pPr>
        <w:spacing w:before="120" w:beforeLines="50" w:after="120" w:afterLines="50" w:line="440" w:lineRule="exact"/>
        <w:jc w:val="center"/>
        <w:rPr>
          <w:rFonts w:hint="eastAsia" w:eastAsia="黑体" w:cs="黑体"/>
          <w:color w:val="000000"/>
          <w:sz w:val="30"/>
          <w:szCs w:val="30"/>
        </w:rPr>
      </w:pPr>
    </w:p>
    <w:p>
      <w:pPr>
        <w:spacing w:before="120" w:beforeLines="50" w:after="120" w:afterLines="50" w:line="440" w:lineRule="exact"/>
        <w:jc w:val="center"/>
        <w:rPr>
          <w:rFonts w:hint="eastAsia" w:eastAsia="黑体" w:cs="黑体"/>
          <w:color w:val="000000"/>
          <w:sz w:val="30"/>
          <w:szCs w:val="30"/>
        </w:rPr>
      </w:pPr>
    </w:p>
    <w:p>
      <w:pPr>
        <w:spacing w:before="120" w:beforeLines="50" w:after="120" w:afterLines="50" w:line="440" w:lineRule="exact"/>
        <w:jc w:val="center"/>
        <w:rPr>
          <w:rFonts w:hint="eastAsia" w:eastAsia="黑体" w:cs="黑体"/>
          <w:color w:val="000000"/>
          <w:sz w:val="30"/>
          <w:szCs w:val="30"/>
        </w:rPr>
      </w:pPr>
    </w:p>
    <w:p>
      <w:pPr>
        <w:spacing w:before="120" w:beforeLines="50" w:after="120" w:afterLines="50" w:line="440" w:lineRule="exact"/>
        <w:jc w:val="center"/>
        <w:rPr>
          <w:rFonts w:hint="eastAsia" w:eastAsia="黑体" w:cs="黑体"/>
          <w:color w:val="000000"/>
          <w:sz w:val="30"/>
          <w:szCs w:val="30"/>
        </w:rPr>
      </w:pPr>
    </w:p>
    <w:p>
      <w:pPr>
        <w:spacing w:before="120" w:beforeLines="50" w:after="120" w:afterLines="50" w:line="440" w:lineRule="exact"/>
        <w:jc w:val="center"/>
        <w:rPr>
          <w:rFonts w:hint="eastAsia" w:eastAsia="黑体" w:cs="黑体"/>
          <w:color w:val="000000"/>
          <w:sz w:val="30"/>
          <w:szCs w:val="30"/>
        </w:rPr>
      </w:pPr>
    </w:p>
    <w:p>
      <w:pPr>
        <w:spacing w:before="120" w:beforeLines="50" w:after="120" w:afterLines="50" w:line="440" w:lineRule="exact"/>
        <w:jc w:val="center"/>
        <w:rPr>
          <w:rFonts w:hint="eastAsia" w:eastAsia="黑体" w:cs="黑体"/>
          <w:color w:val="000000"/>
          <w:sz w:val="30"/>
          <w:szCs w:val="30"/>
        </w:rPr>
      </w:pPr>
    </w:p>
    <w:p>
      <w:pPr>
        <w:spacing w:before="120" w:beforeLines="50" w:after="120" w:afterLines="50" w:line="440" w:lineRule="exact"/>
        <w:jc w:val="center"/>
        <w:rPr>
          <w:rFonts w:hint="eastAsia" w:eastAsia="黑体" w:cs="黑体"/>
          <w:color w:val="000000"/>
          <w:sz w:val="30"/>
          <w:szCs w:val="30"/>
        </w:rPr>
      </w:pPr>
    </w:p>
    <w:p>
      <w:pPr>
        <w:spacing w:before="120" w:beforeLines="50" w:after="120" w:afterLines="50" w:line="440" w:lineRule="exact"/>
        <w:jc w:val="center"/>
        <w:rPr>
          <w:rFonts w:hint="eastAsia" w:eastAsia="黑体" w:cs="黑体"/>
          <w:color w:val="000000"/>
          <w:sz w:val="30"/>
          <w:szCs w:val="30"/>
        </w:rPr>
      </w:pPr>
    </w:p>
    <w:p>
      <w:pPr>
        <w:spacing w:before="120" w:beforeLines="50" w:after="120" w:afterLines="50" w:line="440" w:lineRule="exact"/>
        <w:jc w:val="center"/>
        <w:rPr>
          <w:rFonts w:hint="eastAsia" w:eastAsia="黑体" w:cs="黑体"/>
          <w:color w:val="000000"/>
          <w:sz w:val="30"/>
          <w:szCs w:val="30"/>
        </w:rPr>
      </w:pPr>
    </w:p>
    <w:p>
      <w:pPr>
        <w:widowControl/>
        <w:spacing w:line="360" w:lineRule="auto"/>
        <w:jc w:val="left"/>
        <w:rPr>
          <w:rFonts w:eastAsia="黑体"/>
          <w:color w:val="000000"/>
          <w:sz w:val="30"/>
          <w:szCs w:val="30"/>
        </w:rPr>
      </w:pPr>
      <w:r>
        <w:rPr>
          <w:rFonts w:hint="eastAsia" w:eastAsia="仿宋_GB2312" w:cs="仿宋_GB2312"/>
          <w:color w:val="000000"/>
          <w:sz w:val="30"/>
          <w:szCs w:val="30"/>
        </w:rPr>
        <w:t xml:space="preserve">附件6                    </w:t>
      </w:r>
      <w:r>
        <w:rPr>
          <w:rFonts w:hint="eastAsia" w:eastAsia="黑体" w:cs="黑体"/>
          <w:color w:val="000000"/>
          <w:sz w:val="30"/>
          <w:szCs w:val="30"/>
        </w:rPr>
        <w:t>履约担保</w:t>
      </w:r>
    </w:p>
    <w:p>
      <w:pPr>
        <w:spacing w:line="360" w:lineRule="auto"/>
        <w:rPr>
          <w:color w:val="000000"/>
          <w:szCs w:val="21"/>
          <w:u w:val="single"/>
        </w:rPr>
      </w:pPr>
    </w:p>
    <w:p>
      <w:pPr>
        <w:spacing w:line="360" w:lineRule="auto"/>
        <w:rPr>
          <w:color w:val="000000"/>
          <w:szCs w:val="21"/>
        </w:rPr>
      </w:pPr>
      <w:r>
        <w:rPr>
          <w:color w:val="000000"/>
          <w:szCs w:val="21"/>
          <w:u w:val="single"/>
        </w:rPr>
        <w:t xml:space="preserve">                          </w:t>
      </w:r>
      <w:r>
        <w:rPr>
          <w:rFonts w:hint="eastAsia" w:hAnsi="宋体" w:cs="宋体"/>
          <w:color w:val="000000"/>
          <w:szCs w:val="21"/>
        </w:rPr>
        <w:t>（发包人名称）：</w:t>
      </w:r>
    </w:p>
    <w:p>
      <w:pPr>
        <w:spacing w:line="360" w:lineRule="auto"/>
        <w:ind w:firstLine="420" w:firstLineChars="200"/>
        <w:rPr>
          <w:color w:val="000000"/>
          <w:szCs w:val="21"/>
        </w:rPr>
      </w:pPr>
      <w:r>
        <w:rPr>
          <w:rFonts w:hint="eastAsia" w:hAnsi="宋体" w:cs="宋体"/>
          <w:color w:val="000000"/>
          <w:szCs w:val="21"/>
        </w:rPr>
        <w:t>鉴于</w:t>
      </w:r>
      <w:r>
        <w:rPr>
          <w:color w:val="000000"/>
          <w:szCs w:val="21"/>
          <w:u w:val="single"/>
        </w:rPr>
        <w:t xml:space="preserve">                                        </w:t>
      </w:r>
      <w:r>
        <w:rPr>
          <w:rFonts w:hint="eastAsia" w:hAnsi="宋体" w:cs="宋体"/>
          <w:color w:val="000000"/>
          <w:szCs w:val="21"/>
        </w:rPr>
        <w:t>（发包人名称，以下简称</w:t>
      </w:r>
      <w:r>
        <w:rPr>
          <w:color w:val="000000"/>
          <w:szCs w:val="21"/>
        </w:rPr>
        <w:t>“</w:t>
      </w:r>
      <w:r>
        <w:rPr>
          <w:rFonts w:hint="eastAsia" w:hAnsi="宋体" w:cs="宋体"/>
          <w:color w:val="000000"/>
          <w:szCs w:val="21"/>
        </w:rPr>
        <w:t>发包人</w:t>
      </w:r>
      <w:r>
        <w:rPr>
          <w:color w:val="000000"/>
          <w:szCs w:val="21"/>
        </w:rPr>
        <w:t>”</w:t>
      </w:r>
      <w:r>
        <w:rPr>
          <w:rFonts w:hint="eastAsia" w:hAnsi="宋体" w:cs="宋体"/>
          <w:color w:val="000000"/>
          <w:szCs w:val="21"/>
        </w:rPr>
        <w:t>）</w:t>
      </w:r>
      <w:r>
        <w:rPr>
          <w:rFonts w:hAnsi="宋体"/>
          <w:color w:val="000000"/>
          <w:szCs w:val="21"/>
        </w:rPr>
        <w:t xml:space="preserve"> </w:t>
      </w:r>
      <w:r>
        <w:rPr>
          <w:rFonts w:hint="eastAsia" w:hAnsi="宋体" w:cs="宋体"/>
          <w:color w:val="000000"/>
          <w:szCs w:val="21"/>
        </w:rPr>
        <w:t>已于</w:t>
      </w:r>
      <w:r>
        <w:rPr>
          <w:color w:val="000000"/>
          <w:szCs w:val="21"/>
          <w:u w:val="single"/>
        </w:rPr>
        <w:t xml:space="preserve">           </w:t>
      </w:r>
      <w:r>
        <w:rPr>
          <w:rFonts w:hint="eastAsia" w:hAnsi="宋体" w:cs="宋体"/>
          <w:color w:val="000000"/>
          <w:szCs w:val="21"/>
        </w:rPr>
        <w:t>年</w:t>
      </w:r>
      <w:r>
        <w:rPr>
          <w:color w:val="000000"/>
          <w:szCs w:val="21"/>
          <w:u w:val="single"/>
        </w:rPr>
        <w:t xml:space="preserve">      </w:t>
      </w:r>
      <w:r>
        <w:rPr>
          <w:rFonts w:hint="eastAsia" w:hAnsi="宋体" w:cs="宋体"/>
          <w:color w:val="000000"/>
          <w:szCs w:val="21"/>
        </w:rPr>
        <w:t>月</w:t>
      </w:r>
      <w:r>
        <w:rPr>
          <w:color w:val="000000"/>
          <w:szCs w:val="21"/>
          <w:u w:val="single"/>
        </w:rPr>
        <w:t xml:space="preserve">      </w:t>
      </w:r>
      <w:r>
        <w:rPr>
          <w:rFonts w:hint="eastAsia" w:hAnsi="宋体" w:cs="宋体"/>
          <w:color w:val="000000"/>
          <w:szCs w:val="21"/>
        </w:rPr>
        <w:t>日发放中标通知书，明确</w:t>
      </w:r>
      <w:r>
        <w:rPr>
          <w:color w:val="000000"/>
          <w:szCs w:val="21"/>
          <w:u w:val="single"/>
        </w:rPr>
        <w:t xml:space="preserve">                           </w:t>
      </w:r>
      <w:r>
        <w:rPr>
          <w:rFonts w:hint="eastAsia" w:hAnsi="宋体" w:cs="宋体"/>
          <w:color w:val="000000"/>
          <w:szCs w:val="21"/>
        </w:rPr>
        <w:t>（承包人名称）（以下称</w:t>
      </w:r>
      <w:r>
        <w:rPr>
          <w:color w:val="000000"/>
          <w:szCs w:val="21"/>
        </w:rPr>
        <w:t>“</w:t>
      </w:r>
      <w:r>
        <w:rPr>
          <w:rFonts w:hint="eastAsia" w:hAnsi="宋体" w:cs="宋体"/>
          <w:color w:val="000000"/>
          <w:szCs w:val="21"/>
        </w:rPr>
        <w:t>承包人</w:t>
      </w:r>
      <w:r>
        <w:rPr>
          <w:color w:val="000000"/>
          <w:szCs w:val="21"/>
        </w:rPr>
        <w:t>”</w:t>
      </w:r>
      <w:r>
        <w:rPr>
          <w:rFonts w:hint="eastAsia" w:hAnsi="宋体" w:cs="宋体"/>
          <w:color w:val="000000"/>
          <w:szCs w:val="21"/>
        </w:rPr>
        <w:t>）于</w:t>
      </w:r>
      <w:r>
        <w:rPr>
          <w:color w:val="000000"/>
          <w:szCs w:val="21"/>
          <w:u w:val="single"/>
        </w:rPr>
        <w:t xml:space="preserve">           </w:t>
      </w:r>
      <w:r>
        <w:rPr>
          <w:rFonts w:hint="eastAsia" w:hAnsi="宋体" w:cs="宋体"/>
          <w:color w:val="000000"/>
          <w:szCs w:val="21"/>
        </w:rPr>
        <w:t>年</w:t>
      </w:r>
      <w:r>
        <w:rPr>
          <w:color w:val="000000"/>
          <w:szCs w:val="21"/>
          <w:u w:val="single"/>
        </w:rPr>
        <w:t xml:space="preserve">      </w:t>
      </w:r>
      <w:r>
        <w:rPr>
          <w:rFonts w:hint="eastAsia" w:hAnsi="宋体" w:cs="宋体"/>
          <w:color w:val="000000"/>
          <w:szCs w:val="21"/>
        </w:rPr>
        <w:t>月</w:t>
      </w:r>
      <w:r>
        <w:rPr>
          <w:color w:val="000000"/>
          <w:szCs w:val="21"/>
          <w:u w:val="single"/>
        </w:rPr>
        <w:t xml:space="preserve">      </w:t>
      </w:r>
      <w:r>
        <w:rPr>
          <w:rFonts w:hint="eastAsia" w:hAnsi="宋体" w:cs="宋体"/>
          <w:color w:val="000000"/>
          <w:szCs w:val="21"/>
        </w:rPr>
        <w:t>日为</w:t>
      </w:r>
      <w:r>
        <w:rPr>
          <w:color w:val="000000"/>
          <w:szCs w:val="21"/>
          <w:u w:val="single"/>
        </w:rPr>
        <w:t xml:space="preserve">                       </w:t>
      </w:r>
      <w:r>
        <w:rPr>
          <w:rFonts w:hint="eastAsia" w:hAnsi="宋体" w:cs="宋体"/>
          <w:color w:val="000000"/>
          <w:szCs w:val="21"/>
        </w:rPr>
        <w:t>（工程名称）的中标人。我方愿意无条件地、不可撤销地就承包人履行与你方签订的合同，向你方提供连带责任担保。</w:t>
      </w:r>
      <w:r>
        <w:rPr>
          <w:color w:val="000000"/>
          <w:szCs w:val="21"/>
        </w:rPr>
        <w:t xml:space="preserve"> </w:t>
      </w:r>
    </w:p>
    <w:p>
      <w:pPr>
        <w:spacing w:line="360" w:lineRule="auto"/>
        <w:ind w:firstLine="420" w:firstLineChars="200"/>
        <w:rPr>
          <w:color w:val="000000"/>
          <w:szCs w:val="21"/>
        </w:rPr>
      </w:pPr>
      <w:r>
        <w:rPr>
          <w:color w:val="000000"/>
          <w:szCs w:val="21"/>
        </w:rPr>
        <w:t xml:space="preserve">1. </w:t>
      </w:r>
      <w:r>
        <w:rPr>
          <w:rFonts w:hint="eastAsia" w:hAnsi="宋体" w:cs="宋体"/>
          <w:color w:val="000000"/>
          <w:szCs w:val="21"/>
        </w:rPr>
        <w:t>担保金额人民币（大写）</w:t>
      </w:r>
      <w:r>
        <w:rPr>
          <w:color w:val="000000"/>
          <w:szCs w:val="21"/>
          <w:u w:val="single"/>
        </w:rPr>
        <w:t xml:space="preserve">                 </w:t>
      </w:r>
      <w:r>
        <w:rPr>
          <w:rFonts w:hint="eastAsia" w:hAnsi="宋体" w:cs="宋体"/>
          <w:color w:val="000000"/>
          <w:szCs w:val="21"/>
        </w:rPr>
        <w:t>元（</w:t>
      </w:r>
      <w:r>
        <w:rPr>
          <w:color w:val="000000"/>
          <w:szCs w:val="21"/>
        </w:rPr>
        <w:t>¥</w:t>
      </w:r>
      <w:r>
        <w:rPr>
          <w:color w:val="000000"/>
          <w:szCs w:val="21"/>
          <w:u w:val="single"/>
        </w:rPr>
        <w:t xml:space="preserve">             </w:t>
      </w:r>
      <w:r>
        <w:rPr>
          <w:rFonts w:hint="eastAsia" w:hAnsi="宋体" w:cs="宋体"/>
          <w:color w:val="000000"/>
          <w:szCs w:val="21"/>
        </w:rPr>
        <w:t>）。</w:t>
      </w:r>
    </w:p>
    <w:p>
      <w:pPr>
        <w:spacing w:line="360" w:lineRule="auto"/>
        <w:ind w:firstLine="420" w:firstLineChars="200"/>
        <w:rPr>
          <w:color w:val="000000"/>
          <w:szCs w:val="21"/>
        </w:rPr>
      </w:pPr>
      <w:r>
        <w:rPr>
          <w:color w:val="000000"/>
          <w:szCs w:val="21"/>
        </w:rPr>
        <w:t xml:space="preserve">2. </w:t>
      </w:r>
      <w:r>
        <w:rPr>
          <w:rFonts w:hint="eastAsia" w:hAnsi="宋体" w:cs="宋体"/>
          <w:color w:val="000000"/>
          <w:szCs w:val="21"/>
        </w:rPr>
        <w:t>担保有效期自你方与承包人签订的合同生效之日起至你方签发或应签发工程接收证书之日止。</w:t>
      </w:r>
    </w:p>
    <w:p>
      <w:pPr>
        <w:spacing w:line="360" w:lineRule="auto"/>
        <w:ind w:firstLine="420" w:firstLineChars="200"/>
        <w:rPr>
          <w:color w:val="000000"/>
          <w:szCs w:val="21"/>
        </w:rPr>
      </w:pPr>
      <w:r>
        <w:rPr>
          <w:color w:val="000000"/>
          <w:szCs w:val="21"/>
        </w:rPr>
        <w:t xml:space="preserve">3. </w:t>
      </w:r>
      <w:r>
        <w:rPr>
          <w:rFonts w:hint="eastAsia" w:hAnsi="宋体" w:cs="宋体"/>
          <w:color w:val="000000"/>
          <w:szCs w:val="21"/>
        </w:rPr>
        <w:t>在本担保有效期内，因承包人违反合同约定的义务给你方造成经济损失时，我方在收到你方以书面形式提出的在担保金额内的赔偿要求后，在</w:t>
      </w:r>
      <w:r>
        <w:rPr>
          <w:color w:val="000000"/>
          <w:szCs w:val="21"/>
        </w:rPr>
        <w:t>7</w:t>
      </w:r>
      <w:r>
        <w:rPr>
          <w:rFonts w:hint="eastAsia" w:hAnsi="宋体" w:cs="宋体"/>
          <w:color w:val="000000"/>
          <w:szCs w:val="21"/>
        </w:rPr>
        <w:t>天内无条件支付。</w:t>
      </w:r>
    </w:p>
    <w:p>
      <w:pPr>
        <w:spacing w:line="360" w:lineRule="auto"/>
        <w:ind w:firstLine="420" w:firstLineChars="200"/>
        <w:rPr>
          <w:color w:val="000000"/>
          <w:szCs w:val="21"/>
        </w:rPr>
      </w:pPr>
      <w:r>
        <w:rPr>
          <w:color w:val="000000"/>
          <w:szCs w:val="21"/>
        </w:rPr>
        <w:t xml:space="preserve">4. </w:t>
      </w:r>
      <w:r>
        <w:rPr>
          <w:rFonts w:hint="eastAsia" w:hAnsi="宋体" w:cs="宋体"/>
          <w:color w:val="000000"/>
          <w:szCs w:val="21"/>
        </w:rPr>
        <w:t>你方和承包人按合同约定变更合同时，我方承担本担保规定的义务不变。</w:t>
      </w:r>
    </w:p>
    <w:p>
      <w:pPr>
        <w:spacing w:line="360" w:lineRule="auto"/>
        <w:ind w:firstLine="420" w:firstLineChars="200"/>
        <w:rPr>
          <w:color w:val="000000"/>
          <w:szCs w:val="21"/>
        </w:rPr>
      </w:pPr>
      <w:r>
        <w:rPr>
          <w:color w:val="000000"/>
          <w:szCs w:val="21"/>
        </w:rPr>
        <w:t xml:space="preserve">5. </w:t>
      </w:r>
      <w:r>
        <w:rPr>
          <w:rFonts w:hint="eastAsia" w:hAnsi="宋体" w:cs="宋体"/>
          <w:color w:val="000000"/>
          <w:szCs w:val="21"/>
        </w:rPr>
        <w:t>因本保函发生的纠纷，可由双方协商解决，协商不成的，任何一方均可提请</w:t>
      </w:r>
      <w:r>
        <w:rPr>
          <w:color w:val="000000"/>
          <w:szCs w:val="21"/>
          <w:u w:val="single"/>
        </w:rPr>
        <w:t xml:space="preserve">      </w:t>
      </w:r>
      <w:r>
        <w:rPr>
          <w:rFonts w:hint="eastAsia" w:hAnsi="宋体" w:cs="宋体"/>
          <w:color w:val="000000"/>
          <w:szCs w:val="21"/>
        </w:rPr>
        <w:t>仲裁委员会仲裁。</w:t>
      </w:r>
    </w:p>
    <w:p>
      <w:pPr>
        <w:spacing w:line="360" w:lineRule="auto"/>
        <w:ind w:firstLine="420" w:firstLineChars="200"/>
        <w:rPr>
          <w:color w:val="000000"/>
          <w:szCs w:val="21"/>
        </w:rPr>
      </w:pPr>
      <w:r>
        <w:rPr>
          <w:color w:val="000000"/>
          <w:szCs w:val="21"/>
        </w:rPr>
        <w:t xml:space="preserve">6. </w:t>
      </w:r>
      <w:r>
        <w:rPr>
          <w:rFonts w:hint="eastAsia" w:hAnsi="宋体" w:cs="宋体"/>
          <w:color w:val="000000"/>
          <w:szCs w:val="21"/>
        </w:rPr>
        <w:t>本保函自我方法定代表人（或其授权代理人）签字并加盖公章之日起生效。</w:t>
      </w:r>
    </w:p>
    <w:p>
      <w:pPr>
        <w:spacing w:line="360" w:lineRule="auto"/>
        <w:rPr>
          <w:color w:val="000000"/>
          <w:szCs w:val="21"/>
        </w:rPr>
      </w:pPr>
    </w:p>
    <w:p>
      <w:pPr>
        <w:spacing w:line="360" w:lineRule="auto"/>
        <w:rPr>
          <w:color w:val="000000"/>
          <w:szCs w:val="21"/>
        </w:rPr>
      </w:pPr>
      <w:r>
        <w:rPr>
          <w:rFonts w:hint="eastAsia" w:hAnsi="宋体" w:cs="宋体"/>
          <w:color w:val="000000"/>
          <w:szCs w:val="21"/>
        </w:rPr>
        <w:t>担</w:t>
      </w:r>
      <w:r>
        <w:rPr>
          <w:color w:val="000000"/>
          <w:szCs w:val="21"/>
        </w:rPr>
        <w:t xml:space="preserve"> </w:t>
      </w:r>
      <w:r>
        <w:rPr>
          <w:rFonts w:hint="eastAsia" w:hAnsi="宋体" w:cs="宋体"/>
          <w:color w:val="000000"/>
          <w:szCs w:val="21"/>
        </w:rPr>
        <w:t>保</w:t>
      </w:r>
      <w:r>
        <w:rPr>
          <w:color w:val="000000"/>
          <w:szCs w:val="21"/>
        </w:rPr>
        <w:t xml:space="preserve"> </w:t>
      </w:r>
      <w:r>
        <w:rPr>
          <w:rFonts w:hint="eastAsia" w:hAnsi="宋体" w:cs="宋体"/>
          <w:color w:val="000000"/>
          <w:szCs w:val="21"/>
        </w:rPr>
        <w:t>人：</w:t>
      </w:r>
      <w:r>
        <w:rPr>
          <w:color w:val="000000"/>
          <w:szCs w:val="21"/>
          <w:u w:val="single"/>
        </w:rPr>
        <w:t xml:space="preserve">                           </w:t>
      </w:r>
      <w:r>
        <w:rPr>
          <w:rFonts w:hint="eastAsia" w:hAnsi="宋体" w:cs="宋体"/>
          <w:color w:val="000000"/>
          <w:szCs w:val="21"/>
        </w:rPr>
        <w:t>（盖单位章）</w:t>
      </w:r>
    </w:p>
    <w:p>
      <w:pPr>
        <w:spacing w:line="360" w:lineRule="auto"/>
        <w:rPr>
          <w:color w:val="000000"/>
          <w:szCs w:val="21"/>
        </w:rPr>
      </w:pPr>
      <w:r>
        <w:rPr>
          <w:rFonts w:hint="eastAsia" w:hAnsi="宋体" w:cs="宋体"/>
          <w:color w:val="000000"/>
          <w:szCs w:val="21"/>
        </w:rPr>
        <w:t>法定代表人或其委托代理人：</w:t>
      </w:r>
      <w:r>
        <w:rPr>
          <w:color w:val="000000"/>
          <w:szCs w:val="21"/>
          <w:u w:val="single"/>
        </w:rPr>
        <w:t xml:space="preserve">               </w:t>
      </w:r>
      <w:r>
        <w:rPr>
          <w:rFonts w:hint="eastAsia" w:hAnsi="宋体" w:cs="宋体"/>
          <w:color w:val="000000"/>
          <w:szCs w:val="21"/>
        </w:rPr>
        <w:t>（签字）</w:t>
      </w:r>
    </w:p>
    <w:p>
      <w:pPr>
        <w:spacing w:line="360" w:lineRule="auto"/>
        <w:rPr>
          <w:color w:val="000000"/>
          <w:szCs w:val="21"/>
        </w:rPr>
      </w:pPr>
      <w:r>
        <w:rPr>
          <w:rFonts w:hint="eastAsia" w:hAnsi="宋体" w:cs="宋体"/>
          <w:color w:val="000000"/>
          <w:szCs w:val="21"/>
        </w:rPr>
        <w:t>地</w:t>
      </w:r>
      <w:r>
        <w:rPr>
          <w:color w:val="000000"/>
          <w:szCs w:val="21"/>
        </w:rPr>
        <w:t xml:space="preserve">    </w:t>
      </w:r>
      <w:r>
        <w:rPr>
          <w:rFonts w:hint="eastAsia" w:hAnsi="宋体" w:cs="宋体"/>
          <w:color w:val="000000"/>
          <w:szCs w:val="21"/>
        </w:rPr>
        <w:t>址：</w:t>
      </w:r>
      <w:r>
        <w:rPr>
          <w:color w:val="000000"/>
          <w:szCs w:val="21"/>
          <w:u w:val="single"/>
        </w:rPr>
        <w:t xml:space="preserve">                                      </w:t>
      </w:r>
    </w:p>
    <w:p>
      <w:pPr>
        <w:spacing w:line="360" w:lineRule="auto"/>
        <w:rPr>
          <w:color w:val="000000"/>
          <w:szCs w:val="21"/>
        </w:rPr>
      </w:pPr>
      <w:r>
        <w:rPr>
          <w:rFonts w:hint="eastAsia" w:hAnsi="宋体" w:cs="宋体"/>
          <w:color w:val="000000"/>
          <w:szCs w:val="21"/>
        </w:rPr>
        <w:t>邮政编码：</w:t>
      </w:r>
      <w:r>
        <w:rPr>
          <w:color w:val="000000"/>
          <w:szCs w:val="21"/>
          <w:u w:val="single"/>
        </w:rPr>
        <w:t xml:space="preserve">                                      </w:t>
      </w:r>
    </w:p>
    <w:p>
      <w:pPr>
        <w:spacing w:line="360" w:lineRule="auto"/>
        <w:rPr>
          <w:color w:val="000000"/>
          <w:szCs w:val="21"/>
          <w:u w:val="single"/>
        </w:rPr>
      </w:pPr>
      <w:r>
        <w:rPr>
          <w:rFonts w:hint="eastAsia" w:hAnsi="宋体" w:cs="宋体"/>
          <w:color w:val="000000"/>
          <w:szCs w:val="21"/>
        </w:rPr>
        <w:t>电</w:t>
      </w:r>
      <w:r>
        <w:rPr>
          <w:color w:val="000000"/>
          <w:szCs w:val="21"/>
        </w:rPr>
        <w:t xml:space="preserve">    </w:t>
      </w:r>
      <w:r>
        <w:rPr>
          <w:rFonts w:hint="eastAsia" w:hAnsi="宋体" w:cs="宋体"/>
          <w:color w:val="000000"/>
          <w:szCs w:val="21"/>
        </w:rPr>
        <w:t>话：</w:t>
      </w:r>
      <w:r>
        <w:rPr>
          <w:color w:val="000000"/>
          <w:szCs w:val="21"/>
          <w:u w:val="single"/>
        </w:rPr>
        <w:t xml:space="preserve">                                      </w:t>
      </w:r>
    </w:p>
    <w:p>
      <w:pPr>
        <w:spacing w:line="360" w:lineRule="auto"/>
        <w:rPr>
          <w:color w:val="000000"/>
          <w:szCs w:val="21"/>
        </w:rPr>
      </w:pPr>
      <w:r>
        <w:rPr>
          <w:rFonts w:hint="eastAsia" w:hAnsi="宋体" w:cs="宋体"/>
          <w:color w:val="000000"/>
          <w:szCs w:val="21"/>
        </w:rPr>
        <w:t>传</w:t>
      </w:r>
      <w:r>
        <w:rPr>
          <w:color w:val="000000"/>
          <w:szCs w:val="21"/>
        </w:rPr>
        <w:t xml:space="preserve">    </w:t>
      </w:r>
      <w:r>
        <w:rPr>
          <w:rFonts w:hint="eastAsia" w:hAnsi="宋体" w:cs="宋体"/>
          <w:color w:val="000000"/>
          <w:szCs w:val="21"/>
        </w:rPr>
        <w:t>真：</w:t>
      </w:r>
      <w:r>
        <w:rPr>
          <w:color w:val="000000"/>
          <w:szCs w:val="21"/>
          <w:u w:val="single"/>
        </w:rPr>
        <w:t xml:space="preserve">                                      </w:t>
      </w:r>
    </w:p>
    <w:p>
      <w:pPr>
        <w:spacing w:line="360" w:lineRule="auto"/>
        <w:jc w:val="left"/>
        <w:rPr>
          <w:color w:val="000000"/>
          <w:szCs w:val="21"/>
          <w:u w:val="single"/>
        </w:rPr>
      </w:pPr>
    </w:p>
    <w:p>
      <w:pPr>
        <w:spacing w:line="360" w:lineRule="auto"/>
        <w:ind w:left="1329" w:hanging="1329" w:hangingChars="633"/>
        <w:rPr>
          <w:color w:val="000000"/>
          <w:szCs w:val="21"/>
        </w:rPr>
      </w:pPr>
      <w:r>
        <w:rPr>
          <w:color w:val="000000"/>
          <w:szCs w:val="21"/>
        </w:rPr>
        <w:t xml:space="preserve">               </w:t>
      </w:r>
      <w:r>
        <w:rPr>
          <w:color w:val="000000"/>
          <w:szCs w:val="21"/>
          <w:u w:val="single"/>
        </w:rPr>
        <w:t xml:space="preserve">           </w:t>
      </w:r>
      <w:r>
        <w:rPr>
          <w:rFonts w:hint="eastAsia" w:hAnsi="宋体" w:cs="宋体"/>
          <w:color w:val="000000"/>
          <w:szCs w:val="21"/>
        </w:rPr>
        <w:t>年</w:t>
      </w:r>
      <w:r>
        <w:rPr>
          <w:color w:val="000000"/>
          <w:szCs w:val="21"/>
          <w:u w:val="single"/>
        </w:rPr>
        <w:t xml:space="preserve">        </w:t>
      </w:r>
      <w:r>
        <w:rPr>
          <w:rFonts w:hint="eastAsia" w:hAnsi="宋体" w:cs="宋体"/>
          <w:color w:val="000000"/>
          <w:szCs w:val="21"/>
        </w:rPr>
        <w:t>月</w:t>
      </w:r>
      <w:r>
        <w:rPr>
          <w:color w:val="000000"/>
          <w:szCs w:val="21"/>
          <w:u w:val="single"/>
        </w:rPr>
        <w:t xml:space="preserve">        </w:t>
      </w:r>
      <w:r>
        <w:rPr>
          <w:rFonts w:hint="eastAsia" w:hAnsi="宋体" w:cs="宋体"/>
          <w:color w:val="000000"/>
          <w:szCs w:val="21"/>
        </w:rPr>
        <w:t>日</w:t>
      </w:r>
    </w:p>
    <w:p>
      <w:pPr>
        <w:spacing w:line="360" w:lineRule="auto"/>
        <w:ind w:left="1329" w:hanging="1329" w:hangingChars="633"/>
        <w:rPr>
          <w:color w:val="000000"/>
          <w:szCs w:val="21"/>
        </w:rPr>
      </w:pPr>
    </w:p>
    <w:p>
      <w:pPr>
        <w:spacing w:line="360" w:lineRule="auto"/>
        <w:ind w:right="150" w:firstLine="420" w:firstLineChars="200"/>
        <w:jc w:val="left"/>
        <w:rPr>
          <w:rFonts w:hint="eastAsia"/>
          <w:color w:val="000000"/>
          <w:szCs w:val="21"/>
        </w:rPr>
      </w:pPr>
      <w:r>
        <w:rPr>
          <w:rFonts w:hint="eastAsia" w:hAnsi="宋体" w:cs="宋体"/>
          <w:color w:val="000000"/>
          <w:szCs w:val="21"/>
        </w:rPr>
        <w:t>（备注</w:t>
      </w:r>
      <w:r>
        <w:rPr>
          <w:rFonts w:hAnsi="宋体" w:cs="宋体"/>
          <w:color w:val="000000"/>
          <w:szCs w:val="21"/>
        </w:rPr>
        <w:t>：</w:t>
      </w:r>
      <w:r>
        <w:rPr>
          <w:rFonts w:hint="eastAsia" w:hAnsi="宋体" w:cs="宋体"/>
          <w:color w:val="000000"/>
          <w:szCs w:val="21"/>
        </w:rPr>
        <w:t>银行、保险公司和担保公司出具的</w:t>
      </w:r>
      <w:r>
        <w:rPr>
          <w:rFonts w:hint="eastAsia" w:ascii="仿宋_GB2312" w:hAnsi="宋体" w:cs="宋体"/>
          <w:color w:val="000000"/>
          <w:szCs w:val="21"/>
        </w:rPr>
        <w:t>保函格式和文本可</w:t>
      </w:r>
      <w:r>
        <w:rPr>
          <w:rFonts w:ascii="仿宋_GB2312" w:hAnsi="宋体" w:cs="宋体"/>
          <w:color w:val="000000"/>
          <w:szCs w:val="21"/>
        </w:rPr>
        <w:t>以自拟，</w:t>
      </w:r>
      <w:r>
        <w:rPr>
          <w:rFonts w:hint="eastAsia" w:ascii="仿宋_GB2312" w:hAnsi="宋体" w:cs="宋体"/>
          <w:color w:val="000000"/>
          <w:szCs w:val="21"/>
        </w:rPr>
        <w:t>但是必须包含以上条款所列全部内容</w:t>
      </w:r>
      <w:r>
        <w:rPr>
          <w:rFonts w:ascii="仿宋_GB2312" w:hAnsi="宋体" w:cs="宋体"/>
          <w:color w:val="000000"/>
          <w:szCs w:val="21"/>
        </w:rPr>
        <w:t>）</w:t>
      </w:r>
    </w:p>
    <w:p>
      <w:pPr>
        <w:rPr>
          <w:color w:val="000000"/>
          <w:szCs w:val="21"/>
        </w:rPr>
        <w:sectPr>
          <w:pgSz w:w="11907" w:h="16840"/>
          <w:pgMar w:top="1440" w:right="1440" w:bottom="1440" w:left="1797" w:header="851" w:footer="851" w:gutter="0"/>
          <w:cols w:space="720" w:num="1"/>
          <w:docGrid w:linePitch="312" w:charSpace="0"/>
        </w:sectPr>
      </w:pPr>
    </w:p>
    <w:p>
      <w:pPr>
        <w:spacing w:line="360" w:lineRule="auto"/>
        <w:rPr>
          <w:rFonts w:hint="eastAsia" w:eastAsia="仿宋_GB2312" w:cs="仿宋_GB2312"/>
          <w:color w:val="000000"/>
          <w:sz w:val="30"/>
          <w:szCs w:val="30"/>
        </w:rPr>
      </w:pPr>
    </w:p>
    <w:p>
      <w:pPr>
        <w:spacing w:line="360" w:lineRule="auto"/>
        <w:rPr>
          <w:rFonts w:eastAsia="黑体"/>
          <w:color w:val="000000"/>
          <w:sz w:val="30"/>
          <w:szCs w:val="30"/>
        </w:rPr>
      </w:pPr>
      <w:r>
        <w:rPr>
          <w:rFonts w:hint="eastAsia" w:eastAsia="仿宋_GB2312" w:cs="仿宋_GB2312"/>
          <w:color w:val="000000"/>
          <w:sz w:val="30"/>
          <w:szCs w:val="30"/>
        </w:rPr>
        <w:t>附件7</w:t>
      </w:r>
    </w:p>
    <w:p>
      <w:pPr>
        <w:spacing w:before="120" w:beforeLines="50" w:after="120" w:afterLines="50" w:line="440" w:lineRule="exact"/>
        <w:jc w:val="center"/>
        <w:rPr>
          <w:rFonts w:eastAsia="黑体"/>
          <w:color w:val="000000"/>
          <w:sz w:val="30"/>
          <w:szCs w:val="30"/>
        </w:rPr>
      </w:pPr>
      <w:r>
        <w:rPr>
          <w:rFonts w:hint="eastAsia" w:eastAsia="黑体" w:cs="黑体"/>
          <w:color w:val="000000"/>
          <w:sz w:val="30"/>
          <w:szCs w:val="30"/>
        </w:rPr>
        <w:t>预付款担保</w:t>
      </w:r>
    </w:p>
    <w:p>
      <w:pPr>
        <w:spacing w:line="360" w:lineRule="auto"/>
        <w:rPr>
          <w:color w:val="000000"/>
        </w:rPr>
      </w:pPr>
      <w:r>
        <w:rPr>
          <w:color w:val="000000"/>
          <w:u w:val="single"/>
        </w:rPr>
        <w:t xml:space="preserve">                    </w:t>
      </w:r>
      <w:r>
        <w:rPr>
          <w:color w:val="000000"/>
        </w:rPr>
        <w:t xml:space="preserve"> </w:t>
      </w:r>
      <w:r>
        <w:rPr>
          <w:rFonts w:hint="eastAsia" w:hAnsi="宋体" w:cs="宋体"/>
          <w:color w:val="000000"/>
        </w:rPr>
        <w:t>（发包人名称）：</w:t>
      </w:r>
    </w:p>
    <w:p>
      <w:pPr>
        <w:spacing w:line="360" w:lineRule="auto"/>
        <w:ind w:firstLine="420" w:firstLineChars="200"/>
        <w:rPr>
          <w:color w:val="000000"/>
        </w:rPr>
      </w:pPr>
      <w:r>
        <w:rPr>
          <w:rFonts w:hint="eastAsia" w:hAnsi="宋体" w:cs="宋体"/>
          <w:color w:val="000000"/>
        </w:rPr>
        <w:t>根据</w:t>
      </w:r>
      <w:r>
        <w:rPr>
          <w:color w:val="000000"/>
          <w:u w:val="single"/>
        </w:rPr>
        <w:t xml:space="preserve">                 </w:t>
      </w:r>
      <w:r>
        <w:rPr>
          <w:rFonts w:hint="eastAsia" w:hAnsi="宋体" w:cs="宋体"/>
          <w:color w:val="000000"/>
        </w:rPr>
        <w:t>（承包人名称）（以下称</w:t>
      </w:r>
      <w:r>
        <w:rPr>
          <w:color w:val="000000"/>
        </w:rPr>
        <w:t>“</w:t>
      </w:r>
      <w:r>
        <w:rPr>
          <w:rFonts w:hint="eastAsia" w:hAnsi="宋体" w:cs="宋体"/>
          <w:color w:val="000000"/>
        </w:rPr>
        <w:t>承包人</w:t>
      </w:r>
      <w:r>
        <w:rPr>
          <w:color w:val="000000"/>
        </w:rPr>
        <w:t>”</w:t>
      </w:r>
      <w:r>
        <w:rPr>
          <w:rFonts w:hint="eastAsia" w:hAnsi="宋体" w:cs="宋体"/>
          <w:color w:val="000000"/>
        </w:rPr>
        <w:t>）与</w:t>
      </w:r>
      <w:r>
        <w:rPr>
          <w:color w:val="000000"/>
          <w:u w:val="single"/>
        </w:rPr>
        <w:t xml:space="preserve">                        </w:t>
      </w:r>
      <w:r>
        <w:rPr>
          <w:rFonts w:hint="eastAsia" w:hAnsi="宋体" w:cs="宋体"/>
          <w:color w:val="000000"/>
        </w:rPr>
        <w:t>（发包人名称）（以下简称</w:t>
      </w:r>
      <w:r>
        <w:rPr>
          <w:color w:val="000000"/>
        </w:rPr>
        <w:t>“</w:t>
      </w:r>
      <w:r>
        <w:rPr>
          <w:rFonts w:hint="eastAsia" w:hAnsi="宋体" w:cs="宋体"/>
          <w:color w:val="000000"/>
        </w:rPr>
        <w:t>发包人</w:t>
      </w:r>
      <w:r>
        <w:rPr>
          <w:color w:val="000000"/>
        </w:rPr>
        <w:t>”</w:t>
      </w:r>
      <w:r>
        <w:rPr>
          <w:rFonts w:hint="eastAsia" w:hAnsi="宋体" w:cs="宋体"/>
          <w:color w:val="000000"/>
        </w:rPr>
        <w:t>）于</w:t>
      </w:r>
      <w:r>
        <w:rPr>
          <w:color w:val="000000"/>
          <w:u w:val="single"/>
        </w:rPr>
        <w:t xml:space="preserve">           </w:t>
      </w:r>
      <w:r>
        <w:rPr>
          <w:rFonts w:hint="eastAsia" w:hAnsi="宋体" w:cs="宋体"/>
          <w:color w:val="000000"/>
        </w:rPr>
        <w:t>年</w:t>
      </w:r>
      <w:r>
        <w:rPr>
          <w:color w:val="000000"/>
          <w:u w:val="single"/>
        </w:rPr>
        <w:t xml:space="preserve">    </w:t>
      </w:r>
      <w:r>
        <w:rPr>
          <w:rFonts w:hint="eastAsia" w:hAnsi="宋体" w:cs="宋体"/>
          <w:color w:val="000000"/>
        </w:rPr>
        <w:t>月</w:t>
      </w:r>
      <w:r>
        <w:rPr>
          <w:color w:val="000000"/>
          <w:u w:val="single"/>
        </w:rPr>
        <w:t xml:space="preserve">    </w:t>
      </w:r>
      <w:r>
        <w:rPr>
          <w:rFonts w:hint="eastAsia" w:hAnsi="宋体" w:cs="宋体"/>
          <w:color w:val="000000"/>
        </w:rPr>
        <w:t>日签订的</w:t>
      </w:r>
      <w:r>
        <w:rPr>
          <w:color w:val="000000"/>
          <w:u w:val="single"/>
        </w:rPr>
        <w:t xml:space="preserve">                   </w:t>
      </w:r>
      <w:r>
        <w:rPr>
          <w:rFonts w:hint="eastAsia" w:hAnsi="宋体" w:cs="宋体"/>
          <w:color w:val="000000"/>
        </w:rPr>
        <w:t>（工程名称）《建设工程施工合同》，承包人按约定的金额向你方提交一份预付款担保，即有权得到你方支付相等金额的预付款。我方愿意就你方提供给承包人的预付款为承包人提供连带责任担保。</w:t>
      </w:r>
    </w:p>
    <w:p>
      <w:pPr>
        <w:spacing w:line="360" w:lineRule="auto"/>
        <w:ind w:firstLine="420" w:firstLineChars="200"/>
        <w:rPr>
          <w:color w:val="000000"/>
        </w:rPr>
      </w:pPr>
      <w:r>
        <w:rPr>
          <w:color w:val="000000"/>
        </w:rPr>
        <w:t xml:space="preserve">1. </w:t>
      </w:r>
      <w:r>
        <w:rPr>
          <w:rFonts w:hint="eastAsia" w:hAnsi="宋体" w:cs="宋体"/>
          <w:color w:val="000000"/>
        </w:rPr>
        <w:t>担保金额人民币（大写）</w:t>
      </w:r>
      <w:r>
        <w:rPr>
          <w:color w:val="000000"/>
          <w:u w:val="single"/>
        </w:rPr>
        <w:t xml:space="preserve">                </w:t>
      </w:r>
      <w:r>
        <w:rPr>
          <w:rFonts w:hint="eastAsia" w:hAnsi="宋体" w:cs="宋体"/>
          <w:color w:val="000000"/>
        </w:rPr>
        <w:t>元（</w:t>
      </w:r>
      <w:r>
        <w:rPr>
          <w:color w:val="000000"/>
        </w:rPr>
        <w:t>¥</w:t>
      </w:r>
      <w:r>
        <w:rPr>
          <w:color w:val="000000"/>
          <w:u w:val="single"/>
        </w:rPr>
        <w:t xml:space="preserve">             </w:t>
      </w:r>
      <w:r>
        <w:rPr>
          <w:rFonts w:hint="eastAsia" w:hAnsi="宋体" w:cs="宋体"/>
          <w:color w:val="000000"/>
        </w:rPr>
        <w:t>）。</w:t>
      </w:r>
    </w:p>
    <w:p>
      <w:pPr>
        <w:spacing w:line="360" w:lineRule="auto"/>
        <w:ind w:firstLine="420" w:firstLineChars="200"/>
        <w:rPr>
          <w:color w:val="000000"/>
        </w:rPr>
      </w:pPr>
      <w:r>
        <w:rPr>
          <w:color w:val="000000"/>
        </w:rPr>
        <w:t xml:space="preserve">2. </w:t>
      </w:r>
      <w:r>
        <w:rPr>
          <w:rFonts w:hint="eastAsia" w:hAnsi="宋体" w:cs="宋体"/>
          <w:color w:val="000000"/>
        </w:rPr>
        <w:t>担保有效期自预付款支付给承包人起生效，至你方签发的进度款支付证书说明已完全扣清止。</w:t>
      </w:r>
    </w:p>
    <w:p>
      <w:pPr>
        <w:spacing w:line="360" w:lineRule="auto"/>
        <w:ind w:firstLine="420" w:firstLineChars="200"/>
        <w:rPr>
          <w:color w:val="000000"/>
        </w:rPr>
      </w:pPr>
      <w:r>
        <w:rPr>
          <w:color w:val="000000"/>
        </w:rPr>
        <w:t xml:space="preserve">3. </w:t>
      </w:r>
      <w:r>
        <w:rPr>
          <w:rFonts w:hint="eastAsia" w:hAnsi="宋体" w:cs="宋体"/>
          <w:color w:val="000000"/>
        </w:rPr>
        <w:t>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pPr>
        <w:spacing w:line="360" w:lineRule="auto"/>
        <w:ind w:firstLine="420" w:firstLineChars="200"/>
        <w:rPr>
          <w:color w:val="000000"/>
        </w:rPr>
      </w:pPr>
      <w:r>
        <w:rPr>
          <w:color w:val="000000"/>
        </w:rPr>
        <w:t xml:space="preserve">4. </w:t>
      </w:r>
      <w:r>
        <w:rPr>
          <w:rFonts w:hint="eastAsia" w:hAnsi="宋体" w:cs="宋体"/>
          <w:color w:val="000000"/>
        </w:rPr>
        <w:t>你方和承包人按合同约定变更合同时，我方承担本保函规定的义务不变。</w:t>
      </w:r>
    </w:p>
    <w:p>
      <w:pPr>
        <w:spacing w:line="360" w:lineRule="auto"/>
        <w:ind w:firstLine="420" w:firstLineChars="200"/>
        <w:rPr>
          <w:color w:val="000000"/>
        </w:rPr>
      </w:pPr>
      <w:r>
        <w:rPr>
          <w:color w:val="000000"/>
        </w:rPr>
        <w:t xml:space="preserve">5. </w:t>
      </w:r>
      <w:r>
        <w:rPr>
          <w:rFonts w:hint="eastAsia" w:hAnsi="宋体" w:cs="宋体"/>
          <w:color w:val="000000"/>
        </w:rPr>
        <w:t>因本保函发生的纠纷，可由双方协商解决，协商不成的，任何一方均可提请</w:t>
      </w:r>
      <w:r>
        <w:rPr>
          <w:color w:val="000000"/>
          <w:u w:val="single"/>
        </w:rPr>
        <w:t xml:space="preserve">      </w:t>
      </w:r>
      <w:r>
        <w:rPr>
          <w:rFonts w:hint="eastAsia" w:hAnsi="宋体" w:cs="宋体"/>
          <w:color w:val="000000"/>
        </w:rPr>
        <w:t>仲裁委员会仲裁。</w:t>
      </w:r>
    </w:p>
    <w:p>
      <w:pPr>
        <w:spacing w:line="360" w:lineRule="auto"/>
        <w:ind w:firstLine="420" w:firstLineChars="200"/>
        <w:jc w:val="left"/>
        <w:rPr>
          <w:color w:val="000000"/>
        </w:rPr>
      </w:pPr>
      <w:r>
        <w:rPr>
          <w:color w:val="000000"/>
        </w:rPr>
        <w:t xml:space="preserve">6. </w:t>
      </w:r>
      <w:r>
        <w:rPr>
          <w:rFonts w:hint="eastAsia" w:hAnsi="宋体" w:cs="宋体"/>
          <w:color w:val="000000"/>
        </w:rPr>
        <w:t>本保函自我方法定代表人（或其授权代理人）签字并加盖公章之日起生效。</w:t>
      </w:r>
    </w:p>
    <w:p>
      <w:pPr>
        <w:spacing w:line="360" w:lineRule="auto"/>
        <w:rPr>
          <w:color w:val="000000"/>
        </w:rPr>
      </w:pPr>
    </w:p>
    <w:p>
      <w:pPr>
        <w:spacing w:line="360" w:lineRule="auto"/>
        <w:rPr>
          <w:color w:val="000000"/>
        </w:rPr>
      </w:pPr>
      <w:r>
        <w:rPr>
          <w:rFonts w:hint="eastAsia" w:hAnsi="宋体" w:cs="宋体"/>
          <w:color w:val="000000"/>
        </w:rPr>
        <w:t>担保人：</w:t>
      </w:r>
      <w:r>
        <w:rPr>
          <w:color w:val="000000"/>
          <w:u w:val="single"/>
        </w:rPr>
        <w:t xml:space="preserve">                          </w:t>
      </w:r>
      <w:r>
        <w:rPr>
          <w:rFonts w:hint="eastAsia" w:hAnsi="宋体" w:cs="宋体"/>
          <w:color w:val="000000"/>
        </w:rPr>
        <w:t>（盖单位章）</w:t>
      </w:r>
    </w:p>
    <w:p>
      <w:pPr>
        <w:spacing w:line="360" w:lineRule="auto"/>
        <w:rPr>
          <w:color w:val="000000"/>
        </w:rPr>
      </w:pPr>
      <w:r>
        <w:rPr>
          <w:rFonts w:hint="eastAsia" w:hAnsi="宋体" w:cs="宋体"/>
          <w:color w:val="000000"/>
        </w:rPr>
        <w:t>法定代表人或其委托代理人：</w:t>
      </w:r>
      <w:r>
        <w:rPr>
          <w:color w:val="000000"/>
          <w:u w:val="single"/>
        </w:rPr>
        <w:t xml:space="preserve">            </w:t>
      </w:r>
      <w:r>
        <w:rPr>
          <w:rFonts w:hint="eastAsia" w:hAnsi="宋体" w:cs="宋体"/>
          <w:color w:val="000000"/>
        </w:rPr>
        <w:t>（签字）</w:t>
      </w:r>
    </w:p>
    <w:p>
      <w:pPr>
        <w:spacing w:line="360" w:lineRule="auto"/>
        <w:rPr>
          <w:color w:val="000000"/>
        </w:rPr>
      </w:pPr>
      <w:r>
        <w:rPr>
          <w:rFonts w:hint="eastAsia" w:hAnsi="宋体" w:cs="宋体"/>
          <w:color w:val="000000"/>
        </w:rPr>
        <w:t>地</w:t>
      </w:r>
      <w:r>
        <w:rPr>
          <w:color w:val="000000"/>
        </w:rPr>
        <w:t xml:space="preserve">    </w:t>
      </w:r>
      <w:r>
        <w:rPr>
          <w:rFonts w:hint="eastAsia" w:hAnsi="宋体" w:cs="宋体"/>
          <w:color w:val="000000"/>
        </w:rPr>
        <w:t>址：</w:t>
      </w:r>
      <w:r>
        <w:rPr>
          <w:color w:val="000000"/>
          <w:u w:val="single"/>
        </w:rPr>
        <w:t xml:space="preserve">                            </w:t>
      </w:r>
    </w:p>
    <w:p>
      <w:pPr>
        <w:spacing w:line="360" w:lineRule="auto"/>
        <w:rPr>
          <w:color w:val="000000"/>
          <w:u w:val="single"/>
        </w:rPr>
      </w:pPr>
      <w:r>
        <w:rPr>
          <w:rFonts w:hint="eastAsia" w:hAnsi="宋体" w:cs="宋体"/>
          <w:color w:val="000000"/>
        </w:rPr>
        <w:t>邮政编码：</w:t>
      </w:r>
      <w:r>
        <w:rPr>
          <w:color w:val="000000"/>
          <w:u w:val="single"/>
        </w:rPr>
        <w:t xml:space="preserve">                            </w:t>
      </w:r>
    </w:p>
    <w:p>
      <w:pPr>
        <w:spacing w:line="360" w:lineRule="auto"/>
        <w:rPr>
          <w:color w:val="000000"/>
          <w:u w:val="single"/>
        </w:rPr>
      </w:pPr>
      <w:r>
        <w:rPr>
          <w:rFonts w:hint="eastAsia" w:hAnsi="宋体" w:cs="宋体"/>
          <w:color w:val="000000"/>
        </w:rPr>
        <w:t>电</w:t>
      </w:r>
      <w:r>
        <w:rPr>
          <w:color w:val="000000"/>
        </w:rPr>
        <w:t xml:space="preserve">    </w:t>
      </w:r>
      <w:r>
        <w:rPr>
          <w:rFonts w:hint="eastAsia" w:hAnsi="宋体" w:cs="宋体"/>
          <w:color w:val="000000"/>
        </w:rPr>
        <w:t>话：</w:t>
      </w:r>
      <w:r>
        <w:rPr>
          <w:color w:val="000000"/>
          <w:u w:val="single"/>
        </w:rPr>
        <w:t xml:space="preserve">                            </w:t>
      </w:r>
    </w:p>
    <w:p>
      <w:pPr>
        <w:spacing w:line="360" w:lineRule="auto"/>
        <w:rPr>
          <w:color w:val="000000"/>
          <w:u w:val="single"/>
        </w:rPr>
      </w:pPr>
      <w:r>
        <w:rPr>
          <w:rFonts w:hint="eastAsia" w:hAnsi="宋体" w:cs="宋体"/>
          <w:color w:val="000000"/>
        </w:rPr>
        <w:t>传</w:t>
      </w:r>
      <w:r>
        <w:rPr>
          <w:color w:val="000000"/>
        </w:rPr>
        <w:t xml:space="preserve">    </w:t>
      </w:r>
      <w:r>
        <w:rPr>
          <w:rFonts w:hint="eastAsia" w:hAnsi="宋体" w:cs="宋体"/>
          <w:color w:val="000000"/>
        </w:rPr>
        <w:t>真：</w:t>
      </w:r>
      <w:r>
        <w:rPr>
          <w:color w:val="000000"/>
          <w:u w:val="single"/>
        </w:rPr>
        <w:t xml:space="preserve">                            </w:t>
      </w:r>
    </w:p>
    <w:p>
      <w:pPr>
        <w:spacing w:line="360" w:lineRule="auto"/>
        <w:rPr>
          <w:color w:val="000000"/>
          <w:u w:val="single"/>
        </w:rPr>
      </w:pPr>
    </w:p>
    <w:p>
      <w:pPr>
        <w:spacing w:line="360" w:lineRule="auto"/>
        <w:rPr>
          <w:color w:val="000000"/>
        </w:rPr>
      </w:pPr>
      <w:r>
        <w:rPr>
          <w:color w:val="000000"/>
        </w:rPr>
        <w:t xml:space="preserve">            </w:t>
      </w:r>
      <w:r>
        <w:rPr>
          <w:color w:val="000000"/>
          <w:u w:val="single"/>
        </w:rPr>
        <w:t xml:space="preserve">               </w:t>
      </w:r>
      <w:r>
        <w:rPr>
          <w:rFonts w:hint="eastAsia" w:hAnsi="宋体" w:cs="宋体"/>
          <w:color w:val="000000"/>
        </w:rPr>
        <w:t>年</w:t>
      </w:r>
      <w:r>
        <w:rPr>
          <w:color w:val="000000"/>
          <w:u w:val="single"/>
        </w:rPr>
        <w:t xml:space="preserve">      </w:t>
      </w:r>
      <w:r>
        <w:rPr>
          <w:rFonts w:hint="eastAsia" w:hAnsi="宋体" w:cs="宋体"/>
          <w:color w:val="000000"/>
        </w:rPr>
        <w:t>月</w:t>
      </w:r>
      <w:r>
        <w:rPr>
          <w:color w:val="000000"/>
          <w:u w:val="single"/>
        </w:rPr>
        <w:t xml:space="preserve">      </w:t>
      </w:r>
      <w:r>
        <w:rPr>
          <w:rFonts w:hint="eastAsia" w:hAnsi="宋体" w:cs="宋体"/>
          <w:color w:val="000000"/>
        </w:rPr>
        <w:t>日</w:t>
      </w:r>
    </w:p>
    <w:p>
      <w:pPr>
        <w:spacing w:line="480" w:lineRule="auto"/>
        <w:rPr>
          <w:rFonts w:hAnsi="宋体"/>
          <w:color w:val="000000"/>
        </w:rPr>
      </w:pPr>
    </w:p>
    <w:p>
      <w:pPr>
        <w:spacing w:line="360" w:lineRule="auto"/>
        <w:ind w:right="150" w:firstLine="420" w:firstLineChars="200"/>
        <w:jc w:val="left"/>
        <w:rPr>
          <w:rFonts w:hint="eastAsia"/>
          <w:color w:val="000000"/>
        </w:rPr>
      </w:pPr>
      <w:r>
        <w:rPr>
          <w:rFonts w:hint="eastAsia" w:hAnsi="宋体" w:cs="宋体"/>
          <w:color w:val="000000"/>
        </w:rPr>
        <w:t>（备注</w:t>
      </w:r>
      <w:r>
        <w:rPr>
          <w:rFonts w:hAnsi="宋体" w:cs="宋体"/>
          <w:color w:val="000000"/>
        </w:rPr>
        <w:t>：</w:t>
      </w:r>
      <w:r>
        <w:rPr>
          <w:rFonts w:hint="eastAsia" w:hAnsi="宋体" w:cs="宋体"/>
          <w:color w:val="000000"/>
        </w:rPr>
        <w:t>银行、保险公司和担保公司出具的</w:t>
      </w:r>
      <w:r>
        <w:rPr>
          <w:rFonts w:hint="eastAsia" w:ascii="仿宋_GB2312" w:hAnsi="宋体" w:cs="宋体"/>
          <w:color w:val="000000"/>
        </w:rPr>
        <w:t>保函格式和文本可</w:t>
      </w:r>
      <w:r>
        <w:rPr>
          <w:rFonts w:ascii="仿宋_GB2312" w:hAnsi="宋体" w:cs="宋体"/>
          <w:color w:val="000000"/>
        </w:rPr>
        <w:t>以自拟，</w:t>
      </w:r>
      <w:r>
        <w:rPr>
          <w:rFonts w:hint="eastAsia" w:ascii="仿宋_GB2312" w:hAnsi="宋体" w:cs="宋体"/>
          <w:color w:val="000000"/>
        </w:rPr>
        <w:t>但是必须包含以上条款所列全部内容</w:t>
      </w:r>
      <w:r>
        <w:rPr>
          <w:rFonts w:ascii="仿宋_GB2312" w:hAnsi="宋体" w:cs="宋体"/>
          <w:color w:val="000000"/>
        </w:rPr>
        <w:t>）</w:t>
      </w:r>
    </w:p>
    <w:p>
      <w:pPr>
        <w:spacing w:line="480" w:lineRule="auto"/>
        <w:rPr>
          <w:rFonts w:hAnsi="宋体"/>
          <w:color w:val="000000"/>
        </w:rPr>
        <w:sectPr>
          <w:pgSz w:w="11907" w:h="16840"/>
          <w:pgMar w:top="1440" w:right="1440" w:bottom="1440" w:left="1797" w:header="851" w:footer="851" w:gutter="0"/>
          <w:cols w:space="720" w:num="1"/>
          <w:docGrid w:linePitch="312" w:charSpace="0"/>
        </w:sectPr>
      </w:pPr>
    </w:p>
    <w:p>
      <w:pPr>
        <w:spacing w:line="440" w:lineRule="exact"/>
        <w:jc w:val="left"/>
        <w:rPr>
          <w:rFonts w:eastAsia="黑体"/>
          <w:color w:val="000000"/>
          <w:sz w:val="30"/>
          <w:szCs w:val="30"/>
        </w:rPr>
      </w:pPr>
      <w:r>
        <w:rPr>
          <w:rFonts w:hint="eastAsia" w:eastAsia="仿宋_GB2312" w:cs="仿宋_GB2312"/>
          <w:color w:val="000000"/>
          <w:sz w:val="30"/>
          <w:szCs w:val="30"/>
        </w:rPr>
        <w:t>附件8：</w:t>
      </w:r>
    </w:p>
    <w:p>
      <w:pPr>
        <w:spacing w:before="120" w:beforeLines="50" w:after="120" w:afterLines="50" w:line="440" w:lineRule="exact"/>
        <w:jc w:val="center"/>
        <w:rPr>
          <w:rFonts w:eastAsia="黑体"/>
          <w:color w:val="000000"/>
          <w:sz w:val="30"/>
          <w:szCs w:val="30"/>
        </w:rPr>
      </w:pPr>
      <w:r>
        <w:rPr>
          <w:rFonts w:hint="eastAsia" w:eastAsia="黑体" w:cs="黑体"/>
          <w:color w:val="000000"/>
          <w:sz w:val="30"/>
          <w:szCs w:val="30"/>
        </w:rPr>
        <w:t>支付担保</w:t>
      </w:r>
    </w:p>
    <w:p>
      <w:pPr>
        <w:spacing w:line="360" w:lineRule="auto"/>
        <w:jc w:val="left"/>
        <w:rPr>
          <w:color w:val="000000"/>
        </w:rPr>
      </w:pPr>
      <w:r>
        <w:rPr>
          <w:color w:val="000000"/>
          <w:u w:val="single"/>
        </w:rPr>
        <w:t xml:space="preserve">                     </w:t>
      </w:r>
      <w:r>
        <w:rPr>
          <w:rFonts w:hint="eastAsia" w:hAnsi="宋体" w:cs="宋体"/>
          <w:color w:val="000000"/>
        </w:rPr>
        <w:t>（承包人）：</w:t>
      </w:r>
    </w:p>
    <w:p>
      <w:pPr>
        <w:spacing w:line="360" w:lineRule="auto"/>
        <w:jc w:val="left"/>
        <w:rPr>
          <w:color w:val="000000"/>
        </w:rPr>
      </w:pPr>
    </w:p>
    <w:p>
      <w:pPr>
        <w:spacing w:line="360" w:lineRule="auto"/>
        <w:ind w:firstLine="420" w:firstLineChars="200"/>
        <w:jc w:val="left"/>
        <w:rPr>
          <w:rFonts w:hAnsi="宋体"/>
          <w:color w:val="000000"/>
        </w:rPr>
      </w:pPr>
      <w:r>
        <w:rPr>
          <w:rFonts w:hint="eastAsia" w:hAnsi="宋体" w:cs="宋体"/>
          <w:color w:val="000000"/>
        </w:rPr>
        <w:t>鉴于你方作为承包人已经与</w:t>
      </w:r>
      <w:r>
        <w:rPr>
          <w:color w:val="000000"/>
          <w:u w:val="single"/>
        </w:rPr>
        <w:t xml:space="preserve">           </w:t>
      </w:r>
      <w:r>
        <w:rPr>
          <w:rFonts w:hint="eastAsia" w:hAnsi="宋体" w:cs="宋体"/>
          <w:color w:val="000000"/>
        </w:rPr>
        <w:t>（发包人名称）（以下称</w:t>
      </w:r>
      <w:r>
        <w:rPr>
          <w:color w:val="000000"/>
        </w:rPr>
        <w:t>“</w:t>
      </w:r>
      <w:r>
        <w:rPr>
          <w:rFonts w:hint="eastAsia" w:hAnsi="宋体" w:cs="宋体"/>
          <w:color w:val="000000"/>
        </w:rPr>
        <w:t>发包人</w:t>
      </w:r>
      <w:r>
        <w:rPr>
          <w:color w:val="000000"/>
        </w:rPr>
        <w:t>”</w:t>
      </w:r>
      <w:r>
        <w:rPr>
          <w:rFonts w:hint="eastAsia" w:hAnsi="宋体" w:cs="宋体"/>
          <w:color w:val="000000"/>
        </w:rPr>
        <w:t>）于</w:t>
      </w:r>
      <w:r>
        <w:rPr>
          <w:color w:val="000000"/>
          <w:u w:val="single"/>
        </w:rPr>
        <w:t xml:space="preserve">      </w:t>
      </w:r>
      <w:r>
        <w:rPr>
          <w:rFonts w:hint="eastAsia" w:hAnsi="宋体" w:cs="宋体"/>
          <w:color w:val="000000"/>
        </w:rPr>
        <w:t>年</w:t>
      </w:r>
      <w:r>
        <w:rPr>
          <w:color w:val="000000"/>
          <w:u w:val="single"/>
        </w:rPr>
        <w:t xml:space="preserve">   </w:t>
      </w:r>
      <w:r>
        <w:rPr>
          <w:rFonts w:hint="eastAsia" w:hAnsi="宋体" w:cs="宋体"/>
          <w:color w:val="000000"/>
        </w:rPr>
        <w:t>月</w:t>
      </w:r>
      <w:r>
        <w:rPr>
          <w:color w:val="000000"/>
          <w:u w:val="single"/>
        </w:rPr>
        <w:t xml:space="preserve">    </w:t>
      </w:r>
      <w:r>
        <w:rPr>
          <w:rFonts w:hint="eastAsia" w:hAnsi="宋体" w:cs="宋体"/>
          <w:color w:val="000000"/>
        </w:rPr>
        <w:t>日签订了</w:t>
      </w:r>
      <w:r>
        <w:rPr>
          <w:color w:val="000000"/>
          <w:u w:val="single"/>
        </w:rPr>
        <w:t xml:space="preserve">                          </w:t>
      </w:r>
      <w:r>
        <w:rPr>
          <w:rFonts w:hint="eastAsia" w:hAnsi="宋体" w:cs="宋体"/>
          <w:color w:val="000000"/>
        </w:rPr>
        <w:t>（工程名称）《建设工程施工合同》（以下称</w:t>
      </w:r>
      <w:r>
        <w:rPr>
          <w:color w:val="000000"/>
        </w:rPr>
        <w:t>“</w:t>
      </w:r>
      <w:r>
        <w:rPr>
          <w:rFonts w:hint="eastAsia" w:hAnsi="宋体" w:cs="宋体"/>
          <w:color w:val="000000"/>
        </w:rPr>
        <w:t>主合同</w:t>
      </w:r>
      <w:r>
        <w:rPr>
          <w:color w:val="000000"/>
        </w:rPr>
        <w:t>”</w:t>
      </w:r>
      <w:r>
        <w:rPr>
          <w:rFonts w:hint="eastAsia" w:hAnsi="宋体" w:cs="宋体"/>
          <w:color w:val="000000"/>
        </w:rPr>
        <w:t>），应发包人的申请，我方愿就发包人履行主合同约定的工程款支付义务以保证的方式向你方提供如下担保：</w:t>
      </w:r>
    </w:p>
    <w:p>
      <w:pPr>
        <w:spacing w:line="360" w:lineRule="auto"/>
        <w:ind w:firstLine="420" w:firstLineChars="200"/>
        <w:jc w:val="left"/>
        <w:rPr>
          <w:rFonts w:ascii="黑体" w:eastAsia="黑体"/>
          <w:color w:val="000000"/>
        </w:rPr>
      </w:pPr>
      <w:r>
        <w:rPr>
          <w:rFonts w:hint="eastAsia" w:ascii="黑体" w:hAnsi="宋体" w:eastAsia="黑体" w:cs="黑体"/>
          <w:color w:val="000000"/>
        </w:rPr>
        <w:t>一、保证的范围及保证金额</w:t>
      </w:r>
    </w:p>
    <w:p>
      <w:pPr>
        <w:spacing w:line="360" w:lineRule="auto"/>
        <w:ind w:firstLine="420" w:firstLineChars="200"/>
        <w:jc w:val="left"/>
        <w:rPr>
          <w:color w:val="000000"/>
        </w:rPr>
      </w:pPr>
      <w:r>
        <w:rPr>
          <w:color w:val="000000"/>
        </w:rPr>
        <w:t xml:space="preserve">1. </w:t>
      </w:r>
      <w:r>
        <w:rPr>
          <w:rFonts w:hint="eastAsia" w:hAnsi="宋体" w:cs="宋体"/>
          <w:color w:val="000000"/>
        </w:rPr>
        <w:t>我方的保证范围是主合同约定的工程款。</w:t>
      </w:r>
    </w:p>
    <w:p>
      <w:pPr>
        <w:spacing w:line="360" w:lineRule="auto"/>
        <w:ind w:firstLine="420" w:firstLineChars="200"/>
        <w:jc w:val="left"/>
        <w:rPr>
          <w:color w:val="000000"/>
        </w:rPr>
      </w:pPr>
      <w:r>
        <w:rPr>
          <w:color w:val="000000"/>
        </w:rPr>
        <w:t xml:space="preserve">2. </w:t>
      </w:r>
      <w:r>
        <w:rPr>
          <w:rFonts w:hint="eastAsia" w:hAnsi="宋体" w:cs="宋体"/>
          <w:color w:val="000000"/>
        </w:rPr>
        <w:t>本保函所称主合同约定的工程款是指主合同约定的除工程质量保证金以外的合同价款。</w:t>
      </w:r>
    </w:p>
    <w:p>
      <w:pPr>
        <w:spacing w:line="360" w:lineRule="auto"/>
        <w:ind w:firstLine="420" w:firstLineChars="200"/>
        <w:jc w:val="left"/>
        <w:rPr>
          <w:color w:val="000000"/>
        </w:rPr>
      </w:pPr>
      <w:r>
        <w:rPr>
          <w:color w:val="000000"/>
        </w:rPr>
        <w:t xml:space="preserve">3. </w:t>
      </w:r>
      <w:r>
        <w:rPr>
          <w:rFonts w:hint="eastAsia" w:hAnsi="宋体" w:cs="宋体"/>
          <w:color w:val="000000"/>
        </w:rPr>
        <w:t>我方保证的金额是主合同约定的工程款的</w:t>
      </w:r>
      <w:r>
        <w:rPr>
          <w:color w:val="000000"/>
          <w:u w:val="single"/>
        </w:rPr>
        <w:t xml:space="preserve">      </w:t>
      </w:r>
      <w:r>
        <w:rPr>
          <w:color w:val="000000"/>
        </w:rPr>
        <w:t>%</w:t>
      </w:r>
      <w:r>
        <w:rPr>
          <w:rFonts w:hint="eastAsia" w:hAnsi="宋体" w:cs="宋体"/>
          <w:color w:val="000000"/>
        </w:rPr>
        <w:t>，数额最高不超过人民币元（大写：</w:t>
      </w:r>
      <w:r>
        <w:rPr>
          <w:color w:val="000000"/>
          <w:u w:val="single"/>
        </w:rPr>
        <w:t xml:space="preserve">        </w:t>
      </w:r>
      <w:r>
        <w:rPr>
          <w:rFonts w:hint="eastAsia" w:hAnsi="宋体" w:cs="宋体"/>
          <w:color w:val="000000"/>
        </w:rPr>
        <w:t>）。</w:t>
      </w:r>
    </w:p>
    <w:p>
      <w:pPr>
        <w:spacing w:line="360" w:lineRule="auto"/>
        <w:ind w:firstLine="420" w:firstLineChars="200"/>
        <w:jc w:val="left"/>
        <w:rPr>
          <w:rFonts w:ascii="黑体" w:eastAsia="黑体"/>
          <w:color w:val="000000"/>
        </w:rPr>
      </w:pPr>
      <w:r>
        <w:rPr>
          <w:rFonts w:hint="eastAsia" w:ascii="黑体" w:hAnsi="宋体" w:eastAsia="黑体" w:cs="黑体"/>
          <w:color w:val="000000"/>
        </w:rPr>
        <w:t>二、保证的方式及保证期间</w:t>
      </w:r>
    </w:p>
    <w:p>
      <w:pPr>
        <w:spacing w:line="360" w:lineRule="auto"/>
        <w:ind w:firstLine="420" w:firstLineChars="200"/>
        <w:jc w:val="left"/>
        <w:rPr>
          <w:color w:val="000000"/>
        </w:rPr>
      </w:pPr>
      <w:r>
        <w:rPr>
          <w:color w:val="000000"/>
        </w:rPr>
        <w:t xml:space="preserve">1. </w:t>
      </w:r>
      <w:r>
        <w:rPr>
          <w:rFonts w:hint="eastAsia" w:hAnsi="宋体" w:cs="宋体"/>
          <w:color w:val="000000"/>
        </w:rPr>
        <w:t>我方保证的方式为：连带责任保证。</w:t>
      </w:r>
    </w:p>
    <w:p>
      <w:pPr>
        <w:spacing w:line="360" w:lineRule="auto"/>
        <w:ind w:firstLine="420" w:firstLineChars="200"/>
        <w:jc w:val="left"/>
        <w:rPr>
          <w:color w:val="000000"/>
        </w:rPr>
      </w:pPr>
      <w:r>
        <w:rPr>
          <w:color w:val="000000"/>
        </w:rPr>
        <w:t xml:space="preserve">2. </w:t>
      </w:r>
      <w:r>
        <w:rPr>
          <w:rFonts w:hint="eastAsia" w:hAnsi="宋体" w:cs="宋体"/>
          <w:color w:val="000000"/>
        </w:rPr>
        <w:t>我方保证的期间为：自本合同生效之日起至主合同约定的工程款支付完毕之日后</w:t>
      </w:r>
      <w:r>
        <w:rPr>
          <w:color w:val="000000"/>
          <w:u w:val="single"/>
        </w:rPr>
        <w:t xml:space="preserve">    </w:t>
      </w:r>
      <w:r>
        <w:rPr>
          <w:rFonts w:hint="eastAsia" w:hAnsi="宋体" w:cs="宋体"/>
          <w:color w:val="000000"/>
        </w:rPr>
        <w:t>日内。</w:t>
      </w:r>
    </w:p>
    <w:p>
      <w:pPr>
        <w:spacing w:line="360" w:lineRule="auto"/>
        <w:ind w:firstLine="420" w:firstLineChars="200"/>
        <w:jc w:val="left"/>
        <w:rPr>
          <w:color w:val="000000"/>
        </w:rPr>
      </w:pPr>
      <w:r>
        <w:rPr>
          <w:color w:val="000000"/>
        </w:rPr>
        <w:t xml:space="preserve">3. </w:t>
      </w:r>
      <w:r>
        <w:rPr>
          <w:rFonts w:hint="eastAsia" w:hAnsi="宋体" w:cs="宋体"/>
          <w:color w:val="000000"/>
        </w:rPr>
        <w:t>你方与发包人协议变更工程款支付日期的，经我方书面同意后，保证期间按照变更后的支付日期做相应调整。</w:t>
      </w:r>
    </w:p>
    <w:p>
      <w:pPr>
        <w:spacing w:line="360" w:lineRule="auto"/>
        <w:ind w:firstLine="420" w:firstLineChars="200"/>
        <w:jc w:val="left"/>
        <w:rPr>
          <w:rFonts w:ascii="黑体" w:eastAsia="黑体"/>
          <w:color w:val="000000"/>
        </w:rPr>
      </w:pPr>
      <w:r>
        <w:rPr>
          <w:rFonts w:hint="eastAsia" w:ascii="黑体" w:hAnsi="宋体" w:eastAsia="黑体" w:cs="黑体"/>
          <w:color w:val="000000"/>
        </w:rPr>
        <w:t>三、承担保证责任的形式</w:t>
      </w:r>
    </w:p>
    <w:p>
      <w:pPr>
        <w:spacing w:line="360" w:lineRule="auto"/>
        <w:ind w:firstLine="420" w:firstLineChars="200"/>
        <w:jc w:val="left"/>
        <w:rPr>
          <w:color w:val="000000"/>
        </w:rPr>
      </w:pPr>
      <w:r>
        <w:rPr>
          <w:rFonts w:hint="eastAsia" w:hAnsi="宋体" w:cs="宋体"/>
          <w:color w:val="000000"/>
        </w:rPr>
        <w:t>我方承担保证责任的形式是代为支付。发包人未按主合同约定向你方支付工程款的，由我方在保证金额内代为支付。</w:t>
      </w:r>
    </w:p>
    <w:p>
      <w:pPr>
        <w:spacing w:line="360" w:lineRule="auto"/>
        <w:ind w:firstLine="420" w:firstLineChars="200"/>
        <w:jc w:val="left"/>
        <w:rPr>
          <w:rFonts w:ascii="黑体" w:eastAsia="黑体"/>
          <w:color w:val="000000"/>
        </w:rPr>
      </w:pPr>
      <w:r>
        <w:rPr>
          <w:rFonts w:hint="eastAsia" w:ascii="黑体" w:hAnsi="宋体" w:eastAsia="黑体" w:cs="黑体"/>
          <w:color w:val="000000"/>
        </w:rPr>
        <w:t>四、代偿的安排</w:t>
      </w:r>
    </w:p>
    <w:p>
      <w:pPr>
        <w:spacing w:line="360" w:lineRule="auto"/>
        <w:ind w:firstLine="420" w:firstLineChars="200"/>
        <w:jc w:val="left"/>
        <w:rPr>
          <w:color w:val="000000"/>
        </w:rPr>
      </w:pPr>
      <w:r>
        <w:rPr>
          <w:color w:val="000000"/>
        </w:rPr>
        <w:t xml:space="preserve">1. </w:t>
      </w:r>
      <w:r>
        <w:rPr>
          <w:rFonts w:hint="eastAsia" w:hAnsi="宋体" w:cs="宋体"/>
          <w:color w:val="000000"/>
        </w:rPr>
        <w:t>你方要求我方承担保证责任的，应向我方发出书面索赔通知及发包人未支付主合同约定工程款的证明材料。索赔通知应写明要求索赔的金额，支付款项应到达的账号。</w:t>
      </w:r>
    </w:p>
    <w:p>
      <w:pPr>
        <w:spacing w:line="360" w:lineRule="auto"/>
        <w:ind w:firstLine="420" w:firstLineChars="200"/>
        <w:jc w:val="left"/>
        <w:rPr>
          <w:color w:val="000000"/>
        </w:rPr>
      </w:pPr>
      <w:r>
        <w:rPr>
          <w:color w:val="000000"/>
        </w:rPr>
        <w:t xml:space="preserve">2. </w:t>
      </w:r>
      <w:r>
        <w:rPr>
          <w:rFonts w:hint="eastAsia" w:hAnsi="宋体" w:cs="宋体"/>
          <w:color w:val="000000"/>
        </w:rPr>
        <w:t>在出现你方与发包人因工程质量发生争议，发包人拒绝向你方支付工程款的情形时，你方要求我方履行保证责任代为支付的，需提供符合相应条件要求的工程质量检测机构出具的质量说明材料。</w:t>
      </w:r>
    </w:p>
    <w:p>
      <w:pPr>
        <w:spacing w:line="360" w:lineRule="auto"/>
        <w:ind w:firstLine="420" w:firstLineChars="200"/>
        <w:jc w:val="left"/>
        <w:rPr>
          <w:color w:val="000000"/>
        </w:rPr>
      </w:pPr>
      <w:r>
        <w:rPr>
          <w:color w:val="000000"/>
        </w:rPr>
        <w:t xml:space="preserve">3. </w:t>
      </w:r>
      <w:r>
        <w:rPr>
          <w:rFonts w:hint="eastAsia" w:hAnsi="宋体" w:cs="宋体"/>
          <w:color w:val="000000"/>
        </w:rPr>
        <w:t>我方收到你方的书面索赔通知及相应的证明材料后７天内无条件支付。</w:t>
      </w:r>
    </w:p>
    <w:p>
      <w:pPr>
        <w:spacing w:line="360" w:lineRule="auto"/>
        <w:ind w:firstLine="420" w:firstLineChars="200"/>
        <w:jc w:val="left"/>
        <w:rPr>
          <w:rFonts w:ascii="黑体" w:eastAsia="黑体"/>
          <w:color w:val="000000"/>
        </w:rPr>
      </w:pPr>
      <w:r>
        <w:rPr>
          <w:rFonts w:hint="eastAsia" w:ascii="黑体" w:hAnsi="宋体" w:eastAsia="黑体" w:cs="黑体"/>
          <w:color w:val="000000"/>
        </w:rPr>
        <w:t>五、保证责任的解除</w:t>
      </w:r>
    </w:p>
    <w:p>
      <w:pPr>
        <w:spacing w:line="360" w:lineRule="auto"/>
        <w:ind w:firstLine="420" w:firstLineChars="200"/>
        <w:jc w:val="left"/>
        <w:rPr>
          <w:color w:val="000000"/>
        </w:rPr>
      </w:pPr>
      <w:r>
        <w:rPr>
          <w:color w:val="000000"/>
        </w:rPr>
        <w:t xml:space="preserve">1. </w:t>
      </w:r>
      <w:r>
        <w:rPr>
          <w:rFonts w:hint="eastAsia" w:hAnsi="宋体" w:cs="宋体"/>
          <w:color w:val="000000"/>
        </w:rPr>
        <w:t>在本保函承诺的保证期间内，你方未书面向我方主张保证责任的，自保证期间届满次日起，我方保证责任解除。</w:t>
      </w:r>
    </w:p>
    <w:p>
      <w:pPr>
        <w:spacing w:line="360" w:lineRule="auto"/>
        <w:ind w:firstLine="420" w:firstLineChars="200"/>
        <w:jc w:val="left"/>
        <w:rPr>
          <w:color w:val="000000"/>
        </w:rPr>
      </w:pPr>
      <w:r>
        <w:rPr>
          <w:color w:val="000000"/>
        </w:rPr>
        <w:t xml:space="preserve">2. </w:t>
      </w:r>
      <w:r>
        <w:rPr>
          <w:rFonts w:hint="eastAsia" w:hAnsi="宋体" w:cs="宋体"/>
          <w:color w:val="000000"/>
        </w:rPr>
        <w:t>发包人按主合同约定履行了工程款的全部支付义务的，自本保函承诺的保证期间届满次日起，我方保证责任解除。</w:t>
      </w:r>
    </w:p>
    <w:p>
      <w:pPr>
        <w:spacing w:line="360" w:lineRule="auto"/>
        <w:ind w:firstLine="420" w:firstLineChars="200"/>
        <w:jc w:val="left"/>
        <w:rPr>
          <w:color w:val="000000"/>
        </w:rPr>
      </w:pPr>
      <w:r>
        <w:rPr>
          <w:color w:val="000000"/>
        </w:rPr>
        <w:t xml:space="preserve">3. </w:t>
      </w:r>
      <w:r>
        <w:rPr>
          <w:rFonts w:hint="eastAsia" w:hAnsi="宋体" w:cs="宋体"/>
          <w:color w:val="000000"/>
        </w:rPr>
        <w:t>我方按照本保函向你方履行保证责任所支付金额达到本保函保证金额时，自我方向你方支付（支付款项从我方账户划出）之日起，保证责任即解除。</w:t>
      </w:r>
    </w:p>
    <w:p>
      <w:pPr>
        <w:spacing w:line="360" w:lineRule="auto"/>
        <w:ind w:firstLine="420" w:firstLineChars="200"/>
        <w:jc w:val="left"/>
        <w:rPr>
          <w:color w:val="000000"/>
        </w:rPr>
      </w:pPr>
      <w:r>
        <w:rPr>
          <w:color w:val="000000"/>
        </w:rPr>
        <w:t xml:space="preserve">4. </w:t>
      </w:r>
      <w:r>
        <w:rPr>
          <w:rFonts w:hint="eastAsia" w:hAnsi="宋体" w:cs="宋体"/>
          <w:color w:val="000000"/>
        </w:rPr>
        <w:t>按照法律法规的规定或出现应解除我方保证责任的其他情形的，我方在本保函项下的保证责任亦解除。</w:t>
      </w:r>
    </w:p>
    <w:p>
      <w:pPr>
        <w:spacing w:line="360" w:lineRule="auto"/>
        <w:ind w:firstLine="420" w:firstLineChars="200"/>
        <w:jc w:val="left"/>
        <w:rPr>
          <w:color w:val="000000"/>
        </w:rPr>
      </w:pPr>
      <w:r>
        <w:rPr>
          <w:color w:val="000000"/>
        </w:rPr>
        <w:t xml:space="preserve">5. </w:t>
      </w:r>
      <w:r>
        <w:rPr>
          <w:rFonts w:hint="eastAsia" w:hAnsi="宋体" w:cs="宋体"/>
          <w:color w:val="000000"/>
        </w:rPr>
        <w:t>我方解除保证责任后，你方应自我方保证责任解除之日起</w:t>
      </w:r>
      <w:r>
        <w:rPr>
          <w:color w:val="000000"/>
          <w:u w:val="single"/>
        </w:rPr>
        <w:t xml:space="preserve">  </w:t>
      </w:r>
      <w:r>
        <w:rPr>
          <w:rFonts w:hint="eastAsia" w:hAnsi="宋体" w:cs="宋体"/>
          <w:color w:val="000000"/>
        </w:rPr>
        <w:t>个工作日内，将本保函原件返还我方。</w:t>
      </w:r>
    </w:p>
    <w:p>
      <w:pPr>
        <w:spacing w:line="360" w:lineRule="auto"/>
        <w:ind w:firstLine="420" w:firstLineChars="200"/>
        <w:jc w:val="left"/>
        <w:rPr>
          <w:rFonts w:ascii="黑体" w:eastAsia="黑体"/>
          <w:color w:val="000000"/>
        </w:rPr>
      </w:pPr>
      <w:r>
        <w:rPr>
          <w:rFonts w:hint="eastAsia" w:ascii="黑体" w:hAnsi="宋体" w:eastAsia="黑体" w:cs="黑体"/>
          <w:color w:val="000000"/>
        </w:rPr>
        <w:t>六、免责条款</w:t>
      </w:r>
    </w:p>
    <w:p>
      <w:pPr>
        <w:spacing w:line="360" w:lineRule="auto"/>
        <w:ind w:firstLine="420" w:firstLineChars="200"/>
        <w:jc w:val="left"/>
        <w:rPr>
          <w:color w:val="000000"/>
        </w:rPr>
      </w:pPr>
      <w:r>
        <w:rPr>
          <w:color w:val="000000"/>
        </w:rPr>
        <w:t xml:space="preserve">1. </w:t>
      </w:r>
      <w:r>
        <w:rPr>
          <w:rFonts w:hint="eastAsia" w:hAnsi="宋体" w:cs="宋体"/>
          <w:color w:val="000000"/>
        </w:rPr>
        <w:t>因你方违约致使发包人不能履行义务的，我方不承担保证责任。</w:t>
      </w:r>
    </w:p>
    <w:p>
      <w:pPr>
        <w:spacing w:line="360" w:lineRule="auto"/>
        <w:ind w:firstLine="420" w:firstLineChars="200"/>
        <w:jc w:val="left"/>
        <w:rPr>
          <w:color w:val="000000"/>
        </w:rPr>
      </w:pPr>
      <w:r>
        <w:rPr>
          <w:color w:val="000000"/>
        </w:rPr>
        <w:t xml:space="preserve">2. </w:t>
      </w:r>
      <w:r>
        <w:rPr>
          <w:rFonts w:hint="eastAsia" w:hAnsi="宋体" w:cs="宋体"/>
          <w:color w:val="000000"/>
        </w:rPr>
        <w:t>依照法律法规的规定或你方与发包人的另行约定，免除发包人部分或全部义务的，我方亦免除其相应的保证责任。</w:t>
      </w:r>
    </w:p>
    <w:p>
      <w:pPr>
        <w:spacing w:line="360" w:lineRule="auto"/>
        <w:ind w:firstLine="420" w:firstLineChars="200"/>
        <w:jc w:val="left"/>
        <w:rPr>
          <w:color w:val="000000"/>
        </w:rPr>
      </w:pPr>
      <w:r>
        <w:rPr>
          <w:color w:val="000000"/>
        </w:rPr>
        <w:t xml:space="preserve">3. </w:t>
      </w:r>
      <w:r>
        <w:rPr>
          <w:rFonts w:hint="eastAsia" w:hAnsi="宋体" w:cs="宋体"/>
          <w:color w:val="000000"/>
        </w:rPr>
        <w:t>你方与发包人协议变更主合同的，如加重发包人责任致使我方保证责任加重的，需征得我方书面同意，否则我方不再承担因此而加重部分的保证责任，但主合同第</w:t>
      </w:r>
      <w:r>
        <w:rPr>
          <w:color w:val="000000"/>
        </w:rPr>
        <w:t>10</w:t>
      </w:r>
      <w:r>
        <w:rPr>
          <w:rFonts w:hint="eastAsia" w:hAnsi="宋体" w:cs="宋体"/>
          <w:color w:val="000000"/>
        </w:rPr>
        <w:t>条〔变更〕约定的变更不受本款限制。</w:t>
      </w:r>
    </w:p>
    <w:p>
      <w:pPr>
        <w:spacing w:line="360" w:lineRule="auto"/>
        <w:ind w:firstLine="420" w:firstLineChars="200"/>
        <w:jc w:val="left"/>
        <w:rPr>
          <w:color w:val="000000"/>
        </w:rPr>
      </w:pPr>
      <w:r>
        <w:rPr>
          <w:color w:val="000000"/>
        </w:rPr>
        <w:t xml:space="preserve">4. </w:t>
      </w:r>
      <w:r>
        <w:rPr>
          <w:rFonts w:hint="eastAsia" w:hAnsi="宋体" w:cs="宋体"/>
          <w:color w:val="000000"/>
        </w:rPr>
        <w:t>因不可抗力造成发包人不能履行义务的，我方不承担保证责任。</w:t>
      </w:r>
    </w:p>
    <w:p>
      <w:pPr>
        <w:spacing w:line="360" w:lineRule="auto"/>
        <w:ind w:firstLine="420" w:firstLineChars="200"/>
        <w:jc w:val="left"/>
        <w:rPr>
          <w:rFonts w:ascii="黑体" w:eastAsia="黑体"/>
          <w:color w:val="000000"/>
        </w:rPr>
      </w:pPr>
      <w:r>
        <w:rPr>
          <w:rFonts w:hint="eastAsia" w:ascii="黑体" w:hAnsi="宋体" w:eastAsia="黑体" w:cs="黑体"/>
          <w:color w:val="000000"/>
        </w:rPr>
        <w:t>七、争议解决</w:t>
      </w:r>
    </w:p>
    <w:p>
      <w:pPr>
        <w:spacing w:line="360" w:lineRule="auto"/>
        <w:ind w:firstLine="420" w:firstLineChars="200"/>
        <w:rPr>
          <w:color w:val="000000"/>
        </w:rPr>
      </w:pPr>
      <w:r>
        <w:rPr>
          <w:rFonts w:hint="eastAsia" w:hAnsi="宋体" w:cs="宋体"/>
          <w:color w:val="000000"/>
        </w:rPr>
        <w:t>因本保函或本保函相关事项发生的纠纷，可由双方协商解决，协商不成的，按下列第</w:t>
      </w:r>
      <w:r>
        <w:rPr>
          <w:color w:val="000000"/>
          <w:u w:val="single"/>
        </w:rPr>
        <w:t xml:space="preserve">     </w:t>
      </w:r>
      <w:r>
        <w:rPr>
          <w:rFonts w:hint="eastAsia" w:hAnsi="宋体" w:cs="宋体"/>
          <w:color w:val="000000"/>
        </w:rPr>
        <w:t>种方式解决：</w:t>
      </w:r>
    </w:p>
    <w:p>
      <w:pPr>
        <w:spacing w:line="360" w:lineRule="auto"/>
        <w:ind w:firstLine="420" w:firstLineChars="200"/>
        <w:jc w:val="left"/>
        <w:rPr>
          <w:color w:val="000000"/>
        </w:rPr>
      </w:pPr>
      <w:r>
        <w:rPr>
          <w:rFonts w:hint="eastAsia" w:hAnsi="宋体" w:cs="宋体"/>
          <w:color w:val="000000"/>
        </w:rPr>
        <w:t>（</w:t>
      </w:r>
      <w:r>
        <w:rPr>
          <w:color w:val="000000"/>
        </w:rPr>
        <w:t>1</w:t>
      </w:r>
      <w:r>
        <w:rPr>
          <w:rFonts w:hint="eastAsia" w:hAnsi="宋体" w:cs="宋体"/>
          <w:color w:val="000000"/>
        </w:rPr>
        <w:t>）向</w:t>
      </w:r>
      <w:r>
        <w:rPr>
          <w:color w:val="000000"/>
          <w:u w:val="single"/>
        </w:rPr>
        <w:t xml:space="preserve">                     </w:t>
      </w:r>
      <w:r>
        <w:rPr>
          <w:rFonts w:hint="eastAsia" w:hAnsi="宋体" w:cs="宋体"/>
          <w:color w:val="000000"/>
        </w:rPr>
        <w:t>仲裁委员会申请仲裁；</w:t>
      </w:r>
    </w:p>
    <w:p>
      <w:pPr>
        <w:spacing w:line="360" w:lineRule="auto"/>
        <w:ind w:firstLine="420" w:firstLineChars="200"/>
        <w:jc w:val="left"/>
        <w:rPr>
          <w:color w:val="000000"/>
        </w:rPr>
      </w:pPr>
      <w:r>
        <w:rPr>
          <w:rFonts w:hint="eastAsia" w:hAnsi="宋体" w:cs="宋体"/>
          <w:color w:val="000000"/>
        </w:rPr>
        <w:t>（</w:t>
      </w:r>
      <w:r>
        <w:rPr>
          <w:color w:val="000000"/>
        </w:rPr>
        <w:t>2</w:t>
      </w:r>
      <w:r>
        <w:rPr>
          <w:rFonts w:hint="eastAsia" w:hAnsi="宋体" w:cs="宋体"/>
          <w:color w:val="000000"/>
        </w:rPr>
        <w:t>）向</w:t>
      </w:r>
      <w:r>
        <w:rPr>
          <w:color w:val="000000"/>
          <w:u w:val="single"/>
        </w:rPr>
        <w:t xml:space="preserve">                     </w:t>
      </w:r>
      <w:r>
        <w:rPr>
          <w:rFonts w:hint="eastAsia" w:hAnsi="宋体" w:cs="宋体"/>
          <w:color w:val="000000"/>
        </w:rPr>
        <w:t>人民法院起诉。</w:t>
      </w:r>
    </w:p>
    <w:p>
      <w:pPr>
        <w:spacing w:line="360" w:lineRule="auto"/>
        <w:ind w:firstLine="420" w:firstLineChars="200"/>
        <w:jc w:val="left"/>
        <w:rPr>
          <w:rFonts w:ascii="黑体" w:eastAsia="黑体"/>
          <w:color w:val="000000"/>
        </w:rPr>
      </w:pPr>
      <w:r>
        <w:rPr>
          <w:rFonts w:hint="eastAsia" w:ascii="黑体" w:hAnsi="宋体" w:eastAsia="黑体" w:cs="黑体"/>
          <w:color w:val="000000"/>
        </w:rPr>
        <w:t>八、保函的生效</w:t>
      </w:r>
    </w:p>
    <w:p>
      <w:pPr>
        <w:spacing w:line="360" w:lineRule="auto"/>
        <w:ind w:firstLine="420" w:firstLineChars="200"/>
        <w:jc w:val="left"/>
        <w:rPr>
          <w:color w:val="000000"/>
        </w:rPr>
      </w:pPr>
      <w:r>
        <w:rPr>
          <w:rFonts w:hint="eastAsia" w:hAnsi="宋体" w:cs="宋体"/>
          <w:color w:val="000000"/>
        </w:rPr>
        <w:t>本保函自我方法定代表人（或其授权代理人）签字并加盖公章之日起生效。</w:t>
      </w:r>
    </w:p>
    <w:p>
      <w:pPr>
        <w:spacing w:line="360" w:lineRule="auto"/>
        <w:jc w:val="left"/>
        <w:rPr>
          <w:color w:val="000000"/>
        </w:rPr>
      </w:pPr>
    </w:p>
    <w:p>
      <w:pPr>
        <w:spacing w:line="360" w:lineRule="auto"/>
        <w:ind w:right="600"/>
        <w:jc w:val="left"/>
        <w:rPr>
          <w:color w:val="000000"/>
        </w:rPr>
      </w:pPr>
    </w:p>
    <w:p>
      <w:pPr>
        <w:spacing w:line="360" w:lineRule="auto"/>
        <w:ind w:right="600"/>
        <w:jc w:val="left"/>
        <w:rPr>
          <w:color w:val="000000"/>
        </w:rPr>
      </w:pPr>
      <w:r>
        <w:rPr>
          <w:rFonts w:hint="eastAsia" w:hAnsi="宋体" w:cs="宋体"/>
          <w:color w:val="000000"/>
        </w:rPr>
        <w:t>担保人：</w:t>
      </w:r>
      <w:r>
        <w:rPr>
          <w:color w:val="000000"/>
          <w:u w:val="single"/>
        </w:rPr>
        <w:t xml:space="preserve">                                   </w:t>
      </w:r>
      <w:r>
        <w:rPr>
          <w:rFonts w:hint="eastAsia" w:hAnsi="宋体" w:cs="宋体"/>
          <w:color w:val="000000"/>
        </w:rPr>
        <w:t>（盖章）</w:t>
      </w:r>
    </w:p>
    <w:p>
      <w:pPr>
        <w:spacing w:line="360" w:lineRule="auto"/>
        <w:ind w:right="1200"/>
        <w:rPr>
          <w:color w:val="000000"/>
        </w:rPr>
      </w:pPr>
      <w:r>
        <w:rPr>
          <w:rFonts w:hint="eastAsia" w:hAnsi="宋体" w:cs="宋体"/>
          <w:color w:val="000000"/>
        </w:rPr>
        <w:t>法定代表人或委托代理人：</w:t>
      </w:r>
      <w:r>
        <w:rPr>
          <w:color w:val="000000"/>
          <w:u w:val="single"/>
        </w:rPr>
        <w:t xml:space="preserve">                   </w:t>
      </w:r>
      <w:r>
        <w:rPr>
          <w:rFonts w:hint="eastAsia" w:hAnsi="宋体" w:cs="宋体"/>
          <w:color w:val="000000"/>
        </w:rPr>
        <w:t>（签字）</w:t>
      </w:r>
    </w:p>
    <w:p>
      <w:pPr>
        <w:spacing w:line="360" w:lineRule="auto"/>
        <w:jc w:val="left"/>
        <w:rPr>
          <w:color w:val="000000"/>
        </w:rPr>
      </w:pPr>
      <w:r>
        <w:rPr>
          <w:rFonts w:hint="eastAsia" w:hAnsi="宋体" w:cs="宋体"/>
          <w:color w:val="000000"/>
        </w:rPr>
        <w:t>地</w:t>
      </w:r>
      <w:r>
        <w:rPr>
          <w:color w:val="000000"/>
        </w:rPr>
        <w:t xml:space="preserve">    </w:t>
      </w:r>
      <w:r>
        <w:rPr>
          <w:rFonts w:hint="eastAsia" w:hAnsi="宋体" w:cs="宋体"/>
          <w:color w:val="000000"/>
        </w:rPr>
        <w:t>址：</w:t>
      </w:r>
      <w:r>
        <w:rPr>
          <w:color w:val="000000"/>
          <w:u w:val="single"/>
        </w:rPr>
        <w:t xml:space="preserve">                                        </w:t>
      </w:r>
    </w:p>
    <w:p>
      <w:pPr>
        <w:spacing w:line="360" w:lineRule="auto"/>
        <w:jc w:val="left"/>
        <w:rPr>
          <w:color w:val="000000"/>
        </w:rPr>
      </w:pPr>
      <w:r>
        <w:rPr>
          <w:rFonts w:hint="eastAsia" w:hAnsi="宋体" w:cs="宋体"/>
          <w:color w:val="000000"/>
        </w:rPr>
        <w:t>邮政编码：</w:t>
      </w:r>
      <w:r>
        <w:rPr>
          <w:color w:val="000000"/>
          <w:u w:val="single"/>
        </w:rPr>
        <w:t xml:space="preserve">                                        </w:t>
      </w:r>
    </w:p>
    <w:p>
      <w:pPr>
        <w:spacing w:line="360" w:lineRule="auto"/>
        <w:jc w:val="left"/>
        <w:rPr>
          <w:color w:val="000000"/>
        </w:rPr>
      </w:pPr>
      <w:r>
        <w:rPr>
          <w:rFonts w:hint="eastAsia" w:hAnsi="宋体" w:cs="宋体"/>
          <w:color w:val="000000"/>
        </w:rPr>
        <w:t>传</w:t>
      </w:r>
      <w:r>
        <w:rPr>
          <w:color w:val="000000"/>
        </w:rPr>
        <w:t xml:space="preserve">    </w:t>
      </w:r>
      <w:r>
        <w:rPr>
          <w:rFonts w:hint="eastAsia" w:hAnsi="宋体" w:cs="宋体"/>
          <w:color w:val="000000"/>
        </w:rPr>
        <w:t>真：</w:t>
      </w:r>
      <w:r>
        <w:rPr>
          <w:color w:val="000000"/>
          <w:u w:val="single"/>
        </w:rPr>
        <w:t xml:space="preserve">                                        </w:t>
      </w:r>
    </w:p>
    <w:p>
      <w:pPr>
        <w:spacing w:line="360" w:lineRule="auto"/>
        <w:ind w:right="150" w:firstLine="420" w:firstLineChars="200"/>
        <w:jc w:val="left"/>
        <w:rPr>
          <w:color w:val="000000"/>
          <w:u w:val="single"/>
        </w:rPr>
      </w:pPr>
    </w:p>
    <w:p>
      <w:pPr>
        <w:spacing w:line="360" w:lineRule="auto"/>
        <w:ind w:right="150" w:firstLine="420" w:firstLineChars="200"/>
        <w:jc w:val="left"/>
        <w:rPr>
          <w:rFonts w:hAnsi="宋体" w:cs="宋体"/>
          <w:color w:val="000000"/>
        </w:rPr>
      </w:pPr>
      <w:r>
        <w:rPr>
          <w:color w:val="000000"/>
        </w:rPr>
        <w:t xml:space="preserve">             </w:t>
      </w:r>
      <w:r>
        <w:rPr>
          <w:color w:val="000000"/>
          <w:u w:val="single"/>
        </w:rPr>
        <w:t xml:space="preserve">               </w:t>
      </w:r>
      <w:r>
        <w:rPr>
          <w:rFonts w:hint="eastAsia" w:hAnsi="宋体" w:cs="宋体"/>
          <w:color w:val="000000"/>
        </w:rPr>
        <w:t>年</w:t>
      </w:r>
      <w:r>
        <w:rPr>
          <w:color w:val="000000"/>
          <w:u w:val="single"/>
        </w:rPr>
        <w:t xml:space="preserve">      </w:t>
      </w:r>
      <w:r>
        <w:rPr>
          <w:rFonts w:hint="eastAsia" w:hAnsi="宋体" w:cs="宋体"/>
          <w:color w:val="000000"/>
        </w:rPr>
        <w:t>月</w:t>
      </w:r>
      <w:r>
        <w:rPr>
          <w:color w:val="000000"/>
          <w:u w:val="single"/>
        </w:rPr>
        <w:t xml:space="preserve">      </w:t>
      </w:r>
      <w:r>
        <w:rPr>
          <w:rFonts w:hint="eastAsia" w:hAnsi="宋体" w:cs="宋体"/>
          <w:color w:val="000000"/>
        </w:rPr>
        <w:t>日</w:t>
      </w:r>
    </w:p>
    <w:p>
      <w:pPr>
        <w:spacing w:line="360" w:lineRule="auto"/>
        <w:ind w:right="150" w:firstLine="420" w:firstLineChars="200"/>
        <w:jc w:val="left"/>
        <w:rPr>
          <w:rFonts w:hint="eastAsia"/>
          <w:color w:val="000000"/>
        </w:rPr>
      </w:pPr>
      <w:r>
        <w:rPr>
          <w:rFonts w:hint="eastAsia" w:hAnsi="宋体" w:cs="宋体"/>
          <w:color w:val="000000"/>
        </w:rPr>
        <w:t>（备注</w:t>
      </w:r>
      <w:r>
        <w:rPr>
          <w:rFonts w:hAnsi="宋体" w:cs="宋体"/>
          <w:color w:val="000000"/>
        </w:rPr>
        <w:t>：</w:t>
      </w:r>
      <w:r>
        <w:rPr>
          <w:rFonts w:hint="eastAsia" w:hAnsi="宋体" w:cs="宋体"/>
          <w:color w:val="000000"/>
        </w:rPr>
        <w:t>银行、保险公司和担保公司出具的</w:t>
      </w:r>
      <w:r>
        <w:rPr>
          <w:rFonts w:hint="eastAsia" w:ascii="仿宋_GB2312" w:hAnsi="宋体" w:cs="宋体"/>
          <w:color w:val="000000"/>
        </w:rPr>
        <w:t>保函格式和文本可</w:t>
      </w:r>
      <w:r>
        <w:rPr>
          <w:rFonts w:ascii="仿宋_GB2312" w:hAnsi="宋体" w:cs="宋体"/>
          <w:color w:val="000000"/>
        </w:rPr>
        <w:t>以自拟，</w:t>
      </w:r>
      <w:r>
        <w:rPr>
          <w:rFonts w:hint="eastAsia" w:ascii="仿宋_GB2312" w:hAnsi="宋体" w:cs="宋体"/>
          <w:color w:val="000000"/>
        </w:rPr>
        <w:t>但是必须包含以上条款所列全部内容</w:t>
      </w:r>
      <w:r>
        <w:rPr>
          <w:rFonts w:ascii="仿宋_GB2312" w:hAnsi="宋体" w:cs="宋体"/>
          <w:color w:val="000000"/>
        </w:rPr>
        <w:t>）</w:t>
      </w:r>
    </w:p>
    <w:p>
      <w:pPr>
        <w:jc w:val="left"/>
        <w:rPr>
          <w:rFonts w:hint="eastAsia" w:hAnsi="宋体" w:cs="宋体"/>
          <w:color w:val="000000"/>
          <w:sz w:val="30"/>
          <w:szCs w:val="30"/>
        </w:rPr>
      </w:pPr>
      <w:r>
        <w:rPr>
          <w:rFonts w:hAnsi="宋体" w:cs="宋体"/>
          <w:color w:val="000000"/>
          <w:sz w:val="30"/>
          <w:szCs w:val="30"/>
        </w:rPr>
        <w:br w:type="page"/>
      </w:r>
      <w:r>
        <w:rPr>
          <w:rFonts w:eastAsia="仿宋_GB2312"/>
          <w:color w:val="000000"/>
          <w:sz w:val="30"/>
          <w:szCs w:val="30"/>
        </w:rPr>
        <w:t xml:space="preserve"> </w:t>
      </w:r>
      <w:r>
        <w:rPr>
          <w:rFonts w:hint="eastAsia" w:hAnsi="宋体" w:cs="宋体"/>
          <w:color w:val="000000"/>
          <w:sz w:val="30"/>
          <w:szCs w:val="30"/>
        </w:rPr>
        <w:t>附件</w:t>
      </w:r>
      <w:r>
        <w:rPr>
          <w:rFonts w:hint="eastAsia" w:cs="宋体"/>
          <w:color w:val="000000"/>
          <w:sz w:val="30"/>
          <w:szCs w:val="30"/>
        </w:rPr>
        <w:t>9</w:t>
      </w:r>
      <w:r>
        <w:rPr>
          <w:rFonts w:hint="eastAsia" w:hAnsi="宋体" w:cs="宋体"/>
          <w:color w:val="000000"/>
          <w:sz w:val="30"/>
          <w:szCs w:val="30"/>
        </w:rPr>
        <w:t>：</w:t>
      </w:r>
    </w:p>
    <w:p>
      <w:pPr>
        <w:jc w:val="center"/>
        <w:rPr>
          <w:rFonts w:hint="eastAsia"/>
          <w:b/>
          <w:color w:val="000000"/>
          <w:sz w:val="36"/>
          <w:szCs w:val="36"/>
        </w:rPr>
      </w:pPr>
      <w:r>
        <w:rPr>
          <w:rFonts w:hint="eastAsia"/>
          <w:b/>
          <w:color w:val="000000"/>
          <w:sz w:val="36"/>
          <w:szCs w:val="36"/>
        </w:rPr>
        <w:t>预付款支付申请（核准）表</w:t>
      </w:r>
    </w:p>
    <w:p>
      <w:pPr>
        <w:rPr>
          <w:rFonts w:hint="eastAsia"/>
          <w:color w:val="000000"/>
          <w:sz w:val="24"/>
        </w:rPr>
      </w:pPr>
      <w:r>
        <w:rPr>
          <w:rFonts w:hint="eastAsia"/>
          <w:color w:val="000000"/>
          <w:sz w:val="24"/>
        </w:rPr>
        <w:t>工程名称：                                             编号：</w:t>
      </w:r>
    </w:p>
    <w:tbl>
      <w:tblPr>
        <w:tblStyle w:val="8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9"/>
        <w:gridCol w:w="4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noWrap w:val="0"/>
            <w:vAlign w:val="top"/>
          </w:tcPr>
          <w:p>
            <w:pPr>
              <w:spacing w:line="480" w:lineRule="exact"/>
              <w:ind w:left="525" w:leftChars="149" w:hanging="212" w:hangingChars="101"/>
              <w:rPr>
                <w:rFonts w:hint="eastAsia"/>
                <w:color w:val="000000"/>
                <w:u w:val="single"/>
              </w:rPr>
            </w:pPr>
            <w:r>
              <w:rPr>
                <w:rFonts w:hint="eastAsia"/>
                <w:color w:val="000000"/>
              </w:rPr>
              <w:t>致：</w:t>
            </w:r>
            <w:r>
              <w:rPr>
                <w:rFonts w:hint="eastAsia"/>
                <w:color w:val="000000"/>
                <w:u w:val="single"/>
              </w:rPr>
              <w:t xml:space="preserve">                                   （发包人全称）</w:t>
            </w:r>
          </w:p>
          <w:p>
            <w:pPr>
              <w:spacing w:line="400" w:lineRule="exact"/>
              <w:ind w:left="-4" w:leftChars="-2" w:firstLine="315" w:firstLineChars="150"/>
              <w:rPr>
                <w:rFonts w:hint="eastAsia"/>
                <w:color w:val="000000"/>
              </w:rPr>
            </w:pPr>
            <w:r>
              <w:rPr>
                <w:rFonts w:hint="eastAsia"/>
                <w:color w:val="000000"/>
              </w:rPr>
              <w:t>我方根据施工合同的约定，现申请支付工程预付款额为(大写)</w:t>
            </w:r>
            <w:r>
              <w:rPr>
                <w:rFonts w:hint="eastAsia"/>
                <w:color w:val="000000"/>
                <w:u w:val="single"/>
              </w:rPr>
              <w:t xml:space="preserve">            </w:t>
            </w:r>
            <w:r>
              <w:rPr>
                <w:rFonts w:hint="eastAsia"/>
                <w:color w:val="000000"/>
              </w:rPr>
              <w:t>元，(小写)</w:t>
            </w:r>
          </w:p>
          <w:p>
            <w:pPr>
              <w:spacing w:line="400" w:lineRule="exact"/>
              <w:rPr>
                <w:rFonts w:hint="eastAsia"/>
                <w:color w:val="000000"/>
              </w:rPr>
            </w:pPr>
            <w:r>
              <w:rPr>
                <w:rFonts w:hint="eastAsia"/>
                <w:color w:val="000000"/>
                <w:u w:val="single"/>
              </w:rPr>
              <w:t xml:space="preserve">         </w:t>
            </w:r>
            <w:r>
              <w:rPr>
                <w:rFonts w:hint="eastAsia"/>
                <w:color w:val="000000"/>
              </w:rPr>
              <w:t>元，请予核准。</w:t>
            </w:r>
          </w:p>
          <w:tbl>
            <w:tblPr>
              <w:tblStyle w:val="83"/>
              <w:tblpPr w:leftFromText="180" w:rightFromText="180" w:vertAnchor="page" w:horzAnchor="margin" w:tblpY="1309"/>
              <w:tblOverlap w:val="never"/>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040"/>
              <w:gridCol w:w="2064"/>
              <w:gridCol w:w="224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pPr>
                    <w:spacing w:line="280" w:lineRule="exact"/>
                    <w:jc w:val="center"/>
                    <w:rPr>
                      <w:rFonts w:hint="eastAsia"/>
                      <w:color w:val="000000"/>
                    </w:rPr>
                  </w:pPr>
                  <w:r>
                    <w:rPr>
                      <w:rFonts w:hint="eastAsia"/>
                      <w:color w:val="000000"/>
                    </w:rPr>
                    <w:t>序号</w:t>
                  </w:r>
                </w:p>
              </w:tc>
              <w:tc>
                <w:tcPr>
                  <w:tcW w:w="3040" w:type="dxa"/>
                  <w:noWrap w:val="0"/>
                  <w:vAlign w:val="center"/>
                </w:tcPr>
                <w:p>
                  <w:pPr>
                    <w:spacing w:line="280" w:lineRule="exact"/>
                    <w:jc w:val="center"/>
                    <w:rPr>
                      <w:rFonts w:hint="eastAsia"/>
                      <w:color w:val="000000"/>
                    </w:rPr>
                  </w:pPr>
                  <w:r>
                    <w:rPr>
                      <w:rFonts w:hint="eastAsia"/>
                      <w:color w:val="000000"/>
                    </w:rPr>
                    <w:t>名      称</w:t>
                  </w:r>
                </w:p>
              </w:tc>
              <w:tc>
                <w:tcPr>
                  <w:tcW w:w="2064" w:type="dxa"/>
                  <w:noWrap w:val="0"/>
                  <w:vAlign w:val="center"/>
                </w:tcPr>
                <w:p>
                  <w:pPr>
                    <w:spacing w:line="280" w:lineRule="exact"/>
                    <w:jc w:val="center"/>
                    <w:rPr>
                      <w:rFonts w:hint="eastAsia"/>
                      <w:color w:val="000000"/>
                    </w:rPr>
                  </w:pPr>
                  <w:r>
                    <w:rPr>
                      <w:rFonts w:hint="eastAsia"/>
                      <w:color w:val="000000"/>
                    </w:rPr>
                    <w:t>计算程序</w:t>
                  </w:r>
                </w:p>
              </w:tc>
              <w:tc>
                <w:tcPr>
                  <w:tcW w:w="2240" w:type="dxa"/>
                  <w:noWrap w:val="0"/>
                  <w:vAlign w:val="center"/>
                </w:tcPr>
                <w:p>
                  <w:pPr>
                    <w:spacing w:line="280" w:lineRule="exact"/>
                    <w:jc w:val="center"/>
                    <w:rPr>
                      <w:rFonts w:hint="eastAsia"/>
                      <w:color w:val="000000"/>
                    </w:rPr>
                  </w:pPr>
                  <w:r>
                    <w:rPr>
                      <w:rFonts w:hint="eastAsia"/>
                      <w:color w:val="000000"/>
                    </w:rPr>
                    <w:t>金额（元）</w:t>
                  </w:r>
                </w:p>
              </w:tc>
              <w:tc>
                <w:tcPr>
                  <w:tcW w:w="1080" w:type="dxa"/>
                  <w:noWrap w:val="0"/>
                  <w:vAlign w:val="center"/>
                </w:tcPr>
                <w:p>
                  <w:pPr>
                    <w:spacing w:line="280" w:lineRule="exact"/>
                    <w:jc w:val="center"/>
                    <w:rPr>
                      <w:rFonts w:hint="eastAsia"/>
                      <w:color w:val="000000"/>
                    </w:rPr>
                  </w:pPr>
                  <w:r>
                    <w:rPr>
                      <w:rFonts w:hint="eastAsia"/>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pPr>
                    <w:spacing w:line="280" w:lineRule="exact"/>
                    <w:jc w:val="center"/>
                    <w:rPr>
                      <w:rFonts w:hint="eastAsia"/>
                      <w:color w:val="000000"/>
                    </w:rPr>
                  </w:pPr>
                  <w:r>
                    <w:rPr>
                      <w:rFonts w:hint="eastAsia"/>
                      <w:color w:val="000000"/>
                    </w:rPr>
                    <w:t>1</w:t>
                  </w:r>
                </w:p>
              </w:tc>
              <w:tc>
                <w:tcPr>
                  <w:tcW w:w="3040" w:type="dxa"/>
                  <w:noWrap w:val="0"/>
                  <w:vAlign w:val="top"/>
                </w:tcPr>
                <w:p>
                  <w:pPr>
                    <w:spacing w:line="280" w:lineRule="exact"/>
                    <w:rPr>
                      <w:rFonts w:hint="eastAsia"/>
                      <w:color w:val="000000"/>
                    </w:rPr>
                  </w:pPr>
                  <w:r>
                    <w:rPr>
                      <w:rFonts w:hint="eastAsia"/>
                      <w:color w:val="000000"/>
                    </w:rPr>
                    <w:t>已签约合同价款金额</w:t>
                  </w:r>
                </w:p>
              </w:tc>
              <w:tc>
                <w:tcPr>
                  <w:tcW w:w="2064" w:type="dxa"/>
                  <w:noWrap w:val="0"/>
                  <w:vAlign w:val="top"/>
                </w:tcPr>
                <w:p>
                  <w:pPr>
                    <w:spacing w:line="280" w:lineRule="exact"/>
                    <w:rPr>
                      <w:rFonts w:hint="eastAsia"/>
                      <w:color w:val="000000"/>
                    </w:rPr>
                  </w:pPr>
                </w:p>
              </w:tc>
              <w:tc>
                <w:tcPr>
                  <w:tcW w:w="2240" w:type="dxa"/>
                  <w:noWrap w:val="0"/>
                  <w:vAlign w:val="top"/>
                </w:tcPr>
                <w:p>
                  <w:pPr>
                    <w:spacing w:line="280" w:lineRule="exact"/>
                    <w:rPr>
                      <w:rFonts w:hint="eastAsia"/>
                      <w:color w:val="000000"/>
                    </w:rPr>
                  </w:pPr>
                </w:p>
              </w:tc>
              <w:tc>
                <w:tcPr>
                  <w:tcW w:w="1080" w:type="dxa"/>
                  <w:noWrap w:val="0"/>
                  <w:vAlign w:val="top"/>
                </w:tcPr>
                <w:p>
                  <w:pPr>
                    <w:spacing w:line="28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pPr>
                    <w:spacing w:line="280" w:lineRule="exact"/>
                    <w:jc w:val="center"/>
                    <w:rPr>
                      <w:rFonts w:hint="eastAsia"/>
                      <w:color w:val="000000"/>
                    </w:rPr>
                  </w:pPr>
                  <w:r>
                    <w:rPr>
                      <w:rFonts w:hint="eastAsia"/>
                      <w:color w:val="000000"/>
                    </w:rPr>
                    <w:t>1.1</w:t>
                  </w:r>
                </w:p>
              </w:tc>
              <w:tc>
                <w:tcPr>
                  <w:tcW w:w="3040" w:type="dxa"/>
                  <w:noWrap w:val="0"/>
                  <w:vAlign w:val="top"/>
                </w:tcPr>
                <w:p>
                  <w:pPr>
                    <w:spacing w:line="280" w:lineRule="exact"/>
                    <w:rPr>
                      <w:rFonts w:hint="eastAsia"/>
                      <w:color w:val="000000"/>
                    </w:rPr>
                  </w:pPr>
                  <w:r>
                    <w:rPr>
                      <w:rFonts w:hint="eastAsia"/>
                      <w:color w:val="000000"/>
                    </w:rPr>
                    <w:t>其中：暂列金额</w:t>
                  </w:r>
                </w:p>
              </w:tc>
              <w:tc>
                <w:tcPr>
                  <w:tcW w:w="2064" w:type="dxa"/>
                  <w:noWrap w:val="0"/>
                  <w:vAlign w:val="top"/>
                </w:tcPr>
                <w:p>
                  <w:pPr>
                    <w:spacing w:line="280" w:lineRule="exact"/>
                    <w:rPr>
                      <w:rFonts w:hint="eastAsia"/>
                      <w:color w:val="000000"/>
                    </w:rPr>
                  </w:pPr>
                </w:p>
              </w:tc>
              <w:tc>
                <w:tcPr>
                  <w:tcW w:w="2240" w:type="dxa"/>
                  <w:noWrap w:val="0"/>
                  <w:vAlign w:val="top"/>
                </w:tcPr>
                <w:p>
                  <w:pPr>
                    <w:spacing w:line="280" w:lineRule="exact"/>
                    <w:rPr>
                      <w:rFonts w:hint="eastAsia"/>
                      <w:color w:val="000000"/>
                    </w:rPr>
                  </w:pPr>
                </w:p>
              </w:tc>
              <w:tc>
                <w:tcPr>
                  <w:tcW w:w="1080" w:type="dxa"/>
                  <w:noWrap w:val="0"/>
                  <w:vAlign w:val="top"/>
                </w:tcPr>
                <w:p>
                  <w:pPr>
                    <w:spacing w:line="28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pPr>
                    <w:spacing w:line="280" w:lineRule="exact"/>
                    <w:jc w:val="center"/>
                    <w:rPr>
                      <w:color w:val="000000"/>
                    </w:rPr>
                  </w:pPr>
                  <w:r>
                    <w:rPr>
                      <w:rFonts w:hint="eastAsia"/>
                      <w:color w:val="000000"/>
                    </w:rPr>
                    <w:t>1.2</w:t>
                  </w:r>
                </w:p>
              </w:tc>
              <w:tc>
                <w:tcPr>
                  <w:tcW w:w="3040" w:type="dxa"/>
                  <w:noWrap w:val="0"/>
                  <w:vAlign w:val="top"/>
                </w:tcPr>
                <w:p>
                  <w:pPr>
                    <w:spacing w:line="280" w:lineRule="exact"/>
                    <w:rPr>
                      <w:rFonts w:hint="eastAsia"/>
                      <w:color w:val="000000"/>
                    </w:rPr>
                  </w:pPr>
                  <w:r>
                    <w:rPr>
                      <w:rFonts w:hint="eastAsia"/>
                      <w:color w:val="000000"/>
                    </w:rPr>
                    <w:t>其中：安全文明施工费</w:t>
                  </w:r>
                </w:p>
              </w:tc>
              <w:tc>
                <w:tcPr>
                  <w:tcW w:w="2064" w:type="dxa"/>
                  <w:noWrap w:val="0"/>
                  <w:vAlign w:val="top"/>
                </w:tcPr>
                <w:p>
                  <w:pPr>
                    <w:spacing w:line="280" w:lineRule="exact"/>
                    <w:rPr>
                      <w:rFonts w:hint="eastAsia"/>
                      <w:color w:val="000000"/>
                    </w:rPr>
                  </w:pPr>
                </w:p>
              </w:tc>
              <w:tc>
                <w:tcPr>
                  <w:tcW w:w="2240" w:type="dxa"/>
                  <w:noWrap w:val="0"/>
                  <w:vAlign w:val="top"/>
                </w:tcPr>
                <w:p>
                  <w:pPr>
                    <w:spacing w:line="280" w:lineRule="exact"/>
                    <w:rPr>
                      <w:rFonts w:hint="eastAsia"/>
                      <w:color w:val="000000"/>
                    </w:rPr>
                  </w:pPr>
                </w:p>
              </w:tc>
              <w:tc>
                <w:tcPr>
                  <w:tcW w:w="1080" w:type="dxa"/>
                  <w:noWrap w:val="0"/>
                  <w:vAlign w:val="top"/>
                </w:tcPr>
                <w:p>
                  <w:pPr>
                    <w:spacing w:line="28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535" w:type="dxa"/>
                  <w:noWrap w:val="0"/>
                  <w:vAlign w:val="top"/>
                </w:tcPr>
                <w:p>
                  <w:pPr>
                    <w:spacing w:line="280" w:lineRule="exact"/>
                    <w:jc w:val="center"/>
                    <w:rPr>
                      <w:rFonts w:hint="eastAsia"/>
                      <w:color w:val="000000"/>
                    </w:rPr>
                  </w:pPr>
                  <w:r>
                    <w:rPr>
                      <w:rFonts w:hint="eastAsia"/>
                      <w:color w:val="000000"/>
                    </w:rPr>
                    <w:t>2</w:t>
                  </w:r>
                </w:p>
              </w:tc>
              <w:tc>
                <w:tcPr>
                  <w:tcW w:w="3040" w:type="dxa"/>
                  <w:noWrap w:val="0"/>
                  <w:vAlign w:val="top"/>
                </w:tcPr>
                <w:p>
                  <w:pPr>
                    <w:spacing w:line="280" w:lineRule="exact"/>
                    <w:rPr>
                      <w:rFonts w:hint="eastAsia"/>
                      <w:color w:val="000000"/>
                    </w:rPr>
                  </w:pPr>
                  <w:r>
                    <w:rPr>
                      <w:rFonts w:hint="eastAsia"/>
                      <w:color w:val="000000"/>
                    </w:rPr>
                    <w:t>已签约合同价款扣暂列金额、安全文明施工费后金额</w:t>
                  </w:r>
                </w:p>
              </w:tc>
              <w:tc>
                <w:tcPr>
                  <w:tcW w:w="2064" w:type="dxa"/>
                  <w:noWrap w:val="0"/>
                  <w:vAlign w:val="top"/>
                </w:tcPr>
                <w:p>
                  <w:pPr>
                    <w:spacing w:line="280" w:lineRule="exact"/>
                    <w:rPr>
                      <w:color w:val="000000"/>
                    </w:rPr>
                  </w:pPr>
                  <w:r>
                    <w:rPr>
                      <w:rFonts w:hint="eastAsia"/>
                      <w:color w:val="000000"/>
                    </w:rPr>
                    <w:t>1-1.1-1.2</w:t>
                  </w:r>
                </w:p>
              </w:tc>
              <w:tc>
                <w:tcPr>
                  <w:tcW w:w="2240" w:type="dxa"/>
                  <w:noWrap w:val="0"/>
                  <w:vAlign w:val="top"/>
                </w:tcPr>
                <w:p>
                  <w:pPr>
                    <w:spacing w:line="280" w:lineRule="exact"/>
                    <w:rPr>
                      <w:rFonts w:hint="eastAsia"/>
                      <w:color w:val="000000"/>
                    </w:rPr>
                  </w:pPr>
                </w:p>
              </w:tc>
              <w:tc>
                <w:tcPr>
                  <w:tcW w:w="1080" w:type="dxa"/>
                  <w:noWrap w:val="0"/>
                  <w:vAlign w:val="top"/>
                </w:tcPr>
                <w:p>
                  <w:pPr>
                    <w:spacing w:line="28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pPr>
                    <w:spacing w:line="280" w:lineRule="exact"/>
                    <w:jc w:val="center"/>
                    <w:rPr>
                      <w:rFonts w:hint="eastAsia"/>
                      <w:color w:val="000000"/>
                    </w:rPr>
                  </w:pPr>
                  <w:r>
                    <w:rPr>
                      <w:rFonts w:hint="eastAsia"/>
                      <w:color w:val="000000"/>
                    </w:rPr>
                    <w:t>3</w:t>
                  </w:r>
                </w:p>
              </w:tc>
              <w:tc>
                <w:tcPr>
                  <w:tcW w:w="3040" w:type="dxa"/>
                  <w:noWrap w:val="0"/>
                  <w:vAlign w:val="top"/>
                </w:tcPr>
                <w:p>
                  <w:pPr>
                    <w:spacing w:line="280" w:lineRule="exact"/>
                    <w:rPr>
                      <w:rFonts w:hint="eastAsia"/>
                      <w:color w:val="000000"/>
                    </w:rPr>
                  </w:pPr>
                  <w:r>
                    <w:rPr>
                      <w:rFonts w:hint="eastAsia"/>
                      <w:color w:val="000000"/>
                    </w:rPr>
                    <w:t>应支付的预付款</w:t>
                  </w:r>
                </w:p>
              </w:tc>
              <w:tc>
                <w:tcPr>
                  <w:tcW w:w="2064" w:type="dxa"/>
                  <w:noWrap w:val="0"/>
                  <w:vAlign w:val="top"/>
                </w:tcPr>
                <w:p>
                  <w:pPr>
                    <w:spacing w:line="280" w:lineRule="exact"/>
                    <w:rPr>
                      <w:color w:val="000000"/>
                    </w:rPr>
                  </w:pPr>
                  <w:r>
                    <w:rPr>
                      <w:rFonts w:hint="eastAsia"/>
                      <w:color w:val="000000"/>
                    </w:rPr>
                    <w:t>2</w:t>
                  </w:r>
                  <w:r>
                    <w:rPr>
                      <w:rFonts w:ascii="Arial" w:hAnsi="Arial" w:cs="Arial"/>
                      <w:color w:val="000000"/>
                    </w:rPr>
                    <w:t>×</w:t>
                  </w:r>
                  <w:r>
                    <w:rPr>
                      <w:rFonts w:hint="eastAsia"/>
                      <w:color w:val="000000"/>
                    </w:rPr>
                    <w:t>支付比例</w:t>
                  </w:r>
                </w:p>
              </w:tc>
              <w:tc>
                <w:tcPr>
                  <w:tcW w:w="2240" w:type="dxa"/>
                  <w:noWrap w:val="0"/>
                  <w:vAlign w:val="top"/>
                </w:tcPr>
                <w:p>
                  <w:pPr>
                    <w:spacing w:line="280" w:lineRule="exact"/>
                    <w:rPr>
                      <w:rFonts w:hint="eastAsia"/>
                      <w:color w:val="000000"/>
                    </w:rPr>
                  </w:pPr>
                </w:p>
              </w:tc>
              <w:tc>
                <w:tcPr>
                  <w:tcW w:w="1080" w:type="dxa"/>
                  <w:noWrap w:val="0"/>
                  <w:vAlign w:val="top"/>
                </w:tcPr>
                <w:p>
                  <w:pPr>
                    <w:spacing w:line="28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pPr>
                    <w:spacing w:line="280" w:lineRule="exact"/>
                    <w:jc w:val="center"/>
                    <w:rPr>
                      <w:rFonts w:hint="eastAsia"/>
                      <w:color w:val="000000"/>
                    </w:rPr>
                  </w:pPr>
                </w:p>
              </w:tc>
              <w:tc>
                <w:tcPr>
                  <w:tcW w:w="3040" w:type="dxa"/>
                  <w:noWrap w:val="0"/>
                  <w:vAlign w:val="top"/>
                </w:tcPr>
                <w:p>
                  <w:pPr>
                    <w:spacing w:line="280" w:lineRule="exact"/>
                    <w:rPr>
                      <w:rFonts w:hint="eastAsia"/>
                      <w:color w:val="000000"/>
                    </w:rPr>
                  </w:pPr>
                </w:p>
              </w:tc>
              <w:tc>
                <w:tcPr>
                  <w:tcW w:w="2064" w:type="dxa"/>
                  <w:noWrap w:val="0"/>
                  <w:vAlign w:val="top"/>
                </w:tcPr>
                <w:p>
                  <w:pPr>
                    <w:spacing w:line="280" w:lineRule="exact"/>
                    <w:rPr>
                      <w:rFonts w:hint="eastAsia"/>
                      <w:color w:val="000000"/>
                    </w:rPr>
                  </w:pPr>
                </w:p>
              </w:tc>
              <w:tc>
                <w:tcPr>
                  <w:tcW w:w="2240" w:type="dxa"/>
                  <w:noWrap w:val="0"/>
                  <w:vAlign w:val="top"/>
                </w:tcPr>
                <w:p>
                  <w:pPr>
                    <w:spacing w:line="280" w:lineRule="exact"/>
                    <w:rPr>
                      <w:rFonts w:hint="eastAsia"/>
                      <w:color w:val="000000"/>
                    </w:rPr>
                  </w:pPr>
                </w:p>
              </w:tc>
              <w:tc>
                <w:tcPr>
                  <w:tcW w:w="1080" w:type="dxa"/>
                  <w:noWrap w:val="0"/>
                  <w:vAlign w:val="top"/>
                </w:tcPr>
                <w:p>
                  <w:pPr>
                    <w:spacing w:line="280" w:lineRule="exact"/>
                    <w:rPr>
                      <w:rFonts w:hint="eastAsia"/>
                      <w:color w:val="000000"/>
                    </w:rPr>
                  </w:pPr>
                </w:p>
              </w:tc>
            </w:tr>
          </w:tbl>
          <w:p>
            <w:pPr>
              <w:wordWrap w:val="0"/>
              <w:spacing w:line="400" w:lineRule="exact"/>
              <w:ind w:right="420"/>
              <w:rPr>
                <w:rFonts w:hint="eastAsia"/>
                <w:color w:val="000000"/>
              </w:rPr>
            </w:pPr>
          </w:p>
          <w:p>
            <w:pPr>
              <w:wordWrap w:val="0"/>
              <w:spacing w:line="400" w:lineRule="exact"/>
              <w:ind w:right="420"/>
              <w:rPr>
                <w:rFonts w:hint="eastAsia"/>
                <w:color w:val="000000"/>
              </w:rPr>
            </w:pPr>
            <w:r>
              <w:rPr>
                <w:rFonts w:hint="eastAsia"/>
                <w:color w:val="000000"/>
              </w:rPr>
              <w:t xml:space="preserve">                                            承包人（章）             </w:t>
            </w:r>
          </w:p>
          <w:p>
            <w:pPr>
              <w:spacing w:line="400" w:lineRule="exact"/>
              <w:ind w:right="420" w:firstLine="435"/>
              <w:rPr>
                <w:rFonts w:hint="eastAsia"/>
                <w:color w:val="000000"/>
              </w:rPr>
            </w:pPr>
            <w:r>
              <w:rPr>
                <w:rFonts w:hint="eastAsia"/>
                <w:color w:val="000000"/>
              </w:rPr>
              <w:t>造价人员</w:t>
            </w:r>
            <w:r>
              <w:rPr>
                <w:rFonts w:hint="eastAsia"/>
                <w:color w:val="000000"/>
                <w:u w:val="single"/>
              </w:rPr>
              <w:t xml:space="preserve">               </w:t>
            </w:r>
            <w:r>
              <w:rPr>
                <w:rFonts w:hint="eastAsia"/>
                <w:color w:val="000000"/>
              </w:rPr>
              <w:t>承包人代表</w:t>
            </w:r>
            <w:r>
              <w:rPr>
                <w:rFonts w:hint="eastAsia"/>
                <w:color w:val="000000"/>
                <w:u w:val="single"/>
              </w:rPr>
              <w:t xml:space="preserve">               </w:t>
            </w:r>
            <w:r>
              <w:rPr>
                <w:rFonts w:hint="eastAsia"/>
                <w:color w:val="000000"/>
              </w:rPr>
              <w:t>日      期</w:t>
            </w:r>
            <w:r>
              <w:rPr>
                <w:rFonts w:hint="eastAsia"/>
                <w:color w:val="00000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noWrap w:val="0"/>
            <w:vAlign w:val="top"/>
          </w:tcPr>
          <w:p>
            <w:pPr>
              <w:spacing w:line="360" w:lineRule="exact"/>
              <w:rPr>
                <w:rFonts w:hint="eastAsia"/>
                <w:color w:val="000000"/>
              </w:rPr>
            </w:pPr>
            <w:r>
              <w:rPr>
                <w:rFonts w:hint="eastAsia"/>
                <w:color w:val="000000"/>
              </w:rPr>
              <w:t>复核意见：</w:t>
            </w:r>
          </w:p>
          <w:p>
            <w:pPr>
              <w:spacing w:line="360" w:lineRule="exact"/>
              <w:ind w:firstLine="312"/>
              <w:rPr>
                <w:rFonts w:hint="eastAsia"/>
                <w:color w:val="000000"/>
              </w:rPr>
            </w:pPr>
            <w:r>
              <w:rPr>
                <w:rFonts w:hint="eastAsia"/>
                <w:color w:val="000000"/>
              </w:rPr>
              <w:t>□与合同约定不相符，修改意见见附件。</w:t>
            </w:r>
          </w:p>
          <w:p>
            <w:pPr>
              <w:spacing w:line="360" w:lineRule="exact"/>
              <w:ind w:firstLine="312"/>
              <w:rPr>
                <w:rFonts w:hint="eastAsia"/>
                <w:color w:val="000000"/>
              </w:rPr>
            </w:pPr>
            <w:r>
              <w:rPr>
                <w:rFonts w:hint="eastAsia"/>
                <w:color w:val="000000"/>
              </w:rPr>
              <w:t>□与合同约定相符，具体金额由造价工程师复核。</w:t>
            </w:r>
          </w:p>
          <w:p>
            <w:pPr>
              <w:spacing w:line="360" w:lineRule="exact"/>
              <w:ind w:firstLine="435"/>
              <w:jc w:val="right"/>
              <w:rPr>
                <w:rFonts w:hint="eastAsia"/>
                <w:color w:val="000000"/>
              </w:rPr>
            </w:pPr>
          </w:p>
          <w:p>
            <w:pPr>
              <w:spacing w:line="360" w:lineRule="exact"/>
              <w:ind w:firstLine="435"/>
              <w:jc w:val="center"/>
              <w:rPr>
                <w:rFonts w:hint="eastAsia"/>
                <w:color w:val="000000"/>
                <w:u w:val="single"/>
              </w:rPr>
            </w:pPr>
            <w:r>
              <w:rPr>
                <w:color w:val="000000"/>
              </w:rPr>
              <w:t xml:space="preserve">    </w:t>
            </w:r>
            <w:r>
              <w:rPr>
                <w:rFonts w:hint="eastAsia"/>
                <w:color w:val="000000"/>
              </w:rPr>
              <w:t xml:space="preserve">     工程师</w:t>
            </w:r>
            <w:r>
              <w:rPr>
                <w:rFonts w:hint="eastAsia"/>
                <w:color w:val="000000"/>
                <w:u w:val="single"/>
              </w:rPr>
              <w:t xml:space="preserve">           </w:t>
            </w:r>
          </w:p>
          <w:p>
            <w:pPr>
              <w:spacing w:line="360" w:lineRule="exact"/>
              <w:ind w:firstLine="435"/>
              <w:jc w:val="center"/>
              <w:rPr>
                <w:rFonts w:hint="eastAsia"/>
                <w:color w:val="000000"/>
                <w:u w:val="single"/>
              </w:rPr>
            </w:pPr>
            <w:r>
              <w:rPr>
                <w:color w:val="000000"/>
              </w:rPr>
              <w:t xml:space="preserve">    </w:t>
            </w:r>
            <w:r>
              <w:rPr>
                <w:rFonts w:hint="eastAsia"/>
                <w:color w:val="000000"/>
              </w:rPr>
              <w:t xml:space="preserve">    日      期</w:t>
            </w:r>
            <w:r>
              <w:rPr>
                <w:rFonts w:hint="eastAsia"/>
                <w:color w:val="000000"/>
                <w:u w:val="single"/>
              </w:rPr>
              <w:t xml:space="preserve">           </w:t>
            </w:r>
          </w:p>
        </w:tc>
        <w:tc>
          <w:tcPr>
            <w:tcW w:w="4552" w:type="dxa"/>
            <w:noWrap w:val="0"/>
            <w:vAlign w:val="top"/>
          </w:tcPr>
          <w:p>
            <w:pPr>
              <w:spacing w:line="360" w:lineRule="exact"/>
              <w:rPr>
                <w:rFonts w:hint="eastAsia"/>
                <w:color w:val="000000"/>
              </w:rPr>
            </w:pPr>
            <w:r>
              <w:rPr>
                <w:rFonts w:hint="eastAsia"/>
                <w:color w:val="000000"/>
              </w:rPr>
              <w:t>复核意见：</w:t>
            </w:r>
          </w:p>
          <w:p>
            <w:pPr>
              <w:spacing w:line="360" w:lineRule="exact"/>
              <w:ind w:firstLine="435"/>
              <w:rPr>
                <w:rFonts w:hint="eastAsia"/>
                <w:color w:val="000000"/>
              </w:rPr>
            </w:pPr>
            <w:r>
              <w:rPr>
                <w:rFonts w:hint="eastAsia"/>
                <w:color w:val="000000"/>
              </w:rPr>
              <w:t>你方提出的支付申请经复核，应支付预付款金额为(大写)</w:t>
            </w:r>
            <w:r>
              <w:rPr>
                <w:rFonts w:hint="eastAsia"/>
                <w:color w:val="000000"/>
                <w:u w:val="single"/>
              </w:rPr>
              <w:t xml:space="preserve">                </w:t>
            </w:r>
            <w:r>
              <w:rPr>
                <w:rFonts w:hint="eastAsia"/>
                <w:color w:val="000000"/>
              </w:rPr>
              <w:t>元，（小写）</w:t>
            </w:r>
          </w:p>
          <w:p>
            <w:pPr>
              <w:spacing w:line="360" w:lineRule="exact"/>
              <w:rPr>
                <w:rFonts w:hint="eastAsia"/>
                <w:color w:val="000000"/>
              </w:rPr>
            </w:pPr>
            <w:r>
              <w:rPr>
                <w:rFonts w:hint="eastAsia"/>
                <w:color w:val="000000"/>
                <w:u w:val="single"/>
              </w:rPr>
              <w:t xml:space="preserve">          </w:t>
            </w:r>
            <w:r>
              <w:rPr>
                <w:rFonts w:hint="eastAsia"/>
                <w:color w:val="000000"/>
              </w:rPr>
              <w:t xml:space="preserve"> 元。</w:t>
            </w:r>
          </w:p>
          <w:p>
            <w:pPr>
              <w:spacing w:line="360" w:lineRule="exact"/>
              <w:rPr>
                <w:rFonts w:hint="eastAsia"/>
                <w:color w:val="000000"/>
                <w:u w:val="single"/>
              </w:rPr>
            </w:pPr>
          </w:p>
          <w:p>
            <w:pPr>
              <w:spacing w:line="360" w:lineRule="exact"/>
              <w:ind w:firstLine="435"/>
              <w:jc w:val="center"/>
              <w:rPr>
                <w:rFonts w:hint="eastAsia"/>
                <w:color w:val="000000"/>
                <w:u w:val="single"/>
              </w:rPr>
            </w:pPr>
            <w:r>
              <w:rPr>
                <w:color w:val="000000"/>
              </w:rPr>
              <w:t xml:space="preserve">    </w:t>
            </w:r>
            <w:r>
              <w:rPr>
                <w:rFonts w:hint="eastAsia"/>
                <w:color w:val="000000"/>
              </w:rPr>
              <w:t xml:space="preserve">    造价工程师</w:t>
            </w:r>
            <w:r>
              <w:rPr>
                <w:rFonts w:hint="eastAsia"/>
                <w:color w:val="000000"/>
                <w:u w:val="single"/>
              </w:rPr>
              <w:t xml:space="preserve">           </w:t>
            </w:r>
          </w:p>
          <w:p>
            <w:pPr>
              <w:spacing w:line="360" w:lineRule="exact"/>
              <w:ind w:firstLine="435"/>
              <w:jc w:val="center"/>
              <w:rPr>
                <w:rFonts w:hint="eastAsia"/>
                <w:color w:val="000000"/>
                <w:u w:val="single"/>
              </w:rPr>
            </w:pPr>
            <w:r>
              <w:rPr>
                <w:color w:val="000000"/>
              </w:rPr>
              <w:t xml:space="preserve">    </w:t>
            </w:r>
            <w:r>
              <w:rPr>
                <w:rFonts w:hint="eastAsia"/>
                <w:color w:val="000000"/>
              </w:rPr>
              <w:t xml:space="preserve">    日      期</w:t>
            </w:r>
            <w:r>
              <w:rPr>
                <w:rFonts w:hint="eastAsia"/>
                <w:color w:val="00000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pPr>
              <w:spacing w:line="400" w:lineRule="exact"/>
              <w:rPr>
                <w:rFonts w:hint="eastAsia"/>
                <w:color w:val="000000"/>
              </w:rPr>
            </w:pPr>
            <w:r>
              <w:rPr>
                <w:rFonts w:hint="eastAsia"/>
                <w:color w:val="000000"/>
              </w:rPr>
              <w:t>审核意见：</w:t>
            </w:r>
          </w:p>
          <w:p>
            <w:pPr>
              <w:spacing w:line="400" w:lineRule="exact"/>
              <w:ind w:firstLine="435"/>
              <w:rPr>
                <w:rFonts w:hint="eastAsia"/>
                <w:color w:val="000000"/>
              </w:rPr>
            </w:pPr>
            <w:r>
              <w:rPr>
                <w:rFonts w:hint="eastAsia"/>
                <w:color w:val="000000"/>
              </w:rPr>
              <w:t>□不同意。</w:t>
            </w:r>
          </w:p>
          <w:p>
            <w:pPr>
              <w:spacing w:line="400" w:lineRule="exact"/>
              <w:ind w:firstLine="420" w:firstLineChars="200"/>
              <w:rPr>
                <w:rFonts w:hint="eastAsia"/>
                <w:color w:val="000000"/>
              </w:rPr>
            </w:pPr>
            <w:r>
              <w:rPr>
                <w:rFonts w:hint="eastAsia"/>
                <w:color w:val="000000"/>
              </w:rPr>
              <w:t>□同意，支付时间为本表签发后的15天内。</w:t>
            </w:r>
          </w:p>
          <w:p>
            <w:pPr>
              <w:wordWrap w:val="0"/>
              <w:spacing w:line="400" w:lineRule="exact"/>
              <w:ind w:firstLine="420" w:firstLineChars="200"/>
              <w:jc w:val="right"/>
              <w:rPr>
                <w:rFonts w:hint="eastAsia"/>
                <w:color w:val="000000"/>
              </w:rPr>
            </w:pPr>
            <w:r>
              <w:rPr>
                <w:rFonts w:hint="eastAsia"/>
                <w:color w:val="000000"/>
              </w:rPr>
              <w:t xml:space="preserve">发包人（章）           </w:t>
            </w:r>
          </w:p>
          <w:p>
            <w:pPr>
              <w:wordWrap w:val="0"/>
              <w:spacing w:line="400" w:lineRule="exact"/>
              <w:ind w:firstLine="420" w:firstLineChars="200"/>
              <w:jc w:val="right"/>
              <w:rPr>
                <w:rFonts w:hint="eastAsia"/>
                <w:color w:val="000000"/>
                <w:u w:val="single"/>
              </w:rPr>
            </w:pPr>
            <w:r>
              <w:rPr>
                <w:rFonts w:hint="eastAsia"/>
                <w:color w:val="000000"/>
              </w:rPr>
              <w:t>发包人代表</w:t>
            </w:r>
            <w:r>
              <w:rPr>
                <w:rFonts w:hint="eastAsia"/>
                <w:color w:val="000000"/>
                <w:u w:val="single"/>
              </w:rPr>
              <w:t xml:space="preserve">             </w:t>
            </w:r>
          </w:p>
          <w:p>
            <w:pPr>
              <w:wordWrap w:val="0"/>
              <w:spacing w:line="400" w:lineRule="exact"/>
              <w:ind w:firstLine="420" w:firstLineChars="200"/>
              <w:jc w:val="right"/>
              <w:rPr>
                <w:rFonts w:hint="eastAsia"/>
                <w:color w:val="000000"/>
                <w:u w:val="single"/>
              </w:rPr>
            </w:pPr>
            <w:r>
              <w:rPr>
                <w:rFonts w:hint="eastAsia"/>
                <w:color w:val="000000"/>
              </w:rPr>
              <w:t>日      期</w:t>
            </w:r>
            <w:r>
              <w:rPr>
                <w:rFonts w:hint="eastAsia"/>
                <w:color w:val="000000"/>
                <w:u w:val="single"/>
              </w:rPr>
              <w:t xml:space="preserve">             </w:t>
            </w:r>
          </w:p>
        </w:tc>
      </w:tr>
    </w:tbl>
    <w:p>
      <w:pPr>
        <w:spacing w:before="120" w:beforeLines="50"/>
        <w:ind w:firstLine="360" w:firstLineChars="200"/>
        <w:rPr>
          <w:rFonts w:hint="eastAsia"/>
          <w:color w:val="000000"/>
          <w:sz w:val="18"/>
          <w:szCs w:val="18"/>
        </w:rPr>
      </w:pPr>
      <w:r>
        <w:rPr>
          <w:rFonts w:hint="eastAsia"/>
          <w:color w:val="000000"/>
          <w:sz w:val="18"/>
          <w:szCs w:val="18"/>
        </w:rPr>
        <w:t xml:space="preserve">注：1.在选择栏中的“□”内作标识“√”。 </w:t>
      </w:r>
    </w:p>
    <w:p>
      <w:pPr>
        <w:spacing w:before="120" w:beforeLines="50"/>
        <w:ind w:left="720" w:hanging="720" w:hangingChars="400"/>
        <w:rPr>
          <w:rFonts w:hint="eastAsia" w:eastAsia="仿宋_GB2312"/>
          <w:color w:val="000000"/>
          <w:sz w:val="30"/>
          <w:szCs w:val="30"/>
        </w:rPr>
      </w:pPr>
      <w:r>
        <w:rPr>
          <w:rFonts w:hint="eastAsia"/>
          <w:color w:val="000000"/>
          <w:sz w:val="18"/>
          <w:szCs w:val="18"/>
        </w:rPr>
        <w:t xml:space="preserve">    </w:t>
      </w:r>
      <w:r>
        <w:rPr>
          <w:color w:val="000000"/>
          <w:sz w:val="18"/>
          <w:szCs w:val="18"/>
        </w:rPr>
        <w:t xml:space="preserve">  </w:t>
      </w:r>
      <w:r>
        <w:rPr>
          <w:rFonts w:hint="eastAsia"/>
          <w:color w:val="000000"/>
          <w:sz w:val="18"/>
          <w:szCs w:val="18"/>
        </w:rPr>
        <w:t xml:space="preserve">  2.本表一式四份，由承包人填报，发包人、监理人、造价咨询人、承包人各存一份。</w:t>
      </w:r>
    </w:p>
    <w:p>
      <w:pPr>
        <w:jc w:val="left"/>
        <w:rPr>
          <w:rFonts w:hint="eastAsia" w:hAnsi="宋体" w:cs="宋体"/>
          <w:color w:val="000000"/>
          <w:sz w:val="30"/>
          <w:szCs w:val="30"/>
        </w:rPr>
      </w:pPr>
    </w:p>
    <w:p>
      <w:pPr>
        <w:spacing w:before="120" w:beforeLines="50"/>
        <w:ind w:left="1200" w:hanging="1200" w:hangingChars="400"/>
        <w:rPr>
          <w:rFonts w:hint="eastAsia" w:eastAsia="仿宋_GB2312"/>
          <w:color w:val="000000"/>
          <w:sz w:val="30"/>
          <w:szCs w:val="30"/>
        </w:rPr>
      </w:pPr>
      <w:r>
        <w:rPr>
          <w:rFonts w:hint="eastAsia" w:eastAsia="仿宋_GB2312"/>
          <w:color w:val="000000"/>
          <w:sz w:val="30"/>
          <w:szCs w:val="30"/>
        </w:rPr>
        <w:t>附件10：</w:t>
      </w:r>
    </w:p>
    <w:p>
      <w:pPr>
        <w:jc w:val="center"/>
        <w:rPr>
          <w:rFonts w:hint="eastAsia"/>
          <w:b/>
          <w:color w:val="000000"/>
          <w:sz w:val="36"/>
          <w:szCs w:val="36"/>
        </w:rPr>
      </w:pPr>
      <w:r>
        <w:rPr>
          <w:rFonts w:hint="eastAsia"/>
          <w:b/>
          <w:color w:val="000000"/>
          <w:sz w:val="36"/>
          <w:szCs w:val="36"/>
        </w:rPr>
        <w:t>进度款支付申请（核准）表</w:t>
      </w:r>
    </w:p>
    <w:p>
      <w:pPr>
        <w:rPr>
          <w:rFonts w:hint="eastAsia"/>
          <w:color w:val="000000"/>
          <w:sz w:val="24"/>
        </w:rPr>
      </w:pPr>
      <w:r>
        <w:rPr>
          <w:rFonts w:hint="eastAsia"/>
          <w:color w:val="000000"/>
          <w:sz w:val="24"/>
        </w:rPr>
        <w:t>工程名称：                                             编号：</w:t>
      </w:r>
    </w:p>
    <w:tbl>
      <w:tblPr>
        <w:tblStyle w:val="8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0"/>
        <w:gridCol w:w="4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noWrap w:val="0"/>
            <w:vAlign w:val="top"/>
          </w:tcPr>
          <w:p>
            <w:pPr>
              <w:spacing w:line="480" w:lineRule="exact"/>
              <w:ind w:left="525" w:leftChars="149" w:hanging="212" w:hangingChars="101"/>
              <w:rPr>
                <w:rFonts w:hint="eastAsia"/>
                <w:color w:val="000000"/>
                <w:szCs w:val="21"/>
                <w:u w:val="single"/>
              </w:rPr>
            </w:pPr>
            <w:r>
              <w:rPr>
                <w:rFonts w:hint="eastAsia"/>
                <w:color w:val="000000"/>
                <w:szCs w:val="21"/>
              </w:rPr>
              <w:t>致：</w:t>
            </w:r>
            <w:r>
              <w:rPr>
                <w:rFonts w:hint="eastAsia"/>
                <w:color w:val="000000"/>
                <w:szCs w:val="21"/>
                <w:u w:val="single"/>
              </w:rPr>
              <w:t xml:space="preserve">                                   （发包人全称）</w:t>
            </w:r>
          </w:p>
          <w:p>
            <w:pPr>
              <w:spacing w:line="400" w:lineRule="exact"/>
              <w:ind w:left="-4" w:leftChars="-2" w:firstLine="315" w:firstLineChars="150"/>
              <w:rPr>
                <w:rFonts w:hint="eastAsia"/>
                <w:color w:val="000000"/>
                <w:szCs w:val="21"/>
              </w:rPr>
            </w:pPr>
            <w:r>
              <w:rPr>
                <w:rFonts w:hint="eastAsia"/>
                <w:color w:val="000000"/>
                <w:szCs w:val="21"/>
              </w:rPr>
              <w:t>我方于</w:t>
            </w:r>
            <w:r>
              <w:rPr>
                <w:rFonts w:hint="eastAsia"/>
                <w:color w:val="000000"/>
                <w:szCs w:val="21"/>
                <w:u w:val="single"/>
              </w:rPr>
              <w:t xml:space="preserve">         </w:t>
            </w:r>
            <w:r>
              <w:rPr>
                <w:rFonts w:hint="eastAsia"/>
                <w:color w:val="000000"/>
                <w:szCs w:val="21"/>
              </w:rPr>
              <w:t>至</w:t>
            </w:r>
            <w:r>
              <w:rPr>
                <w:rFonts w:hint="eastAsia"/>
                <w:color w:val="000000"/>
                <w:szCs w:val="21"/>
                <w:u w:val="single"/>
              </w:rPr>
              <w:t xml:space="preserve">          </w:t>
            </w:r>
            <w:r>
              <w:rPr>
                <w:rFonts w:hint="eastAsia"/>
                <w:color w:val="000000"/>
                <w:szCs w:val="21"/>
              </w:rPr>
              <w:t>期间已完成了</w:t>
            </w:r>
            <w:r>
              <w:rPr>
                <w:rFonts w:hint="eastAsia"/>
                <w:color w:val="000000"/>
                <w:szCs w:val="21"/>
                <w:u w:val="single"/>
              </w:rPr>
              <w:t xml:space="preserve">               </w:t>
            </w:r>
            <w:r>
              <w:rPr>
                <w:rFonts w:hint="eastAsia"/>
                <w:color w:val="000000"/>
                <w:szCs w:val="21"/>
              </w:rPr>
              <w:t>工作，根据施工合同的约定，现申请支付本期的合同款额为(大写)</w:t>
            </w:r>
            <w:r>
              <w:rPr>
                <w:rFonts w:hint="eastAsia"/>
                <w:color w:val="000000"/>
                <w:szCs w:val="21"/>
                <w:u w:val="single"/>
              </w:rPr>
              <w:t xml:space="preserve">            </w:t>
            </w:r>
            <w:r>
              <w:rPr>
                <w:rFonts w:hint="eastAsia"/>
                <w:color w:val="000000"/>
                <w:szCs w:val="21"/>
              </w:rPr>
              <w:t>元，(小写)</w:t>
            </w:r>
            <w:r>
              <w:rPr>
                <w:rFonts w:hint="eastAsia"/>
                <w:color w:val="000000"/>
                <w:szCs w:val="21"/>
                <w:u w:val="single"/>
              </w:rPr>
              <w:t xml:space="preserve">         </w:t>
            </w:r>
            <w:r>
              <w:rPr>
                <w:rFonts w:hint="eastAsia"/>
                <w:color w:val="000000"/>
                <w:szCs w:val="21"/>
              </w:rPr>
              <w:t>元，请予核准。</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4668"/>
              <w:gridCol w:w="1381"/>
              <w:gridCol w:w="1428"/>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99" w:type="dxa"/>
                  <w:noWrap w:val="0"/>
                  <w:vAlign w:val="center"/>
                </w:tcPr>
                <w:p>
                  <w:pPr>
                    <w:spacing w:line="280" w:lineRule="exact"/>
                    <w:jc w:val="center"/>
                    <w:rPr>
                      <w:rFonts w:hint="eastAsia"/>
                      <w:color w:val="000000"/>
                      <w:szCs w:val="21"/>
                    </w:rPr>
                  </w:pPr>
                  <w:r>
                    <w:rPr>
                      <w:rFonts w:hint="eastAsia"/>
                      <w:color w:val="000000"/>
                      <w:szCs w:val="21"/>
                    </w:rPr>
                    <w:t>序号</w:t>
                  </w:r>
                </w:p>
              </w:tc>
              <w:tc>
                <w:tcPr>
                  <w:tcW w:w="4668" w:type="dxa"/>
                  <w:noWrap w:val="0"/>
                  <w:vAlign w:val="center"/>
                </w:tcPr>
                <w:p>
                  <w:pPr>
                    <w:spacing w:line="280" w:lineRule="exact"/>
                    <w:jc w:val="center"/>
                    <w:rPr>
                      <w:rFonts w:hint="eastAsia"/>
                      <w:color w:val="000000"/>
                      <w:szCs w:val="21"/>
                    </w:rPr>
                  </w:pPr>
                  <w:r>
                    <w:rPr>
                      <w:rFonts w:hint="eastAsia"/>
                      <w:color w:val="000000"/>
                      <w:szCs w:val="21"/>
                    </w:rPr>
                    <w:t>名      称</w:t>
                  </w:r>
                </w:p>
              </w:tc>
              <w:tc>
                <w:tcPr>
                  <w:tcW w:w="1381" w:type="dxa"/>
                  <w:noWrap w:val="0"/>
                  <w:vAlign w:val="center"/>
                </w:tcPr>
                <w:p>
                  <w:pPr>
                    <w:spacing w:line="280" w:lineRule="exact"/>
                    <w:jc w:val="center"/>
                    <w:rPr>
                      <w:rFonts w:hint="eastAsia"/>
                      <w:color w:val="000000"/>
                      <w:sz w:val="18"/>
                      <w:szCs w:val="18"/>
                    </w:rPr>
                  </w:pPr>
                  <w:r>
                    <w:rPr>
                      <w:rFonts w:hint="eastAsia"/>
                      <w:color w:val="000000"/>
                      <w:sz w:val="18"/>
                      <w:szCs w:val="18"/>
                    </w:rPr>
                    <w:t>申请金额（元）</w:t>
                  </w:r>
                </w:p>
              </w:tc>
              <w:tc>
                <w:tcPr>
                  <w:tcW w:w="1428" w:type="dxa"/>
                  <w:noWrap w:val="0"/>
                  <w:vAlign w:val="center"/>
                </w:tcPr>
                <w:p>
                  <w:pPr>
                    <w:spacing w:line="280" w:lineRule="exact"/>
                    <w:jc w:val="center"/>
                    <w:rPr>
                      <w:rFonts w:hint="eastAsia"/>
                      <w:color w:val="000000"/>
                      <w:sz w:val="18"/>
                      <w:szCs w:val="18"/>
                    </w:rPr>
                  </w:pPr>
                  <w:r>
                    <w:rPr>
                      <w:rFonts w:hint="eastAsia"/>
                      <w:color w:val="000000"/>
                      <w:sz w:val="18"/>
                      <w:szCs w:val="18"/>
                    </w:rPr>
                    <w:t>核定金额（元）</w:t>
                  </w:r>
                </w:p>
              </w:tc>
              <w:tc>
                <w:tcPr>
                  <w:tcW w:w="670" w:type="dxa"/>
                  <w:noWrap w:val="0"/>
                  <w:vAlign w:val="center"/>
                </w:tcPr>
                <w:p>
                  <w:pPr>
                    <w:spacing w:line="280" w:lineRule="exact"/>
                    <w:jc w:val="center"/>
                    <w:rPr>
                      <w:color w:val="000000"/>
                      <w:sz w:val="18"/>
                      <w:szCs w:val="18"/>
                    </w:rPr>
                  </w:pPr>
                  <w:r>
                    <w:rPr>
                      <w:rFonts w:hint="eastAsia"/>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top"/>
                </w:tcPr>
                <w:p>
                  <w:pPr>
                    <w:spacing w:line="280" w:lineRule="exact"/>
                    <w:jc w:val="center"/>
                    <w:rPr>
                      <w:rFonts w:hint="eastAsia"/>
                      <w:color w:val="000000"/>
                      <w:szCs w:val="21"/>
                    </w:rPr>
                  </w:pPr>
                  <w:r>
                    <w:rPr>
                      <w:rFonts w:hint="eastAsia"/>
                      <w:color w:val="000000"/>
                      <w:szCs w:val="21"/>
                    </w:rPr>
                    <w:t>1</w:t>
                  </w:r>
                </w:p>
              </w:tc>
              <w:tc>
                <w:tcPr>
                  <w:tcW w:w="4668" w:type="dxa"/>
                  <w:noWrap w:val="0"/>
                  <w:vAlign w:val="top"/>
                </w:tcPr>
                <w:p>
                  <w:pPr>
                    <w:spacing w:line="280" w:lineRule="exact"/>
                    <w:rPr>
                      <w:rFonts w:hint="eastAsia"/>
                      <w:color w:val="000000"/>
                      <w:szCs w:val="21"/>
                    </w:rPr>
                  </w:pPr>
                  <w:r>
                    <w:rPr>
                      <w:rFonts w:hint="eastAsia"/>
                      <w:color w:val="000000"/>
                      <w:szCs w:val="21"/>
                    </w:rPr>
                    <w:t>累计已完成的工程价款（不含本期）</w:t>
                  </w:r>
                </w:p>
              </w:tc>
              <w:tc>
                <w:tcPr>
                  <w:tcW w:w="1381" w:type="dxa"/>
                  <w:noWrap w:val="0"/>
                  <w:vAlign w:val="top"/>
                </w:tcPr>
                <w:p>
                  <w:pPr>
                    <w:spacing w:line="280" w:lineRule="exact"/>
                    <w:rPr>
                      <w:rFonts w:hint="eastAsia"/>
                      <w:color w:val="000000"/>
                      <w:szCs w:val="21"/>
                    </w:rPr>
                  </w:pPr>
                </w:p>
              </w:tc>
              <w:tc>
                <w:tcPr>
                  <w:tcW w:w="1428" w:type="dxa"/>
                  <w:noWrap w:val="0"/>
                  <w:vAlign w:val="top"/>
                </w:tcPr>
                <w:p>
                  <w:pPr>
                    <w:spacing w:line="280" w:lineRule="exact"/>
                    <w:rPr>
                      <w:rFonts w:hint="eastAsia"/>
                      <w:color w:val="000000"/>
                      <w:szCs w:val="21"/>
                    </w:rPr>
                  </w:pPr>
                </w:p>
              </w:tc>
              <w:tc>
                <w:tcPr>
                  <w:tcW w:w="670" w:type="dxa"/>
                  <w:noWrap w:val="0"/>
                  <w:vAlign w:val="top"/>
                </w:tcPr>
                <w:p>
                  <w:pPr>
                    <w:spacing w:line="280" w:lineRule="exact"/>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top"/>
                </w:tcPr>
                <w:p>
                  <w:pPr>
                    <w:spacing w:line="280" w:lineRule="exact"/>
                    <w:jc w:val="center"/>
                    <w:rPr>
                      <w:rFonts w:hint="eastAsia"/>
                      <w:color w:val="000000"/>
                      <w:szCs w:val="21"/>
                    </w:rPr>
                  </w:pPr>
                  <w:r>
                    <w:rPr>
                      <w:rFonts w:hint="eastAsia"/>
                      <w:color w:val="000000"/>
                      <w:szCs w:val="21"/>
                    </w:rPr>
                    <w:t>2</w:t>
                  </w:r>
                </w:p>
              </w:tc>
              <w:tc>
                <w:tcPr>
                  <w:tcW w:w="4668" w:type="dxa"/>
                  <w:noWrap w:val="0"/>
                  <w:vAlign w:val="top"/>
                </w:tcPr>
                <w:p>
                  <w:pPr>
                    <w:spacing w:line="280" w:lineRule="exact"/>
                    <w:rPr>
                      <w:rFonts w:hint="eastAsia"/>
                      <w:color w:val="000000"/>
                      <w:szCs w:val="21"/>
                    </w:rPr>
                  </w:pPr>
                  <w:r>
                    <w:rPr>
                      <w:rFonts w:hint="eastAsia"/>
                      <w:color w:val="000000"/>
                      <w:szCs w:val="21"/>
                    </w:rPr>
                    <w:t>累计已实际支付的工程价款</w:t>
                  </w:r>
                </w:p>
              </w:tc>
              <w:tc>
                <w:tcPr>
                  <w:tcW w:w="1381" w:type="dxa"/>
                  <w:noWrap w:val="0"/>
                  <w:vAlign w:val="top"/>
                </w:tcPr>
                <w:p>
                  <w:pPr>
                    <w:spacing w:line="280" w:lineRule="exact"/>
                    <w:rPr>
                      <w:rFonts w:hint="eastAsia"/>
                      <w:color w:val="000000"/>
                      <w:szCs w:val="21"/>
                    </w:rPr>
                  </w:pPr>
                </w:p>
              </w:tc>
              <w:tc>
                <w:tcPr>
                  <w:tcW w:w="1428" w:type="dxa"/>
                  <w:noWrap w:val="0"/>
                  <w:vAlign w:val="top"/>
                </w:tcPr>
                <w:p>
                  <w:pPr>
                    <w:spacing w:line="280" w:lineRule="exact"/>
                    <w:rPr>
                      <w:rFonts w:hint="eastAsia"/>
                      <w:color w:val="000000"/>
                      <w:szCs w:val="21"/>
                    </w:rPr>
                  </w:pPr>
                </w:p>
              </w:tc>
              <w:tc>
                <w:tcPr>
                  <w:tcW w:w="670" w:type="dxa"/>
                  <w:noWrap w:val="0"/>
                  <w:vAlign w:val="top"/>
                </w:tcPr>
                <w:p>
                  <w:pPr>
                    <w:spacing w:line="280" w:lineRule="exact"/>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top"/>
                </w:tcPr>
                <w:p>
                  <w:pPr>
                    <w:spacing w:line="280" w:lineRule="exact"/>
                    <w:jc w:val="center"/>
                    <w:rPr>
                      <w:rFonts w:hint="eastAsia"/>
                      <w:color w:val="000000"/>
                      <w:szCs w:val="21"/>
                    </w:rPr>
                  </w:pPr>
                  <w:r>
                    <w:rPr>
                      <w:rFonts w:hint="eastAsia"/>
                      <w:color w:val="000000"/>
                      <w:szCs w:val="21"/>
                    </w:rPr>
                    <w:t>3</w:t>
                  </w:r>
                </w:p>
              </w:tc>
              <w:tc>
                <w:tcPr>
                  <w:tcW w:w="4668" w:type="dxa"/>
                  <w:noWrap w:val="0"/>
                  <w:vAlign w:val="top"/>
                </w:tcPr>
                <w:p>
                  <w:pPr>
                    <w:spacing w:line="280" w:lineRule="exact"/>
                    <w:rPr>
                      <w:color w:val="000000"/>
                      <w:szCs w:val="21"/>
                    </w:rPr>
                  </w:pPr>
                  <w:r>
                    <w:rPr>
                      <w:rFonts w:hint="eastAsia"/>
                      <w:color w:val="000000"/>
                      <w:szCs w:val="21"/>
                    </w:rPr>
                    <w:t>本周期已完成的工程价款（包括变更、索赔等）</w:t>
                  </w:r>
                  <w:r>
                    <w:rPr>
                      <w:rFonts w:ascii="Arial" w:hAnsi="Arial" w:cs="Arial"/>
                      <w:color w:val="000000"/>
                      <w:szCs w:val="21"/>
                    </w:rPr>
                    <w:t>×</w:t>
                  </w:r>
                  <w:r>
                    <w:rPr>
                      <w:rFonts w:hint="eastAsia"/>
                      <w:color w:val="000000"/>
                      <w:szCs w:val="21"/>
                    </w:rPr>
                    <w:t>支付比例</w:t>
                  </w:r>
                </w:p>
              </w:tc>
              <w:tc>
                <w:tcPr>
                  <w:tcW w:w="1381" w:type="dxa"/>
                  <w:noWrap w:val="0"/>
                  <w:vAlign w:val="top"/>
                </w:tcPr>
                <w:p>
                  <w:pPr>
                    <w:spacing w:line="280" w:lineRule="exact"/>
                    <w:rPr>
                      <w:rFonts w:hint="eastAsia"/>
                      <w:color w:val="000000"/>
                      <w:szCs w:val="21"/>
                    </w:rPr>
                  </w:pPr>
                </w:p>
              </w:tc>
              <w:tc>
                <w:tcPr>
                  <w:tcW w:w="1428" w:type="dxa"/>
                  <w:noWrap w:val="0"/>
                  <w:vAlign w:val="top"/>
                </w:tcPr>
                <w:p>
                  <w:pPr>
                    <w:spacing w:line="280" w:lineRule="exact"/>
                    <w:rPr>
                      <w:rFonts w:hint="eastAsia"/>
                      <w:color w:val="000000"/>
                      <w:szCs w:val="21"/>
                    </w:rPr>
                  </w:pPr>
                </w:p>
              </w:tc>
              <w:tc>
                <w:tcPr>
                  <w:tcW w:w="670" w:type="dxa"/>
                  <w:noWrap w:val="0"/>
                  <w:vAlign w:val="top"/>
                </w:tcPr>
                <w:p>
                  <w:pPr>
                    <w:spacing w:line="280" w:lineRule="exact"/>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top"/>
                </w:tcPr>
                <w:p>
                  <w:pPr>
                    <w:spacing w:line="280" w:lineRule="exact"/>
                    <w:jc w:val="center"/>
                    <w:rPr>
                      <w:rFonts w:hint="eastAsia"/>
                      <w:color w:val="000000"/>
                      <w:szCs w:val="21"/>
                    </w:rPr>
                  </w:pPr>
                  <w:r>
                    <w:rPr>
                      <w:rFonts w:hint="eastAsia"/>
                      <w:color w:val="000000"/>
                      <w:szCs w:val="21"/>
                    </w:rPr>
                    <w:t>3.1</w:t>
                  </w:r>
                </w:p>
              </w:tc>
              <w:tc>
                <w:tcPr>
                  <w:tcW w:w="4668" w:type="dxa"/>
                  <w:noWrap w:val="0"/>
                  <w:vAlign w:val="top"/>
                </w:tcPr>
                <w:p>
                  <w:pPr>
                    <w:spacing w:line="280" w:lineRule="exact"/>
                    <w:rPr>
                      <w:color w:val="000000"/>
                      <w:szCs w:val="21"/>
                    </w:rPr>
                  </w:pPr>
                  <w:r>
                    <w:rPr>
                      <w:rFonts w:hint="eastAsia"/>
                      <w:color w:val="000000"/>
                      <w:szCs w:val="21"/>
                    </w:rPr>
                    <w:t>其中单独支付人工费：人工费*支付比例</w:t>
                  </w:r>
                </w:p>
              </w:tc>
              <w:tc>
                <w:tcPr>
                  <w:tcW w:w="1381" w:type="dxa"/>
                  <w:noWrap w:val="0"/>
                  <w:vAlign w:val="top"/>
                </w:tcPr>
                <w:p>
                  <w:pPr>
                    <w:spacing w:line="280" w:lineRule="exact"/>
                    <w:rPr>
                      <w:rFonts w:hint="eastAsia"/>
                      <w:color w:val="000000"/>
                      <w:szCs w:val="21"/>
                    </w:rPr>
                  </w:pPr>
                </w:p>
              </w:tc>
              <w:tc>
                <w:tcPr>
                  <w:tcW w:w="1428" w:type="dxa"/>
                  <w:noWrap w:val="0"/>
                  <w:vAlign w:val="top"/>
                </w:tcPr>
                <w:p>
                  <w:pPr>
                    <w:spacing w:line="280" w:lineRule="exact"/>
                    <w:rPr>
                      <w:rFonts w:hint="eastAsia"/>
                      <w:color w:val="000000"/>
                      <w:szCs w:val="21"/>
                    </w:rPr>
                  </w:pPr>
                </w:p>
              </w:tc>
              <w:tc>
                <w:tcPr>
                  <w:tcW w:w="670" w:type="dxa"/>
                  <w:noWrap w:val="0"/>
                  <w:vAlign w:val="top"/>
                </w:tcPr>
                <w:p>
                  <w:pPr>
                    <w:spacing w:line="280" w:lineRule="exact"/>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top"/>
                </w:tcPr>
                <w:p>
                  <w:pPr>
                    <w:spacing w:line="280" w:lineRule="exact"/>
                    <w:jc w:val="center"/>
                    <w:rPr>
                      <w:rFonts w:hint="eastAsia"/>
                      <w:color w:val="000000"/>
                      <w:szCs w:val="21"/>
                    </w:rPr>
                  </w:pPr>
                  <w:r>
                    <w:rPr>
                      <w:rFonts w:hint="eastAsia"/>
                      <w:color w:val="000000"/>
                      <w:szCs w:val="21"/>
                    </w:rPr>
                    <w:t>4</w:t>
                  </w:r>
                </w:p>
              </w:tc>
              <w:tc>
                <w:tcPr>
                  <w:tcW w:w="4668" w:type="dxa"/>
                  <w:noWrap w:val="0"/>
                  <w:vAlign w:val="top"/>
                </w:tcPr>
                <w:p>
                  <w:pPr>
                    <w:spacing w:line="280" w:lineRule="exact"/>
                    <w:rPr>
                      <w:rFonts w:hint="eastAsia"/>
                      <w:color w:val="000000"/>
                      <w:szCs w:val="21"/>
                    </w:rPr>
                  </w:pPr>
                  <w:r>
                    <w:rPr>
                      <w:rFonts w:hint="eastAsia"/>
                      <w:color w:val="000000"/>
                      <w:szCs w:val="21"/>
                    </w:rPr>
                    <w:t>本周期应扣除的工程价款</w:t>
                  </w:r>
                </w:p>
              </w:tc>
              <w:tc>
                <w:tcPr>
                  <w:tcW w:w="1381" w:type="dxa"/>
                  <w:noWrap w:val="0"/>
                  <w:vAlign w:val="top"/>
                </w:tcPr>
                <w:p>
                  <w:pPr>
                    <w:spacing w:line="280" w:lineRule="exact"/>
                    <w:rPr>
                      <w:rFonts w:hint="eastAsia"/>
                      <w:color w:val="000000"/>
                      <w:szCs w:val="21"/>
                    </w:rPr>
                  </w:pPr>
                </w:p>
              </w:tc>
              <w:tc>
                <w:tcPr>
                  <w:tcW w:w="1428" w:type="dxa"/>
                  <w:noWrap w:val="0"/>
                  <w:vAlign w:val="top"/>
                </w:tcPr>
                <w:p>
                  <w:pPr>
                    <w:spacing w:line="280" w:lineRule="exact"/>
                    <w:rPr>
                      <w:rFonts w:hint="eastAsia"/>
                      <w:color w:val="000000"/>
                      <w:szCs w:val="21"/>
                    </w:rPr>
                  </w:pPr>
                </w:p>
              </w:tc>
              <w:tc>
                <w:tcPr>
                  <w:tcW w:w="670" w:type="dxa"/>
                  <w:noWrap w:val="0"/>
                  <w:vAlign w:val="top"/>
                </w:tcPr>
                <w:p>
                  <w:pPr>
                    <w:spacing w:line="280" w:lineRule="exact"/>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top"/>
                </w:tcPr>
                <w:p>
                  <w:pPr>
                    <w:spacing w:line="280" w:lineRule="exact"/>
                    <w:jc w:val="center"/>
                    <w:rPr>
                      <w:rFonts w:hint="eastAsia"/>
                      <w:color w:val="000000"/>
                      <w:szCs w:val="21"/>
                    </w:rPr>
                  </w:pPr>
                  <w:r>
                    <w:rPr>
                      <w:rFonts w:hint="eastAsia"/>
                      <w:color w:val="000000"/>
                      <w:szCs w:val="21"/>
                    </w:rPr>
                    <w:t>4.1</w:t>
                  </w:r>
                </w:p>
              </w:tc>
              <w:tc>
                <w:tcPr>
                  <w:tcW w:w="4668" w:type="dxa"/>
                  <w:noWrap w:val="0"/>
                  <w:vAlign w:val="top"/>
                </w:tcPr>
                <w:p>
                  <w:pPr>
                    <w:spacing w:line="280" w:lineRule="exact"/>
                    <w:rPr>
                      <w:rFonts w:hint="eastAsia"/>
                      <w:color w:val="000000"/>
                      <w:szCs w:val="21"/>
                    </w:rPr>
                  </w:pPr>
                  <w:r>
                    <w:rPr>
                      <w:rFonts w:hint="eastAsia"/>
                      <w:color w:val="000000"/>
                      <w:szCs w:val="21"/>
                    </w:rPr>
                    <w:t>扣除本周期已单独支付的人工费</w:t>
                  </w:r>
                </w:p>
              </w:tc>
              <w:tc>
                <w:tcPr>
                  <w:tcW w:w="1381" w:type="dxa"/>
                  <w:noWrap w:val="0"/>
                  <w:vAlign w:val="top"/>
                </w:tcPr>
                <w:p>
                  <w:pPr>
                    <w:spacing w:line="280" w:lineRule="exact"/>
                    <w:rPr>
                      <w:rFonts w:hint="eastAsia"/>
                      <w:color w:val="000000"/>
                      <w:szCs w:val="21"/>
                    </w:rPr>
                  </w:pPr>
                </w:p>
              </w:tc>
              <w:tc>
                <w:tcPr>
                  <w:tcW w:w="1428" w:type="dxa"/>
                  <w:noWrap w:val="0"/>
                  <w:vAlign w:val="top"/>
                </w:tcPr>
                <w:p>
                  <w:pPr>
                    <w:spacing w:line="280" w:lineRule="exact"/>
                    <w:rPr>
                      <w:rFonts w:hint="eastAsia"/>
                      <w:color w:val="000000"/>
                      <w:szCs w:val="21"/>
                    </w:rPr>
                  </w:pPr>
                </w:p>
              </w:tc>
              <w:tc>
                <w:tcPr>
                  <w:tcW w:w="670" w:type="dxa"/>
                  <w:noWrap w:val="0"/>
                  <w:vAlign w:val="top"/>
                </w:tcPr>
                <w:p>
                  <w:pPr>
                    <w:spacing w:line="280" w:lineRule="exact"/>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top"/>
                </w:tcPr>
                <w:p>
                  <w:pPr>
                    <w:spacing w:line="280" w:lineRule="exact"/>
                    <w:jc w:val="center"/>
                    <w:rPr>
                      <w:rFonts w:hint="eastAsia"/>
                      <w:color w:val="000000"/>
                      <w:szCs w:val="21"/>
                    </w:rPr>
                  </w:pPr>
                  <w:r>
                    <w:rPr>
                      <w:rFonts w:hint="eastAsia"/>
                      <w:color w:val="000000"/>
                      <w:szCs w:val="21"/>
                    </w:rPr>
                    <w:t>4.2</w:t>
                  </w:r>
                </w:p>
              </w:tc>
              <w:tc>
                <w:tcPr>
                  <w:tcW w:w="4668" w:type="dxa"/>
                  <w:noWrap w:val="0"/>
                  <w:vAlign w:val="top"/>
                </w:tcPr>
                <w:p>
                  <w:pPr>
                    <w:rPr>
                      <w:rFonts w:hint="eastAsia"/>
                      <w:color w:val="000000"/>
                      <w:szCs w:val="21"/>
                    </w:rPr>
                  </w:pPr>
                  <w:r>
                    <w:rPr>
                      <w:rFonts w:hint="eastAsia" w:ascii="宋体" w:hAnsi="宋体" w:cs="宋体"/>
                      <w:color w:val="000000"/>
                      <w:szCs w:val="21"/>
                    </w:rPr>
                    <w:t>扣除本周期应抵扣的预付款</w:t>
                  </w:r>
                </w:p>
              </w:tc>
              <w:tc>
                <w:tcPr>
                  <w:tcW w:w="1381" w:type="dxa"/>
                  <w:noWrap w:val="0"/>
                  <w:vAlign w:val="top"/>
                </w:tcPr>
                <w:p>
                  <w:pPr>
                    <w:spacing w:line="280" w:lineRule="exact"/>
                    <w:rPr>
                      <w:rFonts w:hint="eastAsia"/>
                      <w:color w:val="000000"/>
                      <w:szCs w:val="21"/>
                    </w:rPr>
                  </w:pPr>
                </w:p>
              </w:tc>
              <w:tc>
                <w:tcPr>
                  <w:tcW w:w="1428" w:type="dxa"/>
                  <w:noWrap w:val="0"/>
                  <w:vAlign w:val="top"/>
                </w:tcPr>
                <w:p>
                  <w:pPr>
                    <w:spacing w:line="280" w:lineRule="exact"/>
                    <w:rPr>
                      <w:rFonts w:hint="eastAsia"/>
                      <w:color w:val="000000"/>
                      <w:szCs w:val="21"/>
                    </w:rPr>
                  </w:pPr>
                </w:p>
              </w:tc>
              <w:tc>
                <w:tcPr>
                  <w:tcW w:w="670" w:type="dxa"/>
                  <w:noWrap w:val="0"/>
                  <w:vAlign w:val="top"/>
                </w:tcPr>
                <w:p>
                  <w:pPr>
                    <w:spacing w:line="280" w:lineRule="exact"/>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top"/>
                </w:tcPr>
                <w:p>
                  <w:pPr>
                    <w:spacing w:line="280" w:lineRule="exact"/>
                    <w:jc w:val="center"/>
                    <w:rPr>
                      <w:rFonts w:hint="eastAsia"/>
                      <w:color w:val="000000"/>
                      <w:szCs w:val="21"/>
                    </w:rPr>
                  </w:pPr>
                  <w:r>
                    <w:rPr>
                      <w:rFonts w:hint="eastAsia"/>
                      <w:color w:val="000000"/>
                      <w:szCs w:val="21"/>
                    </w:rPr>
                    <w:t>4.3</w:t>
                  </w:r>
                </w:p>
              </w:tc>
              <w:tc>
                <w:tcPr>
                  <w:tcW w:w="4668" w:type="dxa"/>
                  <w:noWrap w:val="0"/>
                  <w:vAlign w:val="top"/>
                </w:tcPr>
                <w:p>
                  <w:pPr>
                    <w:spacing w:line="280" w:lineRule="exact"/>
                    <w:rPr>
                      <w:rFonts w:hint="eastAsia" w:ascii="宋体" w:hAnsi="宋体" w:cs="宋体"/>
                      <w:color w:val="000000"/>
                      <w:szCs w:val="21"/>
                    </w:rPr>
                  </w:pPr>
                  <w:r>
                    <w:rPr>
                      <w:rFonts w:hint="eastAsia" w:ascii="宋体" w:hAnsi="宋体" w:cs="宋体"/>
                      <w:color w:val="000000"/>
                      <w:szCs w:val="21"/>
                    </w:rPr>
                    <w:t>扣除本周期应预留的质量保证金（如有）</w:t>
                  </w:r>
                </w:p>
              </w:tc>
              <w:tc>
                <w:tcPr>
                  <w:tcW w:w="1381" w:type="dxa"/>
                  <w:noWrap w:val="0"/>
                  <w:vAlign w:val="top"/>
                </w:tcPr>
                <w:p>
                  <w:pPr>
                    <w:spacing w:line="280" w:lineRule="exact"/>
                    <w:rPr>
                      <w:rFonts w:hint="eastAsia"/>
                      <w:color w:val="000000"/>
                      <w:szCs w:val="21"/>
                    </w:rPr>
                  </w:pPr>
                </w:p>
              </w:tc>
              <w:tc>
                <w:tcPr>
                  <w:tcW w:w="1428" w:type="dxa"/>
                  <w:noWrap w:val="0"/>
                  <w:vAlign w:val="top"/>
                </w:tcPr>
                <w:p>
                  <w:pPr>
                    <w:spacing w:line="280" w:lineRule="exact"/>
                    <w:rPr>
                      <w:rFonts w:hint="eastAsia"/>
                      <w:color w:val="000000"/>
                      <w:szCs w:val="21"/>
                    </w:rPr>
                  </w:pPr>
                </w:p>
              </w:tc>
              <w:tc>
                <w:tcPr>
                  <w:tcW w:w="670" w:type="dxa"/>
                  <w:noWrap w:val="0"/>
                  <w:vAlign w:val="top"/>
                </w:tcPr>
                <w:p>
                  <w:pPr>
                    <w:spacing w:line="280" w:lineRule="exact"/>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top"/>
                </w:tcPr>
                <w:p>
                  <w:pPr>
                    <w:spacing w:line="280" w:lineRule="exact"/>
                    <w:jc w:val="center"/>
                    <w:rPr>
                      <w:color w:val="000000"/>
                      <w:szCs w:val="21"/>
                    </w:rPr>
                  </w:pPr>
                  <w:r>
                    <w:rPr>
                      <w:rFonts w:hint="eastAsia"/>
                      <w:color w:val="000000"/>
                      <w:szCs w:val="21"/>
                    </w:rPr>
                    <w:t>4.4</w:t>
                  </w:r>
                </w:p>
              </w:tc>
              <w:tc>
                <w:tcPr>
                  <w:tcW w:w="4668" w:type="dxa"/>
                  <w:noWrap w:val="0"/>
                  <w:vAlign w:val="top"/>
                </w:tcPr>
                <w:p>
                  <w:pPr>
                    <w:spacing w:line="280" w:lineRule="exact"/>
                    <w:rPr>
                      <w:rFonts w:ascii="宋体" w:hAnsi="宋体" w:cs="宋体"/>
                      <w:color w:val="000000"/>
                      <w:szCs w:val="21"/>
                    </w:rPr>
                  </w:pPr>
                  <w:r>
                    <w:rPr>
                      <w:rFonts w:hint="eastAsia" w:ascii="宋体" w:hAnsi="宋体" w:cs="宋体"/>
                      <w:color w:val="000000"/>
                      <w:szCs w:val="21"/>
                    </w:rPr>
                    <w:t>扣除本周期应抵扣的安全文明施工费</w:t>
                  </w:r>
                </w:p>
              </w:tc>
              <w:tc>
                <w:tcPr>
                  <w:tcW w:w="1381" w:type="dxa"/>
                  <w:noWrap w:val="0"/>
                  <w:vAlign w:val="top"/>
                </w:tcPr>
                <w:p>
                  <w:pPr>
                    <w:spacing w:line="280" w:lineRule="exact"/>
                    <w:rPr>
                      <w:rFonts w:hint="eastAsia"/>
                      <w:color w:val="000000"/>
                      <w:szCs w:val="21"/>
                    </w:rPr>
                  </w:pPr>
                </w:p>
              </w:tc>
              <w:tc>
                <w:tcPr>
                  <w:tcW w:w="1428" w:type="dxa"/>
                  <w:noWrap w:val="0"/>
                  <w:vAlign w:val="top"/>
                </w:tcPr>
                <w:p>
                  <w:pPr>
                    <w:spacing w:line="280" w:lineRule="exact"/>
                    <w:rPr>
                      <w:rFonts w:hint="eastAsia"/>
                      <w:color w:val="000000"/>
                      <w:szCs w:val="21"/>
                    </w:rPr>
                  </w:pPr>
                </w:p>
              </w:tc>
              <w:tc>
                <w:tcPr>
                  <w:tcW w:w="670" w:type="dxa"/>
                  <w:noWrap w:val="0"/>
                  <w:vAlign w:val="top"/>
                </w:tcPr>
                <w:p>
                  <w:pPr>
                    <w:spacing w:line="280" w:lineRule="exact"/>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top"/>
                </w:tcPr>
                <w:p>
                  <w:pPr>
                    <w:spacing w:line="280" w:lineRule="exact"/>
                    <w:jc w:val="center"/>
                    <w:rPr>
                      <w:color w:val="000000"/>
                      <w:szCs w:val="21"/>
                    </w:rPr>
                  </w:pPr>
                  <w:r>
                    <w:rPr>
                      <w:rFonts w:hint="eastAsia"/>
                      <w:color w:val="000000"/>
                      <w:szCs w:val="21"/>
                    </w:rPr>
                    <w:t>5</w:t>
                  </w:r>
                </w:p>
              </w:tc>
              <w:tc>
                <w:tcPr>
                  <w:tcW w:w="4668" w:type="dxa"/>
                  <w:noWrap w:val="0"/>
                  <w:vAlign w:val="top"/>
                </w:tcPr>
                <w:p>
                  <w:pPr>
                    <w:rPr>
                      <w:rFonts w:hint="eastAsia" w:ascii="宋体" w:hAnsi="宋体" w:cs="宋体"/>
                      <w:color w:val="000000"/>
                      <w:szCs w:val="21"/>
                    </w:rPr>
                  </w:pPr>
                  <w:r>
                    <w:rPr>
                      <w:rFonts w:hint="eastAsia" w:ascii="宋体" w:hAnsi="宋体" w:cs="宋体"/>
                      <w:color w:val="000000"/>
                      <w:szCs w:val="21"/>
                    </w:rPr>
                    <w:t>已签发的进度款支付证书中出现错误需在本周期中支付或扣除的工程价款；</w:t>
                  </w:r>
                </w:p>
              </w:tc>
              <w:tc>
                <w:tcPr>
                  <w:tcW w:w="1381" w:type="dxa"/>
                  <w:noWrap w:val="0"/>
                  <w:vAlign w:val="top"/>
                </w:tcPr>
                <w:p>
                  <w:pPr>
                    <w:spacing w:line="280" w:lineRule="exact"/>
                    <w:rPr>
                      <w:rFonts w:hint="eastAsia"/>
                      <w:color w:val="000000"/>
                      <w:szCs w:val="21"/>
                    </w:rPr>
                  </w:pPr>
                </w:p>
              </w:tc>
              <w:tc>
                <w:tcPr>
                  <w:tcW w:w="1428" w:type="dxa"/>
                  <w:noWrap w:val="0"/>
                  <w:vAlign w:val="top"/>
                </w:tcPr>
                <w:p>
                  <w:pPr>
                    <w:spacing w:line="280" w:lineRule="exact"/>
                    <w:rPr>
                      <w:rFonts w:hint="eastAsia"/>
                      <w:color w:val="000000"/>
                      <w:szCs w:val="21"/>
                    </w:rPr>
                  </w:pPr>
                </w:p>
              </w:tc>
              <w:tc>
                <w:tcPr>
                  <w:tcW w:w="670" w:type="dxa"/>
                  <w:noWrap w:val="0"/>
                  <w:vAlign w:val="top"/>
                </w:tcPr>
                <w:p>
                  <w:pPr>
                    <w:spacing w:line="280" w:lineRule="exact"/>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top"/>
                </w:tcPr>
                <w:p>
                  <w:pPr>
                    <w:spacing w:line="280" w:lineRule="exact"/>
                    <w:jc w:val="center"/>
                    <w:rPr>
                      <w:rFonts w:hint="eastAsia"/>
                      <w:color w:val="000000"/>
                      <w:szCs w:val="21"/>
                    </w:rPr>
                  </w:pPr>
                  <w:r>
                    <w:rPr>
                      <w:rFonts w:hint="eastAsia"/>
                      <w:color w:val="000000"/>
                      <w:szCs w:val="21"/>
                    </w:rPr>
                    <w:t>6</w:t>
                  </w:r>
                </w:p>
              </w:tc>
              <w:tc>
                <w:tcPr>
                  <w:tcW w:w="4668" w:type="dxa"/>
                  <w:noWrap w:val="0"/>
                  <w:vAlign w:val="top"/>
                </w:tcPr>
                <w:p>
                  <w:pPr>
                    <w:spacing w:line="280" w:lineRule="exact"/>
                    <w:rPr>
                      <w:color w:val="000000"/>
                      <w:szCs w:val="21"/>
                    </w:rPr>
                  </w:pPr>
                  <w:r>
                    <w:rPr>
                      <w:rFonts w:hint="eastAsia"/>
                      <w:color w:val="000000"/>
                      <w:szCs w:val="21"/>
                    </w:rPr>
                    <w:t>本周期支付的不含人工费的工程价款（3-3.1-4</w:t>
                  </w:r>
                  <w:r>
                    <w:rPr>
                      <w:rFonts w:hint="eastAsia"/>
                      <w:color w:val="000000"/>
                      <w:szCs w:val="21"/>
                    </w:rPr>
                    <w:sym w:font="Symbol" w:char="00B1"/>
                  </w:r>
                  <w:r>
                    <w:rPr>
                      <w:rFonts w:hint="eastAsia"/>
                      <w:color w:val="000000"/>
                      <w:szCs w:val="21"/>
                    </w:rPr>
                    <w:t>5）</w:t>
                  </w:r>
                </w:p>
              </w:tc>
              <w:tc>
                <w:tcPr>
                  <w:tcW w:w="1381" w:type="dxa"/>
                  <w:noWrap w:val="0"/>
                  <w:vAlign w:val="top"/>
                </w:tcPr>
                <w:p>
                  <w:pPr>
                    <w:spacing w:line="280" w:lineRule="exact"/>
                    <w:rPr>
                      <w:rFonts w:hint="eastAsia"/>
                      <w:color w:val="000000"/>
                      <w:szCs w:val="21"/>
                    </w:rPr>
                  </w:pPr>
                </w:p>
              </w:tc>
              <w:tc>
                <w:tcPr>
                  <w:tcW w:w="1428" w:type="dxa"/>
                  <w:noWrap w:val="0"/>
                  <w:vAlign w:val="top"/>
                </w:tcPr>
                <w:p>
                  <w:pPr>
                    <w:spacing w:line="280" w:lineRule="exact"/>
                    <w:rPr>
                      <w:rFonts w:hint="eastAsia"/>
                      <w:color w:val="000000"/>
                      <w:szCs w:val="21"/>
                    </w:rPr>
                  </w:pPr>
                </w:p>
              </w:tc>
              <w:tc>
                <w:tcPr>
                  <w:tcW w:w="670" w:type="dxa"/>
                  <w:noWrap w:val="0"/>
                  <w:vAlign w:val="top"/>
                </w:tcPr>
                <w:p>
                  <w:pPr>
                    <w:spacing w:line="280" w:lineRule="exact"/>
                    <w:rPr>
                      <w:rFonts w:hint="eastAsia"/>
                      <w:color w:val="000000"/>
                      <w:szCs w:val="21"/>
                    </w:rPr>
                  </w:pPr>
                </w:p>
              </w:tc>
            </w:tr>
          </w:tbl>
          <w:p>
            <w:pPr>
              <w:wordWrap w:val="0"/>
              <w:spacing w:line="400" w:lineRule="exact"/>
              <w:ind w:right="420"/>
              <w:rPr>
                <w:rFonts w:hint="eastAsia"/>
                <w:color w:val="000000"/>
                <w:szCs w:val="21"/>
              </w:rPr>
            </w:pPr>
            <w:r>
              <w:rPr>
                <w:rFonts w:hint="eastAsia"/>
                <w:color w:val="000000"/>
                <w:szCs w:val="21"/>
              </w:rPr>
              <w:t>附：上述3、4详见附件清单。</w:t>
            </w:r>
          </w:p>
          <w:p>
            <w:pPr>
              <w:wordWrap w:val="0"/>
              <w:spacing w:line="400" w:lineRule="exact"/>
              <w:ind w:right="420"/>
              <w:rPr>
                <w:rFonts w:hint="eastAsia"/>
                <w:color w:val="000000"/>
                <w:szCs w:val="21"/>
              </w:rPr>
            </w:pPr>
            <w:r>
              <w:rPr>
                <w:rFonts w:hint="eastAsia"/>
                <w:color w:val="000000"/>
                <w:szCs w:val="21"/>
              </w:rPr>
              <w:t xml:space="preserve">                                            承包人（章）             </w:t>
            </w:r>
          </w:p>
          <w:p>
            <w:pPr>
              <w:spacing w:line="400" w:lineRule="exact"/>
              <w:ind w:right="420" w:firstLine="435"/>
              <w:rPr>
                <w:rFonts w:hint="eastAsia"/>
                <w:color w:val="000000"/>
                <w:szCs w:val="21"/>
              </w:rPr>
            </w:pPr>
            <w:r>
              <w:rPr>
                <w:rFonts w:hint="eastAsia"/>
                <w:color w:val="000000"/>
                <w:szCs w:val="21"/>
              </w:rPr>
              <w:t>造价人员</w:t>
            </w:r>
            <w:r>
              <w:rPr>
                <w:rFonts w:hint="eastAsia"/>
                <w:color w:val="000000"/>
                <w:szCs w:val="21"/>
                <w:u w:val="single"/>
              </w:rPr>
              <w:t xml:space="preserve">               </w:t>
            </w:r>
            <w:r>
              <w:rPr>
                <w:rFonts w:hint="eastAsia"/>
                <w:color w:val="000000"/>
                <w:szCs w:val="21"/>
              </w:rPr>
              <w:t>承包人代表</w:t>
            </w:r>
            <w:r>
              <w:rPr>
                <w:rFonts w:hint="eastAsia"/>
                <w:color w:val="000000"/>
                <w:szCs w:val="21"/>
                <w:u w:val="single"/>
              </w:rPr>
              <w:t xml:space="preserve">               </w:t>
            </w:r>
            <w:r>
              <w:rPr>
                <w:rFonts w:hint="eastAsia"/>
                <w:color w:val="000000"/>
                <w:szCs w:val="21"/>
              </w:rPr>
              <w:t>日      期</w:t>
            </w:r>
            <w:r>
              <w:rPr>
                <w:rFonts w:hint="eastAsia"/>
                <w:color w:val="000000"/>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noWrap w:val="0"/>
            <w:vAlign w:val="top"/>
          </w:tcPr>
          <w:p>
            <w:pPr>
              <w:spacing w:line="360" w:lineRule="exact"/>
              <w:rPr>
                <w:rFonts w:hint="eastAsia"/>
                <w:color w:val="000000"/>
                <w:szCs w:val="21"/>
              </w:rPr>
            </w:pPr>
            <w:r>
              <w:rPr>
                <w:rFonts w:hint="eastAsia"/>
                <w:color w:val="000000"/>
                <w:szCs w:val="21"/>
              </w:rPr>
              <w:t>复核意见：</w:t>
            </w:r>
          </w:p>
          <w:p>
            <w:pPr>
              <w:spacing w:line="360" w:lineRule="exact"/>
              <w:ind w:firstLine="312"/>
              <w:rPr>
                <w:rFonts w:hint="eastAsia"/>
                <w:color w:val="000000"/>
                <w:szCs w:val="21"/>
              </w:rPr>
            </w:pPr>
            <w:r>
              <w:rPr>
                <w:rFonts w:hint="eastAsia"/>
                <w:color w:val="000000"/>
                <w:szCs w:val="21"/>
              </w:rPr>
              <w:t>□与实际施工情况不相符，修改意见见附件。</w:t>
            </w:r>
          </w:p>
          <w:p>
            <w:pPr>
              <w:spacing w:line="360" w:lineRule="exact"/>
              <w:ind w:firstLine="312"/>
              <w:rPr>
                <w:rFonts w:hint="eastAsia"/>
                <w:color w:val="000000"/>
                <w:szCs w:val="21"/>
              </w:rPr>
            </w:pPr>
            <w:r>
              <w:rPr>
                <w:rFonts w:hint="eastAsia"/>
                <w:color w:val="000000"/>
                <w:szCs w:val="21"/>
              </w:rPr>
              <w:t>□与实际施工情况相符，具体金额由造价工程师复核。</w:t>
            </w:r>
          </w:p>
          <w:p>
            <w:pPr>
              <w:spacing w:line="360" w:lineRule="exact"/>
              <w:ind w:firstLine="435"/>
              <w:jc w:val="right"/>
              <w:rPr>
                <w:rFonts w:hint="eastAsia"/>
                <w:color w:val="000000"/>
                <w:szCs w:val="21"/>
              </w:rPr>
            </w:pPr>
          </w:p>
          <w:p>
            <w:pPr>
              <w:spacing w:line="360" w:lineRule="exact"/>
              <w:ind w:firstLine="435"/>
              <w:jc w:val="center"/>
              <w:rPr>
                <w:rFonts w:hint="eastAsia"/>
                <w:color w:val="000000"/>
                <w:szCs w:val="21"/>
                <w:u w:val="single"/>
              </w:rPr>
            </w:pPr>
            <w:r>
              <w:rPr>
                <w:color w:val="000000"/>
                <w:szCs w:val="21"/>
              </w:rPr>
              <w:t xml:space="preserve">    </w:t>
            </w:r>
            <w:r>
              <w:rPr>
                <w:rFonts w:hint="eastAsia"/>
                <w:color w:val="000000"/>
                <w:szCs w:val="21"/>
              </w:rPr>
              <w:t xml:space="preserve">     工程师</w:t>
            </w:r>
            <w:r>
              <w:rPr>
                <w:rFonts w:hint="eastAsia"/>
                <w:color w:val="000000"/>
                <w:szCs w:val="21"/>
                <w:u w:val="single"/>
              </w:rPr>
              <w:t xml:space="preserve">           </w:t>
            </w:r>
          </w:p>
          <w:p>
            <w:pPr>
              <w:spacing w:line="360" w:lineRule="exact"/>
              <w:ind w:firstLine="435"/>
              <w:jc w:val="center"/>
              <w:rPr>
                <w:rFonts w:hint="eastAsia"/>
                <w:color w:val="000000"/>
                <w:szCs w:val="21"/>
                <w:u w:val="single"/>
              </w:rPr>
            </w:pPr>
            <w:r>
              <w:rPr>
                <w:color w:val="000000"/>
                <w:szCs w:val="21"/>
              </w:rPr>
              <w:t xml:space="preserve">    </w:t>
            </w:r>
            <w:r>
              <w:rPr>
                <w:rFonts w:hint="eastAsia"/>
                <w:color w:val="000000"/>
                <w:szCs w:val="21"/>
              </w:rPr>
              <w:t xml:space="preserve">    日      期</w:t>
            </w:r>
            <w:r>
              <w:rPr>
                <w:rFonts w:hint="eastAsia"/>
                <w:color w:val="000000"/>
                <w:szCs w:val="21"/>
                <w:u w:val="single"/>
              </w:rPr>
              <w:t xml:space="preserve">           </w:t>
            </w:r>
          </w:p>
        </w:tc>
        <w:tc>
          <w:tcPr>
            <w:tcW w:w="4552" w:type="dxa"/>
            <w:noWrap w:val="0"/>
            <w:vAlign w:val="top"/>
          </w:tcPr>
          <w:p>
            <w:pPr>
              <w:spacing w:line="360" w:lineRule="exact"/>
              <w:rPr>
                <w:rFonts w:hint="eastAsia"/>
                <w:color w:val="000000"/>
                <w:szCs w:val="21"/>
              </w:rPr>
            </w:pPr>
            <w:r>
              <w:rPr>
                <w:rFonts w:hint="eastAsia"/>
                <w:color w:val="000000"/>
                <w:szCs w:val="21"/>
              </w:rPr>
              <w:t>复核意见：</w:t>
            </w:r>
          </w:p>
          <w:p>
            <w:pPr>
              <w:spacing w:line="360" w:lineRule="exact"/>
              <w:ind w:firstLine="435"/>
              <w:rPr>
                <w:rFonts w:hint="eastAsia"/>
                <w:color w:val="000000"/>
                <w:szCs w:val="21"/>
              </w:rPr>
            </w:pPr>
            <w:r>
              <w:rPr>
                <w:rFonts w:hint="eastAsia"/>
                <w:color w:val="000000"/>
                <w:szCs w:val="21"/>
              </w:rPr>
              <w:t>你方提出的支付申请经复核，本周期已完成工程价款为(大写)</w:t>
            </w:r>
            <w:r>
              <w:rPr>
                <w:rFonts w:hint="eastAsia"/>
                <w:color w:val="000000"/>
                <w:szCs w:val="21"/>
                <w:u w:val="single"/>
              </w:rPr>
              <w:t xml:space="preserve">                </w:t>
            </w:r>
            <w:r>
              <w:rPr>
                <w:rFonts w:hint="eastAsia"/>
                <w:color w:val="000000"/>
                <w:szCs w:val="21"/>
              </w:rPr>
              <w:t>元，（小写）</w:t>
            </w:r>
          </w:p>
          <w:p>
            <w:pPr>
              <w:spacing w:line="360" w:lineRule="exact"/>
              <w:rPr>
                <w:rFonts w:hint="eastAsia"/>
                <w:color w:val="000000"/>
                <w:szCs w:val="21"/>
              </w:rPr>
            </w:pPr>
            <w:r>
              <w:rPr>
                <w:rFonts w:hint="eastAsia"/>
                <w:color w:val="000000"/>
                <w:szCs w:val="21"/>
                <w:u w:val="single"/>
              </w:rPr>
              <w:t xml:space="preserve">          </w:t>
            </w:r>
            <w:r>
              <w:rPr>
                <w:rFonts w:hint="eastAsia"/>
                <w:color w:val="000000"/>
                <w:szCs w:val="21"/>
              </w:rPr>
              <w:t xml:space="preserve"> 元，本期间应支付金额为（大写）</w:t>
            </w:r>
          </w:p>
          <w:p>
            <w:pPr>
              <w:spacing w:line="360" w:lineRule="exact"/>
              <w:rPr>
                <w:rFonts w:hint="eastAsia"/>
                <w:color w:val="000000"/>
                <w:szCs w:val="21"/>
                <w:u w:val="single"/>
              </w:rPr>
            </w:pPr>
            <w:r>
              <w:rPr>
                <w:rFonts w:hint="eastAsia"/>
                <w:color w:val="000000"/>
                <w:szCs w:val="21"/>
                <w:u w:val="single"/>
              </w:rPr>
              <w:t xml:space="preserve">                 </w:t>
            </w:r>
            <w:r>
              <w:rPr>
                <w:rFonts w:hint="eastAsia"/>
                <w:color w:val="000000"/>
                <w:szCs w:val="21"/>
              </w:rPr>
              <w:t>元，（小写）</w:t>
            </w:r>
            <w:r>
              <w:rPr>
                <w:rFonts w:hint="eastAsia"/>
                <w:color w:val="000000"/>
                <w:szCs w:val="21"/>
                <w:u w:val="single"/>
              </w:rPr>
              <w:t xml:space="preserve">         </w:t>
            </w:r>
            <w:r>
              <w:rPr>
                <w:rFonts w:hint="eastAsia"/>
                <w:color w:val="000000"/>
                <w:szCs w:val="21"/>
              </w:rPr>
              <w:t>元。</w:t>
            </w:r>
          </w:p>
          <w:p>
            <w:pPr>
              <w:spacing w:line="360" w:lineRule="exact"/>
              <w:ind w:firstLine="435"/>
              <w:jc w:val="center"/>
              <w:rPr>
                <w:rFonts w:hint="eastAsia"/>
                <w:color w:val="000000"/>
                <w:szCs w:val="21"/>
                <w:u w:val="single"/>
              </w:rPr>
            </w:pPr>
            <w:r>
              <w:rPr>
                <w:color w:val="000000"/>
                <w:szCs w:val="21"/>
              </w:rPr>
              <w:t xml:space="preserve">    </w:t>
            </w:r>
            <w:r>
              <w:rPr>
                <w:rFonts w:hint="eastAsia"/>
                <w:color w:val="000000"/>
                <w:szCs w:val="21"/>
              </w:rPr>
              <w:t xml:space="preserve">    造价工程师</w:t>
            </w:r>
            <w:r>
              <w:rPr>
                <w:rFonts w:hint="eastAsia"/>
                <w:color w:val="000000"/>
                <w:szCs w:val="21"/>
                <w:u w:val="single"/>
              </w:rPr>
              <w:t xml:space="preserve">           </w:t>
            </w:r>
          </w:p>
          <w:p>
            <w:pPr>
              <w:spacing w:line="360" w:lineRule="exact"/>
              <w:ind w:firstLine="435"/>
              <w:jc w:val="center"/>
              <w:rPr>
                <w:rFonts w:hint="eastAsia"/>
                <w:color w:val="000000"/>
                <w:szCs w:val="21"/>
                <w:u w:val="single"/>
              </w:rPr>
            </w:pPr>
            <w:r>
              <w:rPr>
                <w:color w:val="000000"/>
                <w:szCs w:val="21"/>
              </w:rPr>
              <w:t xml:space="preserve">    </w:t>
            </w:r>
            <w:r>
              <w:rPr>
                <w:rFonts w:hint="eastAsia"/>
                <w:color w:val="000000"/>
                <w:szCs w:val="21"/>
              </w:rPr>
              <w:t>日      期</w:t>
            </w:r>
            <w:r>
              <w:rPr>
                <w:rFonts w:hint="eastAsia"/>
                <w:color w:val="000000"/>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pPr>
              <w:spacing w:line="400" w:lineRule="exact"/>
              <w:rPr>
                <w:rFonts w:hint="eastAsia"/>
                <w:color w:val="000000"/>
                <w:szCs w:val="21"/>
              </w:rPr>
            </w:pPr>
            <w:r>
              <w:rPr>
                <w:rFonts w:hint="eastAsia"/>
                <w:color w:val="000000"/>
                <w:szCs w:val="21"/>
              </w:rPr>
              <w:t>审核意见：</w:t>
            </w:r>
          </w:p>
          <w:p>
            <w:pPr>
              <w:spacing w:line="400" w:lineRule="exact"/>
              <w:ind w:firstLine="435"/>
              <w:rPr>
                <w:rFonts w:hint="eastAsia"/>
                <w:color w:val="000000"/>
                <w:szCs w:val="21"/>
              </w:rPr>
            </w:pPr>
            <w:r>
              <w:rPr>
                <w:rFonts w:hint="eastAsia"/>
                <w:color w:val="000000"/>
                <w:szCs w:val="21"/>
              </w:rPr>
              <w:t>□不同意。</w:t>
            </w:r>
          </w:p>
          <w:p>
            <w:pPr>
              <w:spacing w:line="400" w:lineRule="exact"/>
              <w:ind w:firstLine="420" w:firstLineChars="200"/>
              <w:rPr>
                <w:rFonts w:hint="eastAsia"/>
                <w:color w:val="000000"/>
                <w:szCs w:val="21"/>
              </w:rPr>
            </w:pPr>
            <w:r>
              <w:rPr>
                <w:rFonts w:hint="eastAsia"/>
                <w:color w:val="000000"/>
                <w:szCs w:val="21"/>
              </w:rPr>
              <w:t>□同意，支付时间为本表签发后的15天内。</w:t>
            </w:r>
          </w:p>
          <w:p>
            <w:pPr>
              <w:wordWrap w:val="0"/>
              <w:spacing w:line="400" w:lineRule="exact"/>
              <w:ind w:firstLine="420" w:firstLineChars="200"/>
              <w:jc w:val="right"/>
              <w:rPr>
                <w:rFonts w:hint="eastAsia"/>
                <w:color w:val="000000"/>
                <w:szCs w:val="21"/>
              </w:rPr>
            </w:pPr>
            <w:r>
              <w:rPr>
                <w:rFonts w:hint="eastAsia"/>
                <w:color w:val="000000"/>
                <w:szCs w:val="21"/>
              </w:rPr>
              <w:t xml:space="preserve">发包人（章）           </w:t>
            </w:r>
          </w:p>
          <w:p>
            <w:pPr>
              <w:wordWrap w:val="0"/>
              <w:spacing w:line="400" w:lineRule="exact"/>
              <w:ind w:firstLine="420" w:firstLineChars="200"/>
              <w:jc w:val="right"/>
              <w:rPr>
                <w:rFonts w:hint="eastAsia"/>
                <w:color w:val="000000"/>
                <w:szCs w:val="21"/>
                <w:u w:val="single"/>
              </w:rPr>
            </w:pPr>
            <w:r>
              <w:rPr>
                <w:rFonts w:hint="eastAsia"/>
                <w:color w:val="000000"/>
                <w:szCs w:val="21"/>
              </w:rPr>
              <w:t>发包人代表</w:t>
            </w:r>
            <w:r>
              <w:rPr>
                <w:rFonts w:hint="eastAsia"/>
                <w:color w:val="000000"/>
                <w:szCs w:val="21"/>
                <w:u w:val="single"/>
              </w:rPr>
              <w:t xml:space="preserve">             </w:t>
            </w:r>
          </w:p>
          <w:p>
            <w:pPr>
              <w:wordWrap w:val="0"/>
              <w:spacing w:line="400" w:lineRule="exact"/>
              <w:ind w:firstLine="420" w:firstLineChars="200"/>
              <w:jc w:val="right"/>
              <w:rPr>
                <w:rFonts w:hint="eastAsia"/>
                <w:color w:val="000000"/>
                <w:szCs w:val="21"/>
                <w:u w:val="single"/>
              </w:rPr>
            </w:pPr>
            <w:r>
              <w:rPr>
                <w:rFonts w:hint="eastAsia"/>
                <w:color w:val="000000"/>
                <w:szCs w:val="21"/>
              </w:rPr>
              <w:t>日      期</w:t>
            </w:r>
            <w:r>
              <w:rPr>
                <w:rFonts w:hint="eastAsia"/>
                <w:color w:val="000000"/>
                <w:szCs w:val="21"/>
                <w:u w:val="single"/>
              </w:rPr>
              <w:t xml:space="preserve">             </w:t>
            </w:r>
          </w:p>
        </w:tc>
      </w:tr>
    </w:tbl>
    <w:p>
      <w:pPr>
        <w:spacing w:before="120" w:beforeLines="50"/>
        <w:ind w:firstLine="360" w:firstLineChars="200"/>
        <w:rPr>
          <w:rFonts w:hint="eastAsia"/>
          <w:color w:val="000000"/>
          <w:sz w:val="18"/>
          <w:szCs w:val="18"/>
        </w:rPr>
      </w:pPr>
      <w:r>
        <w:rPr>
          <w:rFonts w:hint="eastAsia"/>
          <w:color w:val="000000"/>
          <w:sz w:val="18"/>
          <w:szCs w:val="18"/>
        </w:rPr>
        <w:t xml:space="preserve">注：1.在选择栏中的“□”内作标识“√”。 </w:t>
      </w:r>
    </w:p>
    <w:p>
      <w:pPr>
        <w:numPr>
          <w:ilvl w:val="0"/>
          <w:numId w:val="5"/>
        </w:numPr>
        <w:spacing w:before="120" w:beforeLines="50"/>
        <w:rPr>
          <w:rFonts w:hint="eastAsia"/>
          <w:color w:val="000000"/>
          <w:sz w:val="18"/>
          <w:szCs w:val="18"/>
        </w:rPr>
      </w:pPr>
      <w:r>
        <w:rPr>
          <w:rFonts w:hint="eastAsia"/>
          <w:color w:val="000000"/>
          <w:sz w:val="18"/>
          <w:szCs w:val="18"/>
        </w:rPr>
        <w:t>本表一式四份，由承包人填报，发包人、监理人、造价咨询人、承包人各存一份。</w:t>
      </w:r>
    </w:p>
    <w:p>
      <w:pPr>
        <w:spacing w:before="120" w:beforeLines="50"/>
        <w:ind w:left="720"/>
        <w:rPr>
          <w:rFonts w:hint="eastAsia"/>
          <w:color w:val="000000"/>
          <w:sz w:val="18"/>
          <w:szCs w:val="18"/>
        </w:rPr>
      </w:pPr>
    </w:p>
    <w:p>
      <w:pPr>
        <w:jc w:val="left"/>
        <w:rPr>
          <w:rFonts w:hint="eastAsia"/>
          <w:color w:val="000000"/>
          <w:sz w:val="30"/>
          <w:szCs w:val="30"/>
        </w:rPr>
      </w:pPr>
    </w:p>
    <w:p>
      <w:pPr>
        <w:jc w:val="left"/>
        <w:rPr>
          <w:color w:val="000000"/>
          <w:sz w:val="30"/>
          <w:szCs w:val="30"/>
        </w:rPr>
      </w:pPr>
      <w:r>
        <w:rPr>
          <w:rFonts w:hint="eastAsia"/>
          <w:color w:val="000000"/>
          <w:sz w:val="30"/>
          <w:szCs w:val="30"/>
        </w:rPr>
        <w:t>附件11</w:t>
      </w:r>
    </w:p>
    <w:p>
      <w:pPr>
        <w:jc w:val="center"/>
        <w:rPr>
          <w:rFonts w:hint="eastAsia"/>
          <w:b/>
          <w:color w:val="000000"/>
          <w:sz w:val="36"/>
          <w:szCs w:val="36"/>
        </w:rPr>
      </w:pPr>
      <w:r>
        <w:rPr>
          <w:rFonts w:hint="eastAsia"/>
          <w:b/>
          <w:color w:val="000000"/>
          <w:sz w:val="36"/>
          <w:szCs w:val="36"/>
        </w:rPr>
        <w:t>竣工结算款支付申请（核准）表</w:t>
      </w:r>
    </w:p>
    <w:p>
      <w:pPr>
        <w:rPr>
          <w:rFonts w:hint="eastAsia"/>
          <w:color w:val="000000"/>
          <w:sz w:val="24"/>
        </w:rPr>
      </w:pPr>
      <w:r>
        <w:rPr>
          <w:rFonts w:hint="eastAsia"/>
          <w:color w:val="000000"/>
          <w:sz w:val="24"/>
        </w:rPr>
        <w:t>工程名称：                                              编号：</w:t>
      </w:r>
    </w:p>
    <w:tbl>
      <w:tblPr>
        <w:tblStyle w:val="8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6"/>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0" w:hRule="atLeast"/>
          <w:jc w:val="center"/>
        </w:trPr>
        <w:tc>
          <w:tcPr>
            <w:tcW w:w="9240" w:type="dxa"/>
            <w:gridSpan w:val="2"/>
            <w:noWrap w:val="0"/>
            <w:vAlign w:val="top"/>
          </w:tcPr>
          <w:p>
            <w:pPr>
              <w:spacing w:line="480" w:lineRule="exact"/>
              <w:ind w:left="525" w:leftChars="149" w:hanging="212" w:hangingChars="101"/>
              <w:rPr>
                <w:rFonts w:hint="eastAsia"/>
                <w:color w:val="000000"/>
                <w:u w:val="single"/>
              </w:rPr>
            </w:pPr>
            <w:r>
              <w:rPr>
                <w:rFonts w:hint="eastAsia"/>
                <w:color w:val="000000"/>
              </w:rPr>
              <w:t>致：</w:t>
            </w:r>
            <w:r>
              <w:rPr>
                <w:rFonts w:hint="eastAsia"/>
                <w:color w:val="000000"/>
                <w:u w:val="single"/>
              </w:rPr>
              <w:t xml:space="preserve">                                   （发包人全称）</w:t>
            </w:r>
          </w:p>
          <w:p>
            <w:pPr>
              <w:spacing w:line="400" w:lineRule="exact"/>
              <w:ind w:left="-4" w:leftChars="-2" w:firstLine="315" w:firstLineChars="150"/>
              <w:rPr>
                <w:rFonts w:hint="eastAsia"/>
                <w:color w:val="000000"/>
              </w:rPr>
            </w:pPr>
            <w:r>
              <w:rPr>
                <w:rFonts w:hint="eastAsia"/>
                <w:color w:val="000000"/>
              </w:rPr>
              <w:t>我方于</w:t>
            </w:r>
            <w:r>
              <w:rPr>
                <w:rFonts w:hint="eastAsia"/>
                <w:color w:val="000000"/>
                <w:u w:val="single"/>
              </w:rPr>
              <w:t xml:space="preserve">         </w:t>
            </w:r>
            <w:r>
              <w:rPr>
                <w:rFonts w:hint="eastAsia"/>
                <w:color w:val="000000"/>
              </w:rPr>
              <w:t>至</w:t>
            </w:r>
            <w:r>
              <w:rPr>
                <w:rFonts w:hint="eastAsia"/>
                <w:color w:val="000000"/>
                <w:u w:val="single"/>
              </w:rPr>
              <w:t xml:space="preserve">          </w:t>
            </w:r>
            <w:r>
              <w:rPr>
                <w:rFonts w:hint="eastAsia"/>
                <w:color w:val="000000"/>
              </w:rPr>
              <w:t>期间已完成了合同约定的工作，根据施工合同的约定，现申请支付竣工结算的工程款额为(大写)</w:t>
            </w:r>
            <w:r>
              <w:rPr>
                <w:rFonts w:hint="eastAsia"/>
                <w:color w:val="000000"/>
                <w:u w:val="single"/>
              </w:rPr>
              <w:t xml:space="preserve">            </w:t>
            </w:r>
            <w:r>
              <w:rPr>
                <w:rFonts w:hint="eastAsia"/>
                <w:color w:val="000000"/>
              </w:rPr>
              <w:t>元，(小写)</w:t>
            </w:r>
            <w:r>
              <w:rPr>
                <w:rFonts w:hint="eastAsia"/>
                <w:color w:val="000000"/>
                <w:u w:val="single"/>
              </w:rPr>
              <w:t xml:space="preserve">         </w:t>
            </w:r>
            <w:r>
              <w:rPr>
                <w:rFonts w:hint="eastAsia"/>
                <w:color w:val="000000"/>
              </w:rPr>
              <w:t>元，请予核准。</w:t>
            </w:r>
          </w:p>
          <w:tbl>
            <w:tblPr>
              <w:tblStyle w:val="83"/>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420"/>
              <w:gridCol w:w="1620"/>
              <w:gridCol w:w="1620"/>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pPr>
                    <w:spacing w:line="280" w:lineRule="exact"/>
                    <w:jc w:val="center"/>
                    <w:rPr>
                      <w:rFonts w:hint="eastAsia"/>
                      <w:color w:val="000000"/>
                    </w:rPr>
                  </w:pPr>
                  <w:r>
                    <w:rPr>
                      <w:rFonts w:hint="eastAsia"/>
                      <w:color w:val="000000"/>
                    </w:rPr>
                    <w:t>序号</w:t>
                  </w:r>
                </w:p>
              </w:tc>
              <w:tc>
                <w:tcPr>
                  <w:tcW w:w="3420" w:type="dxa"/>
                  <w:noWrap w:val="0"/>
                  <w:vAlign w:val="center"/>
                </w:tcPr>
                <w:p>
                  <w:pPr>
                    <w:spacing w:line="280" w:lineRule="exact"/>
                    <w:jc w:val="center"/>
                    <w:rPr>
                      <w:rFonts w:hint="eastAsia"/>
                      <w:color w:val="000000"/>
                    </w:rPr>
                  </w:pPr>
                  <w:r>
                    <w:rPr>
                      <w:rFonts w:hint="eastAsia"/>
                      <w:color w:val="000000"/>
                    </w:rPr>
                    <w:t>名      称</w:t>
                  </w:r>
                </w:p>
              </w:tc>
              <w:tc>
                <w:tcPr>
                  <w:tcW w:w="1620" w:type="dxa"/>
                  <w:noWrap w:val="0"/>
                  <w:vAlign w:val="center"/>
                </w:tcPr>
                <w:p>
                  <w:pPr>
                    <w:spacing w:line="280" w:lineRule="exact"/>
                    <w:jc w:val="center"/>
                    <w:rPr>
                      <w:rFonts w:hint="eastAsia"/>
                      <w:color w:val="000000"/>
                    </w:rPr>
                  </w:pPr>
                  <w:r>
                    <w:rPr>
                      <w:rFonts w:hint="eastAsia"/>
                      <w:color w:val="000000"/>
                    </w:rPr>
                    <w:t>申请金额（元）</w:t>
                  </w:r>
                </w:p>
              </w:tc>
              <w:tc>
                <w:tcPr>
                  <w:tcW w:w="1620" w:type="dxa"/>
                  <w:noWrap w:val="0"/>
                  <w:vAlign w:val="center"/>
                </w:tcPr>
                <w:p>
                  <w:pPr>
                    <w:spacing w:line="280" w:lineRule="exact"/>
                    <w:jc w:val="center"/>
                    <w:rPr>
                      <w:rFonts w:hint="eastAsia"/>
                      <w:color w:val="000000"/>
                    </w:rPr>
                  </w:pPr>
                  <w:r>
                    <w:rPr>
                      <w:rFonts w:hint="eastAsia"/>
                      <w:color w:val="000000"/>
                    </w:rPr>
                    <w:t>复核金额（元）</w:t>
                  </w:r>
                </w:p>
              </w:tc>
              <w:tc>
                <w:tcPr>
                  <w:tcW w:w="1651" w:type="dxa"/>
                  <w:noWrap w:val="0"/>
                  <w:vAlign w:val="center"/>
                </w:tcPr>
                <w:p>
                  <w:pPr>
                    <w:spacing w:line="280" w:lineRule="exact"/>
                    <w:jc w:val="center"/>
                    <w:rPr>
                      <w:rFonts w:hint="eastAsia"/>
                      <w:color w:val="000000"/>
                    </w:rPr>
                  </w:pPr>
                  <w:r>
                    <w:rPr>
                      <w:rFonts w:hint="eastAsia"/>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pPr>
                    <w:spacing w:line="280" w:lineRule="exact"/>
                    <w:jc w:val="center"/>
                    <w:rPr>
                      <w:rFonts w:hint="eastAsia"/>
                      <w:color w:val="000000"/>
                    </w:rPr>
                  </w:pPr>
                  <w:r>
                    <w:rPr>
                      <w:rFonts w:hint="eastAsia"/>
                      <w:color w:val="000000"/>
                    </w:rPr>
                    <w:t>1</w:t>
                  </w:r>
                </w:p>
              </w:tc>
              <w:tc>
                <w:tcPr>
                  <w:tcW w:w="3420" w:type="dxa"/>
                  <w:noWrap w:val="0"/>
                  <w:vAlign w:val="top"/>
                </w:tcPr>
                <w:p>
                  <w:pPr>
                    <w:spacing w:line="280" w:lineRule="exact"/>
                    <w:rPr>
                      <w:rFonts w:hint="eastAsia"/>
                      <w:color w:val="000000"/>
                    </w:rPr>
                  </w:pPr>
                  <w:r>
                    <w:rPr>
                      <w:rFonts w:hint="eastAsia"/>
                      <w:color w:val="000000"/>
                    </w:rPr>
                    <w:t>竣工结算合同价款总额</w:t>
                  </w:r>
                </w:p>
              </w:tc>
              <w:tc>
                <w:tcPr>
                  <w:tcW w:w="16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51" w:type="dxa"/>
                  <w:noWrap w:val="0"/>
                  <w:vAlign w:val="top"/>
                </w:tcPr>
                <w:p>
                  <w:pPr>
                    <w:spacing w:line="28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pPr>
                    <w:spacing w:line="280" w:lineRule="exact"/>
                    <w:jc w:val="center"/>
                    <w:rPr>
                      <w:rFonts w:hint="eastAsia"/>
                      <w:color w:val="000000"/>
                    </w:rPr>
                  </w:pPr>
                  <w:r>
                    <w:rPr>
                      <w:rFonts w:hint="eastAsia"/>
                      <w:color w:val="000000"/>
                    </w:rPr>
                    <w:t>2</w:t>
                  </w:r>
                </w:p>
              </w:tc>
              <w:tc>
                <w:tcPr>
                  <w:tcW w:w="3420" w:type="dxa"/>
                  <w:noWrap w:val="0"/>
                  <w:vAlign w:val="top"/>
                </w:tcPr>
                <w:p>
                  <w:pPr>
                    <w:spacing w:line="280" w:lineRule="exact"/>
                    <w:rPr>
                      <w:rFonts w:hint="eastAsia"/>
                      <w:color w:val="000000"/>
                    </w:rPr>
                  </w:pPr>
                  <w:r>
                    <w:rPr>
                      <w:rFonts w:hint="eastAsia"/>
                      <w:color w:val="000000"/>
                    </w:rPr>
                    <w:t>累计已实际支付的合同价款</w:t>
                  </w:r>
                </w:p>
              </w:tc>
              <w:tc>
                <w:tcPr>
                  <w:tcW w:w="16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51" w:type="dxa"/>
                  <w:noWrap w:val="0"/>
                  <w:vAlign w:val="top"/>
                </w:tcPr>
                <w:p>
                  <w:pPr>
                    <w:spacing w:line="28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pPr>
                    <w:spacing w:line="280" w:lineRule="exact"/>
                    <w:jc w:val="center"/>
                    <w:rPr>
                      <w:rFonts w:hint="eastAsia"/>
                      <w:color w:val="000000"/>
                    </w:rPr>
                  </w:pPr>
                  <w:r>
                    <w:rPr>
                      <w:rFonts w:hint="eastAsia"/>
                      <w:color w:val="000000"/>
                    </w:rPr>
                    <w:t>3</w:t>
                  </w:r>
                </w:p>
              </w:tc>
              <w:tc>
                <w:tcPr>
                  <w:tcW w:w="3420" w:type="dxa"/>
                  <w:noWrap w:val="0"/>
                  <w:vAlign w:val="top"/>
                </w:tcPr>
                <w:p>
                  <w:pPr>
                    <w:spacing w:line="280" w:lineRule="exact"/>
                    <w:rPr>
                      <w:rFonts w:hint="eastAsia"/>
                      <w:color w:val="000000"/>
                    </w:rPr>
                  </w:pPr>
                  <w:r>
                    <w:rPr>
                      <w:rFonts w:hint="eastAsia"/>
                      <w:color w:val="000000"/>
                    </w:rPr>
                    <w:t>应预留的质量保证金</w:t>
                  </w:r>
                </w:p>
              </w:tc>
              <w:tc>
                <w:tcPr>
                  <w:tcW w:w="16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51" w:type="dxa"/>
                  <w:noWrap w:val="0"/>
                  <w:vAlign w:val="top"/>
                </w:tcPr>
                <w:p>
                  <w:pPr>
                    <w:spacing w:line="28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pPr>
                    <w:spacing w:line="280" w:lineRule="exact"/>
                    <w:jc w:val="center"/>
                    <w:rPr>
                      <w:rFonts w:hint="eastAsia"/>
                      <w:color w:val="000000"/>
                    </w:rPr>
                  </w:pPr>
                  <w:r>
                    <w:rPr>
                      <w:rFonts w:hint="eastAsia"/>
                      <w:color w:val="000000"/>
                    </w:rPr>
                    <w:t>4</w:t>
                  </w:r>
                </w:p>
              </w:tc>
              <w:tc>
                <w:tcPr>
                  <w:tcW w:w="3420" w:type="dxa"/>
                  <w:noWrap w:val="0"/>
                  <w:vAlign w:val="top"/>
                </w:tcPr>
                <w:p>
                  <w:pPr>
                    <w:spacing w:line="280" w:lineRule="exact"/>
                    <w:rPr>
                      <w:rFonts w:hint="eastAsia"/>
                      <w:color w:val="000000"/>
                    </w:rPr>
                  </w:pPr>
                  <w:r>
                    <w:rPr>
                      <w:rFonts w:hint="eastAsia"/>
                      <w:color w:val="000000"/>
                    </w:rPr>
                    <w:t>应支付的竣工结算款金额</w:t>
                  </w:r>
                </w:p>
              </w:tc>
              <w:tc>
                <w:tcPr>
                  <w:tcW w:w="16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51" w:type="dxa"/>
                  <w:noWrap w:val="0"/>
                  <w:vAlign w:val="top"/>
                </w:tcPr>
                <w:p>
                  <w:pPr>
                    <w:spacing w:line="28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pPr>
                    <w:spacing w:line="280" w:lineRule="exact"/>
                    <w:jc w:val="center"/>
                    <w:rPr>
                      <w:rFonts w:hint="eastAsia"/>
                      <w:color w:val="000000"/>
                    </w:rPr>
                  </w:pPr>
                </w:p>
              </w:tc>
              <w:tc>
                <w:tcPr>
                  <w:tcW w:w="34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51" w:type="dxa"/>
                  <w:noWrap w:val="0"/>
                  <w:vAlign w:val="top"/>
                </w:tcPr>
                <w:p>
                  <w:pPr>
                    <w:spacing w:line="28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pPr>
                    <w:spacing w:line="280" w:lineRule="exact"/>
                    <w:jc w:val="center"/>
                    <w:rPr>
                      <w:rFonts w:hint="eastAsia"/>
                      <w:color w:val="000000"/>
                    </w:rPr>
                  </w:pPr>
                </w:p>
              </w:tc>
              <w:tc>
                <w:tcPr>
                  <w:tcW w:w="34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51" w:type="dxa"/>
                  <w:noWrap w:val="0"/>
                  <w:vAlign w:val="top"/>
                </w:tcPr>
                <w:p>
                  <w:pPr>
                    <w:spacing w:line="28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pPr>
                    <w:spacing w:line="280" w:lineRule="exact"/>
                    <w:jc w:val="center"/>
                    <w:rPr>
                      <w:rFonts w:hint="eastAsia"/>
                      <w:color w:val="000000"/>
                    </w:rPr>
                  </w:pPr>
                </w:p>
              </w:tc>
              <w:tc>
                <w:tcPr>
                  <w:tcW w:w="34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51" w:type="dxa"/>
                  <w:noWrap w:val="0"/>
                  <w:vAlign w:val="top"/>
                </w:tcPr>
                <w:p>
                  <w:pPr>
                    <w:spacing w:line="28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pPr>
                    <w:spacing w:line="280" w:lineRule="exact"/>
                    <w:jc w:val="center"/>
                    <w:rPr>
                      <w:rFonts w:hint="eastAsia"/>
                      <w:color w:val="000000"/>
                    </w:rPr>
                  </w:pPr>
                </w:p>
              </w:tc>
              <w:tc>
                <w:tcPr>
                  <w:tcW w:w="34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51" w:type="dxa"/>
                  <w:noWrap w:val="0"/>
                  <w:vAlign w:val="top"/>
                </w:tcPr>
                <w:p>
                  <w:pPr>
                    <w:spacing w:line="28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pPr>
                    <w:spacing w:line="280" w:lineRule="exact"/>
                    <w:jc w:val="center"/>
                    <w:rPr>
                      <w:rFonts w:hint="eastAsia"/>
                      <w:color w:val="000000"/>
                    </w:rPr>
                  </w:pPr>
                </w:p>
              </w:tc>
              <w:tc>
                <w:tcPr>
                  <w:tcW w:w="34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51" w:type="dxa"/>
                  <w:noWrap w:val="0"/>
                  <w:vAlign w:val="top"/>
                </w:tcPr>
                <w:p>
                  <w:pPr>
                    <w:spacing w:line="280" w:lineRule="exact"/>
                    <w:rPr>
                      <w:rFonts w:hint="eastAsia"/>
                      <w:color w:val="000000"/>
                    </w:rPr>
                  </w:pPr>
                </w:p>
              </w:tc>
            </w:tr>
          </w:tbl>
          <w:p>
            <w:pPr>
              <w:spacing w:line="400" w:lineRule="exact"/>
              <w:ind w:right="420" w:firstLine="435"/>
              <w:jc w:val="center"/>
              <w:rPr>
                <w:rFonts w:hint="eastAsia"/>
                <w:color w:val="000000"/>
              </w:rPr>
            </w:pPr>
          </w:p>
          <w:p>
            <w:pPr>
              <w:spacing w:line="400" w:lineRule="exact"/>
              <w:ind w:right="420" w:firstLine="435"/>
              <w:jc w:val="center"/>
              <w:rPr>
                <w:rFonts w:hint="eastAsia"/>
                <w:color w:val="000000"/>
              </w:rPr>
            </w:pPr>
            <w:r>
              <w:rPr>
                <w:rFonts w:hint="eastAsia"/>
                <w:color w:val="000000"/>
              </w:rPr>
              <w:t xml:space="preserve">                                            承包人（章）             </w:t>
            </w:r>
          </w:p>
          <w:p>
            <w:pPr>
              <w:spacing w:line="400" w:lineRule="exact"/>
              <w:ind w:right="420" w:firstLine="435"/>
              <w:rPr>
                <w:rFonts w:hint="eastAsia"/>
                <w:color w:val="000000"/>
              </w:rPr>
            </w:pPr>
            <w:r>
              <w:rPr>
                <w:rFonts w:hint="eastAsia"/>
                <w:color w:val="000000"/>
              </w:rPr>
              <w:t>造价人员</w:t>
            </w:r>
            <w:r>
              <w:rPr>
                <w:rFonts w:hint="eastAsia"/>
                <w:color w:val="000000"/>
                <w:u w:val="single"/>
              </w:rPr>
              <w:t xml:space="preserve">               </w:t>
            </w:r>
            <w:r>
              <w:rPr>
                <w:rFonts w:hint="eastAsia"/>
                <w:color w:val="000000"/>
              </w:rPr>
              <w:t>承包人代表</w:t>
            </w:r>
            <w:r>
              <w:rPr>
                <w:rFonts w:hint="eastAsia"/>
                <w:color w:val="000000"/>
                <w:u w:val="single"/>
              </w:rPr>
              <w:t xml:space="preserve">               </w:t>
            </w:r>
            <w:r>
              <w:rPr>
                <w:rFonts w:hint="eastAsia"/>
                <w:color w:val="000000"/>
              </w:rPr>
              <w:t>日      期</w:t>
            </w:r>
            <w:r>
              <w:rPr>
                <w:rFonts w:hint="eastAsia"/>
                <w:color w:val="00000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620" w:type="dxa"/>
            <w:noWrap w:val="0"/>
            <w:vAlign w:val="top"/>
          </w:tcPr>
          <w:p>
            <w:pPr>
              <w:spacing w:line="360" w:lineRule="exact"/>
              <w:rPr>
                <w:rFonts w:hint="eastAsia"/>
                <w:color w:val="000000"/>
              </w:rPr>
            </w:pPr>
            <w:r>
              <w:rPr>
                <w:rFonts w:hint="eastAsia"/>
                <w:color w:val="000000"/>
              </w:rPr>
              <w:t>复核意见：</w:t>
            </w:r>
          </w:p>
          <w:p>
            <w:pPr>
              <w:spacing w:line="360" w:lineRule="exact"/>
              <w:ind w:firstLine="312"/>
              <w:rPr>
                <w:rFonts w:hint="eastAsia"/>
                <w:color w:val="000000"/>
              </w:rPr>
            </w:pPr>
            <w:r>
              <w:rPr>
                <w:rFonts w:hint="eastAsia"/>
                <w:color w:val="000000"/>
              </w:rPr>
              <w:t>□与实际施工情况不相符，修改意见见附件。</w:t>
            </w:r>
          </w:p>
          <w:p>
            <w:pPr>
              <w:spacing w:line="360" w:lineRule="exact"/>
              <w:ind w:firstLine="312"/>
              <w:rPr>
                <w:rFonts w:hint="eastAsia"/>
                <w:color w:val="000000"/>
              </w:rPr>
            </w:pPr>
            <w:r>
              <w:rPr>
                <w:rFonts w:hint="eastAsia"/>
                <w:color w:val="000000"/>
              </w:rPr>
              <w:t>□与实际施工情况相符，具体金额由造价工程师复核。</w:t>
            </w:r>
          </w:p>
          <w:p>
            <w:pPr>
              <w:spacing w:line="360" w:lineRule="exact"/>
              <w:ind w:firstLine="435"/>
              <w:jc w:val="right"/>
              <w:rPr>
                <w:rFonts w:hint="eastAsia"/>
                <w:color w:val="000000"/>
              </w:rPr>
            </w:pPr>
          </w:p>
          <w:p>
            <w:pPr>
              <w:spacing w:line="360" w:lineRule="exact"/>
              <w:ind w:firstLine="435"/>
              <w:jc w:val="right"/>
              <w:rPr>
                <w:rFonts w:hint="eastAsia"/>
                <w:color w:val="000000"/>
              </w:rPr>
            </w:pPr>
          </w:p>
          <w:p>
            <w:pPr>
              <w:spacing w:line="360" w:lineRule="exact"/>
              <w:ind w:firstLine="435"/>
              <w:jc w:val="center"/>
              <w:rPr>
                <w:rFonts w:hint="eastAsia"/>
                <w:color w:val="000000"/>
              </w:rPr>
            </w:pPr>
            <w:r>
              <w:rPr>
                <w:color w:val="000000"/>
              </w:rPr>
              <w:t xml:space="preserve">    </w:t>
            </w:r>
            <w:r>
              <w:rPr>
                <w:rFonts w:hint="eastAsia"/>
                <w:color w:val="000000"/>
              </w:rPr>
              <w:t xml:space="preserve">     </w:t>
            </w:r>
          </w:p>
          <w:p>
            <w:pPr>
              <w:spacing w:line="360" w:lineRule="exact"/>
              <w:ind w:firstLine="435"/>
              <w:jc w:val="center"/>
              <w:rPr>
                <w:rFonts w:hint="eastAsia"/>
                <w:color w:val="000000"/>
                <w:u w:val="single"/>
              </w:rPr>
            </w:pPr>
            <w:r>
              <w:rPr>
                <w:rFonts w:hint="eastAsia"/>
                <w:color w:val="000000"/>
              </w:rPr>
              <w:t xml:space="preserve">      工程师</w:t>
            </w:r>
            <w:r>
              <w:rPr>
                <w:rFonts w:hint="eastAsia"/>
                <w:color w:val="000000"/>
                <w:u w:val="single"/>
              </w:rPr>
              <w:t xml:space="preserve">           </w:t>
            </w:r>
          </w:p>
          <w:p>
            <w:pPr>
              <w:spacing w:line="360" w:lineRule="exact"/>
              <w:ind w:firstLine="435"/>
              <w:jc w:val="center"/>
              <w:rPr>
                <w:rFonts w:hint="eastAsia"/>
                <w:color w:val="000000"/>
                <w:u w:val="single"/>
              </w:rPr>
            </w:pPr>
            <w:r>
              <w:rPr>
                <w:color w:val="000000"/>
              </w:rPr>
              <w:t xml:space="preserve">    </w:t>
            </w:r>
            <w:r>
              <w:rPr>
                <w:rFonts w:hint="eastAsia"/>
                <w:color w:val="000000"/>
              </w:rPr>
              <w:t xml:space="preserve">  日      期</w:t>
            </w:r>
            <w:r>
              <w:rPr>
                <w:rFonts w:hint="eastAsia"/>
                <w:color w:val="000000"/>
                <w:u w:val="single"/>
              </w:rPr>
              <w:t xml:space="preserve">           </w:t>
            </w:r>
          </w:p>
        </w:tc>
        <w:tc>
          <w:tcPr>
            <w:tcW w:w="4620" w:type="dxa"/>
            <w:noWrap w:val="0"/>
            <w:vAlign w:val="top"/>
          </w:tcPr>
          <w:p>
            <w:pPr>
              <w:spacing w:line="360" w:lineRule="exact"/>
              <w:rPr>
                <w:rFonts w:hint="eastAsia"/>
                <w:color w:val="000000"/>
              </w:rPr>
            </w:pPr>
            <w:r>
              <w:rPr>
                <w:rFonts w:hint="eastAsia"/>
                <w:color w:val="000000"/>
              </w:rPr>
              <w:t>复核意见：</w:t>
            </w:r>
          </w:p>
          <w:p>
            <w:pPr>
              <w:spacing w:line="360" w:lineRule="exact"/>
              <w:ind w:firstLine="435"/>
              <w:rPr>
                <w:rFonts w:hint="eastAsia"/>
                <w:color w:val="000000"/>
                <w:u w:val="single"/>
              </w:rPr>
            </w:pPr>
            <w:r>
              <w:rPr>
                <w:rFonts w:hint="eastAsia"/>
                <w:color w:val="000000"/>
              </w:rPr>
              <w:t>你方提出的竣工结算支付申请经复核，竣工结算款总额为(大写)</w:t>
            </w:r>
            <w:r>
              <w:rPr>
                <w:rFonts w:hint="eastAsia"/>
                <w:color w:val="000000"/>
                <w:u w:val="single"/>
              </w:rPr>
              <w:t xml:space="preserve">                </w:t>
            </w:r>
            <w:r>
              <w:rPr>
                <w:rFonts w:hint="eastAsia"/>
                <w:color w:val="000000"/>
              </w:rPr>
              <w:t>元，（小写）</w:t>
            </w:r>
            <w:r>
              <w:rPr>
                <w:rFonts w:hint="eastAsia"/>
                <w:color w:val="000000"/>
                <w:u w:val="single"/>
              </w:rPr>
              <w:t xml:space="preserve">          </w:t>
            </w:r>
            <w:r>
              <w:rPr>
                <w:rFonts w:hint="eastAsia"/>
                <w:color w:val="000000"/>
              </w:rPr>
              <w:t xml:space="preserve"> 元，扣除前期支付以及质量保证金后应支付金额为（大写）</w:t>
            </w:r>
            <w:r>
              <w:rPr>
                <w:rFonts w:hint="eastAsia"/>
                <w:color w:val="000000"/>
                <w:u w:val="single"/>
              </w:rPr>
              <w:t xml:space="preserve">              </w:t>
            </w:r>
            <w:r>
              <w:rPr>
                <w:rFonts w:hint="eastAsia"/>
                <w:color w:val="000000"/>
              </w:rPr>
              <w:t>元，（小写）</w:t>
            </w:r>
            <w:r>
              <w:rPr>
                <w:rFonts w:hint="eastAsia"/>
                <w:color w:val="000000"/>
                <w:u w:val="single"/>
              </w:rPr>
              <w:t xml:space="preserve">         </w:t>
            </w:r>
            <w:r>
              <w:rPr>
                <w:rFonts w:hint="eastAsia"/>
                <w:color w:val="000000"/>
              </w:rPr>
              <w:t>元。</w:t>
            </w:r>
          </w:p>
          <w:p>
            <w:pPr>
              <w:spacing w:line="360" w:lineRule="exact"/>
              <w:ind w:firstLine="435"/>
              <w:jc w:val="center"/>
              <w:rPr>
                <w:rFonts w:hint="eastAsia"/>
                <w:color w:val="000000"/>
              </w:rPr>
            </w:pPr>
            <w:r>
              <w:rPr>
                <w:color w:val="000000"/>
              </w:rPr>
              <w:t xml:space="preserve">    </w:t>
            </w:r>
          </w:p>
          <w:p>
            <w:pPr>
              <w:spacing w:line="360" w:lineRule="exact"/>
              <w:ind w:firstLine="435"/>
              <w:jc w:val="center"/>
              <w:rPr>
                <w:rFonts w:hint="eastAsia"/>
                <w:color w:val="000000"/>
                <w:u w:val="single"/>
              </w:rPr>
            </w:pPr>
            <w:r>
              <w:rPr>
                <w:rFonts w:hint="eastAsia"/>
                <w:color w:val="000000"/>
              </w:rPr>
              <w:t xml:space="preserve">    造价工程师</w:t>
            </w:r>
            <w:r>
              <w:rPr>
                <w:rFonts w:hint="eastAsia"/>
                <w:color w:val="000000"/>
                <w:u w:val="single"/>
              </w:rPr>
              <w:t xml:space="preserve">           </w:t>
            </w:r>
          </w:p>
          <w:p>
            <w:pPr>
              <w:spacing w:line="360" w:lineRule="exact"/>
              <w:ind w:firstLine="435"/>
              <w:jc w:val="center"/>
              <w:rPr>
                <w:rFonts w:hint="eastAsia"/>
                <w:color w:val="000000"/>
                <w:u w:val="single"/>
              </w:rPr>
            </w:pPr>
            <w:r>
              <w:rPr>
                <w:color w:val="000000"/>
              </w:rPr>
              <w:t xml:space="preserve">    </w:t>
            </w:r>
            <w:r>
              <w:rPr>
                <w:rFonts w:hint="eastAsia"/>
                <w:color w:val="000000"/>
              </w:rPr>
              <w:t>日      期</w:t>
            </w:r>
            <w:r>
              <w:rPr>
                <w:rFonts w:hint="eastAsia"/>
                <w:color w:val="00000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noWrap w:val="0"/>
            <w:vAlign w:val="top"/>
          </w:tcPr>
          <w:p>
            <w:pPr>
              <w:spacing w:line="400" w:lineRule="exact"/>
              <w:rPr>
                <w:rFonts w:hint="eastAsia"/>
                <w:color w:val="000000"/>
              </w:rPr>
            </w:pPr>
            <w:r>
              <w:rPr>
                <w:rFonts w:hint="eastAsia"/>
                <w:color w:val="000000"/>
              </w:rPr>
              <w:t>审核意见：</w:t>
            </w:r>
          </w:p>
          <w:p>
            <w:pPr>
              <w:spacing w:line="400" w:lineRule="exact"/>
              <w:ind w:firstLine="435"/>
              <w:rPr>
                <w:rFonts w:hint="eastAsia"/>
                <w:color w:val="000000"/>
              </w:rPr>
            </w:pPr>
            <w:r>
              <w:rPr>
                <w:rFonts w:hint="eastAsia"/>
                <w:color w:val="000000"/>
              </w:rPr>
              <w:t>□不同意。</w:t>
            </w:r>
          </w:p>
          <w:p>
            <w:pPr>
              <w:spacing w:line="400" w:lineRule="exact"/>
              <w:ind w:firstLine="420" w:firstLineChars="200"/>
              <w:rPr>
                <w:rFonts w:hint="eastAsia"/>
                <w:color w:val="000000"/>
              </w:rPr>
            </w:pPr>
            <w:r>
              <w:rPr>
                <w:rFonts w:hint="eastAsia"/>
                <w:color w:val="000000"/>
              </w:rPr>
              <w:t>□同意，支付时间为本表签发后的15天内。</w:t>
            </w:r>
          </w:p>
          <w:p>
            <w:pPr>
              <w:wordWrap w:val="0"/>
              <w:spacing w:line="400" w:lineRule="exact"/>
              <w:ind w:firstLine="420" w:firstLineChars="200"/>
              <w:jc w:val="right"/>
              <w:rPr>
                <w:rFonts w:hint="eastAsia"/>
                <w:color w:val="000000"/>
              </w:rPr>
            </w:pPr>
            <w:r>
              <w:rPr>
                <w:rFonts w:hint="eastAsia"/>
                <w:color w:val="000000"/>
              </w:rPr>
              <w:t xml:space="preserve">发包人（章）           </w:t>
            </w:r>
          </w:p>
          <w:p>
            <w:pPr>
              <w:wordWrap w:val="0"/>
              <w:spacing w:line="400" w:lineRule="exact"/>
              <w:ind w:firstLine="420" w:firstLineChars="200"/>
              <w:jc w:val="right"/>
              <w:rPr>
                <w:rFonts w:hint="eastAsia"/>
                <w:color w:val="000000"/>
                <w:u w:val="single"/>
              </w:rPr>
            </w:pPr>
            <w:r>
              <w:rPr>
                <w:rFonts w:hint="eastAsia"/>
                <w:color w:val="000000"/>
              </w:rPr>
              <w:t>发包人代表</w:t>
            </w:r>
            <w:r>
              <w:rPr>
                <w:rFonts w:hint="eastAsia"/>
                <w:color w:val="000000"/>
                <w:u w:val="single"/>
              </w:rPr>
              <w:t xml:space="preserve">             </w:t>
            </w:r>
          </w:p>
          <w:p>
            <w:pPr>
              <w:wordWrap w:val="0"/>
              <w:spacing w:line="400" w:lineRule="exact"/>
              <w:ind w:firstLine="420" w:firstLineChars="200"/>
              <w:jc w:val="right"/>
              <w:rPr>
                <w:rFonts w:hint="eastAsia"/>
                <w:color w:val="000000"/>
                <w:u w:val="single"/>
              </w:rPr>
            </w:pPr>
            <w:r>
              <w:rPr>
                <w:rFonts w:hint="eastAsia"/>
                <w:color w:val="000000"/>
              </w:rPr>
              <w:t>日      期</w:t>
            </w:r>
            <w:r>
              <w:rPr>
                <w:rFonts w:hint="eastAsia"/>
                <w:color w:val="000000"/>
                <w:u w:val="single"/>
              </w:rPr>
              <w:t xml:space="preserve">             </w:t>
            </w:r>
          </w:p>
        </w:tc>
      </w:tr>
    </w:tbl>
    <w:p>
      <w:pPr>
        <w:spacing w:before="120" w:beforeLines="50"/>
        <w:ind w:firstLine="360" w:firstLineChars="200"/>
        <w:rPr>
          <w:rFonts w:hint="eastAsia"/>
          <w:color w:val="000000"/>
          <w:sz w:val="18"/>
          <w:szCs w:val="18"/>
        </w:rPr>
      </w:pPr>
      <w:r>
        <w:rPr>
          <w:rFonts w:hint="eastAsia"/>
          <w:color w:val="000000"/>
          <w:sz w:val="18"/>
          <w:szCs w:val="18"/>
        </w:rPr>
        <w:t xml:space="preserve">注：1.在选择栏中的“□”内作标识“√”。 </w:t>
      </w:r>
    </w:p>
    <w:p>
      <w:pPr>
        <w:spacing w:before="120" w:beforeLines="50"/>
        <w:ind w:left="720" w:hanging="720" w:hangingChars="400"/>
        <w:rPr>
          <w:rFonts w:hint="eastAsia"/>
          <w:color w:val="000000"/>
          <w:sz w:val="18"/>
          <w:szCs w:val="18"/>
        </w:rPr>
      </w:pPr>
      <w:r>
        <w:rPr>
          <w:rFonts w:hint="eastAsia"/>
          <w:color w:val="000000"/>
          <w:sz w:val="18"/>
          <w:szCs w:val="18"/>
        </w:rPr>
        <w:t xml:space="preserve">    </w:t>
      </w:r>
      <w:r>
        <w:rPr>
          <w:color w:val="000000"/>
          <w:sz w:val="18"/>
          <w:szCs w:val="18"/>
        </w:rPr>
        <w:t xml:space="preserve">  </w:t>
      </w:r>
      <w:r>
        <w:rPr>
          <w:rFonts w:hint="eastAsia"/>
          <w:color w:val="000000"/>
          <w:sz w:val="18"/>
          <w:szCs w:val="18"/>
        </w:rPr>
        <w:t xml:space="preserve">  2.本表一式四份，由承包人填报，发包人、监理人、造价咨询人、承包人各存一份。</w:t>
      </w:r>
    </w:p>
    <w:p>
      <w:pPr>
        <w:ind w:right="360"/>
        <w:rPr>
          <w:rFonts w:hint="eastAsia"/>
          <w:color w:val="000000"/>
          <w:sz w:val="18"/>
          <w:szCs w:val="18"/>
        </w:rPr>
      </w:pPr>
      <w:r>
        <w:rPr>
          <w:rFonts w:hint="eastAsia"/>
          <w:color w:val="000000"/>
          <w:sz w:val="18"/>
          <w:szCs w:val="18"/>
        </w:rPr>
        <w:t xml:space="preserve">                                                                                            </w:t>
      </w:r>
    </w:p>
    <w:p>
      <w:pPr>
        <w:jc w:val="center"/>
        <w:rPr>
          <w:rFonts w:hint="eastAsia" w:hAnsi="宋体" w:cs="宋体"/>
          <w:color w:val="000000"/>
        </w:rPr>
      </w:pPr>
    </w:p>
    <w:p>
      <w:pPr>
        <w:jc w:val="left"/>
        <w:rPr>
          <w:rFonts w:hint="eastAsia"/>
          <w:b/>
          <w:color w:val="000000"/>
          <w:sz w:val="30"/>
          <w:szCs w:val="30"/>
        </w:rPr>
      </w:pPr>
      <w:r>
        <w:rPr>
          <w:rFonts w:hint="eastAsia" w:hAnsi="宋体" w:cs="宋体"/>
          <w:color w:val="000000"/>
          <w:sz w:val="30"/>
          <w:szCs w:val="30"/>
        </w:rPr>
        <w:t>附件1</w:t>
      </w:r>
      <w:r>
        <w:rPr>
          <w:rFonts w:hint="eastAsia" w:cs="宋体"/>
          <w:color w:val="000000"/>
          <w:sz w:val="30"/>
          <w:szCs w:val="30"/>
        </w:rPr>
        <w:t>2</w:t>
      </w:r>
      <w:r>
        <w:rPr>
          <w:rFonts w:hint="eastAsia" w:hAnsi="宋体" w:cs="宋体"/>
          <w:color w:val="000000"/>
          <w:sz w:val="30"/>
          <w:szCs w:val="30"/>
        </w:rPr>
        <w:t>：</w:t>
      </w:r>
    </w:p>
    <w:p>
      <w:pPr>
        <w:jc w:val="center"/>
        <w:rPr>
          <w:rFonts w:hint="eastAsia"/>
          <w:b/>
          <w:color w:val="000000"/>
          <w:sz w:val="36"/>
          <w:szCs w:val="36"/>
        </w:rPr>
      </w:pPr>
      <w:r>
        <w:rPr>
          <w:rFonts w:hint="eastAsia"/>
          <w:b/>
          <w:color w:val="000000"/>
          <w:sz w:val="36"/>
          <w:szCs w:val="36"/>
        </w:rPr>
        <w:t>最终结算款支付申请（核准）表</w:t>
      </w:r>
    </w:p>
    <w:p>
      <w:pPr>
        <w:rPr>
          <w:rFonts w:hint="eastAsia"/>
          <w:color w:val="000000"/>
          <w:sz w:val="24"/>
        </w:rPr>
      </w:pPr>
      <w:r>
        <w:rPr>
          <w:rFonts w:hint="eastAsia"/>
          <w:color w:val="000000"/>
          <w:sz w:val="24"/>
        </w:rPr>
        <w:t>工程名称：                                             编号：</w:t>
      </w:r>
    </w:p>
    <w:tbl>
      <w:tblPr>
        <w:tblStyle w:val="8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6"/>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9240" w:type="dxa"/>
            <w:gridSpan w:val="2"/>
            <w:noWrap w:val="0"/>
            <w:vAlign w:val="top"/>
          </w:tcPr>
          <w:p>
            <w:pPr>
              <w:spacing w:line="480" w:lineRule="exact"/>
              <w:ind w:left="525" w:leftChars="149" w:hanging="212" w:hangingChars="101"/>
              <w:rPr>
                <w:rFonts w:hint="eastAsia"/>
                <w:color w:val="000000"/>
                <w:u w:val="single"/>
              </w:rPr>
            </w:pPr>
            <w:r>
              <w:rPr>
                <w:rFonts w:hint="eastAsia"/>
                <w:color w:val="000000"/>
              </w:rPr>
              <w:t>致：</w:t>
            </w:r>
            <w:r>
              <w:rPr>
                <w:rFonts w:hint="eastAsia"/>
                <w:color w:val="000000"/>
                <w:u w:val="single"/>
              </w:rPr>
              <w:t xml:space="preserve">                                   （发包人全称）</w:t>
            </w:r>
          </w:p>
          <w:p>
            <w:pPr>
              <w:spacing w:line="400" w:lineRule="exact"/>
              <w:ind w:left="-4" w:leftChars="-2" w:firstLine="315" w:firstLineChars="150"/>
              <w:rPr>
                <w:rFonts w:hint="eastAsia"/>
                <w:color w:val="000000"/>
              </w:rPr>
            </w:pPr>
            <w:r>
              <w:rPr>
                <w:rFonts w:hint="eastAsia"/>
                <w:color w:val="000000"/>
              </w:rPr>
              <w:t>我方于</w:t>
            </w:r>
            <w:r>
              <w:rPr>
                <w:rFonts w:hint="eastAsia"/>
                <w:color w:val="000000"/>
                <w:u w:val="single"/>
              </w:rPr>
              <w:t xml:space="preserve">         </w:t>
            </w:r>
            <w:r>
              <w:rPr>
                <w:rFonts w:hint="eastAsia"/>
                <w:color w:val="000000"/>
              </w:rPr>
              <w:t>至</w:t>
            </w:r>
            <w:r>
              <w:rPr>
                <w:rFonts w:hint="eastAsia"/>
                <w:color w:val="000000"/>
                <w:u w:val="single"/>
              </w:rPr>
              <w:t xml:space="preserve">          </w:t>
            </w:r>
            <w:r>
              <w:rPr>
                <w:rFonts w:hint="eastAsia"/>
                <w:color w:val="000000"/>
              </w:rPr>
              <w:t>期间已完成了缺陷修复工作，根据施工合同的约定，现申请支付最终结清合同款额为(大写)</w:t>
            </w:r>
            <w:r>
              <w:rPr>
                <w:rFonts w:hint="eastAsia"/>
                <w:color w:val="000000"/>
                <w:u w:val="single"/>
              </w:rPr>
              <w:t xml:space="preserve">            </w:t>
            </w:r>
            <w:r>
              <w:rPr>
                <w:rFonts w:hint="eastAsia"/>
                <w:color w:val="000000"/>
              </w:rPr>
              <w:t>元，(小写)</w:t>
            </w:r>
            <w:r>
              <w:rPr>
                <w:rFonts w:hint="eastAsia"/>
                <w:color w:val="000000"/>
                <w:u w:val="single"/>
              </w:rPr>
              <w:t xml:space="preserve">         </w:t>
            </w:r>
            <w:r>
              <w:rPr>
                <w:rFonts w:hint="eastAsia"/>
                <w:color w:val="000000"/>
              </w:rPr>
              <w:t>元，请予核准。</w:t>
            </w:r>
          </w:p>
          <w:tbl>
            <w:tblPr>
              <w:tblStyle w:val="83"/>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420"/>
              <w:gridCol w:w="1620"/>
              <w:gridCol w:w="1620"/>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pPr>
                    <w:spacing w:line="280" w:lineRule="exact"/>
                    <w:jc w:val="center"/>
                    <w:rPr>
                      <w:rFonts w:hint="eastAsia"/>
                      <w:color w:val="000000"/>
                    </w:rPr>
                  </w:pPr>
                  <w:r>
                    <w:rPr>
                      <w:rFonts w:hint="eastAsia"/>
                      <w:color w:val="000000"/>
                    </w:rPr>
                    <w:t>序号</w:t>
                  </w:r>
                </w:p>
              </w:tc>
              <w:tc>
                <w:tcPr>
                  <w:tcW w:w="3420" w:type="dxa"/>
                  <w:noWrap w:val="0"/>
                  <w:vAlign w:val="center"/>
                </w:tcPr>
                <w:p>
                  <w:pPr>
                    <w:spacing w:line="280" w:lineRule="exact"/>
                    <w:jc w:val="center"/>
                    <w:rPr>
                      <w:rFonts w:hint="eastAsia"/>
                      <w:color w:val="000000"/>
                    </w:rPr>
                  </w:pPr>
                  <w:r>
                    <w:rPr>
                      <w:rFonts w:hint="eastAsia"/>
                      <w:color w:val="000000"/>
                    </w:rPr>
                    <w:t>名      称</w:t>
                  </w:r>
                </w:p>
              </w:tc>
              <w:tc>
                <w:tcPr>
                  <w:tcW w:w="1620" w:type="dxa"/>
                  <w:noWrap w:val="0"/>
                  <w:vAlign w:val="center"/>
                </w:tcPr>
                <w:p>
                  <w:pPr>
                    <w:spacing w:line="280" w:lineRule="exact"/>
                    <w:jc w:val="center"/>
                    <w:rPr>
                      <w:rFonts w:hint="eastAsia"/>
                      <w:color w:val="000000"/>
                    </w:rPr>
                  </w:pPr>
                  <w:r>
                    <w:rPr>
                      <w:rFonts w:hint="eastAsia"/>
                      <w:color w:val="000000"/>
                    </w:rPr>
                    <w:t>申请金额（元）</w:t>
                  </w:r>
                </w:p>
              </w:tc>
              <w:tc>
                <w:tcPr>
                  <w:tcW w:w="1620" w:type="dxa"/>
                  <w:noWrap w:val="0"/>
                  <w:vAlign w:val="center"/>
                </w:tcPr>
                <w:p>
                  <w:pPr>
                    <w:spacing w:line="280" w:lineRule="exact"/>
                    <w:jc w:val="center"/>
                    <w:rPr>
                      <w:rFonts w:hint="eastAsia"/>
                      <w:color w:val="000000"/>
                    </w:rPr>
                  </w:pPr>
                  <w:r>
                    <w:rPr>
                      <w:rFonts w:hint="eastAsia"/>
                      <w:color w:val="000000"/>
                    </w:rPr>
                    <w:t>复核金额（元）</w:t>
                  </w:r>
                </w:p>
              </w:tc>
              <w:tc>
                <w:tcPr>
                  <w:tcW w:w="1651" w:type="dxa"/>
                  <w:noWrap w:val="0"/>
                  <w:vAlign w:val="center"/>
                </w:tcPr>
                <w:p>
                  <w:pPr>
                    <w:spacing w:line="280" w:lineRule="exact"/>
                    <w:jc w:val="center"/>
                    <w:rPr>
                      <w:rFonts w:hint="eastAsia"/>
                      <w:color w:val="000000"/>
                    </w:rPr>
                  </w:pPr>
                  <w:r>
                    <w:rPr>
                      <w:rFonts w:hint="eastAsia"/>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pPr>
                    <w:spacing w:line="280" w:lineRule="exact"/>
                    <w:jc w:val="center"/>
                    <w:rPr>
                      <w:rFonts w:hint="eastAsia"/>
                      <w:color w:val="000000"/>
                    </w:rPr>
                  </w:pPr>
                  <w:r>
                    <w:rPr>
                      <w:rFonts w:hint="eastAsia"/>
                      <w:color w:val="000000"/>
                    </w:rPr>
                    <w:t>1</w:t>
                  </w:r>
                </w:p>
              </w:tc>
              <w:tc>
                <w:tcPr>
                  <w:tcW w:w="3420" w:type="dxa"/>
                  <w:noWrap w:val="0"/>
                  <w:vAlign w:val="top"/>
                </w:tcPr>
                <w:p>
                  <w:pPr>
                    <w:spacing w:line="280" w:lineRule="exact"/>
                    <w:rPr>
                      <w:rFonts w:hint="eastAsia"/>
                      <w:color w:val="000000"/>
                    </w:rPr>
                  </w:pPr>
                  <w:r>
                    <w:rPr>
                      <w:rFonts w:hint="eastAsia"/>
                      <w:color w:val="000000"/>
                    </w:rPr>
                    <w:t>已预留的质量保证金</w:t>
                  </w:r>
                </w:p>
              </w:tc>
              <w:tc>
                <w:tcPr>
                  <w:tcW w:w="16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51" w:type="dxa"/>
                  <w:noWrap w:val="0"/>
                  <w:vAlign w:val="top"/>
                </w:tcPr>
                <w:p>
                  <w:pPr>
                    <w:spacing w:line="28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pPr>
                    <w:spacing w:line="280" w:lineRule="exact"/>
                    <w:jc w:val="center"/>
                    <w:rPr>
                      <w:rFonts w:hint="eastAsia"/>
                      <w:color w:val="000000"/>
                    </w:rPr>
                  </w:pPr>
                  <w:r>
                    <w:rPr>
                      <w:rFonts w:hint="eastAsia"/>
                      <w:color w:val="000000"/>
                    </w:rPr>
                    <w:t>2</w:t>
                  </w:r>
                </w:p>
              </w:tc>
              <w:tc>
                <w:tcPr>
                  <w:tcW w:w="3420" w:type="dxa"/>
                  <w:noWrap w:val="0"/>
                  <w:vAlign w:val="top"/>
                </w:tcPr>
                <w:p>
                  <w:pPr>
                    <w:spacing w:line="280" w:lineRule="exact"/>
                    <w:rPr>
                      <w:rFonts w:hint="eastAsia"/>
                      <w:color w:val="000000"/>
                    </w:rPr>
                  </w:pPr>
                  <w:r>
                    <w:rPr>
                      <w:rFonts w:hint="eastAsia"/>
                      <w:color w:val="000000"/>
                    </w:rPr>
                    <w:t>应增加因发包人原因造成缺陷的修复金额</w:t>
                  </w:r>
                </w:p>
              </w:tc>
              <w:tc>
                <w:tcPr>
                  <w:tcW w:w="16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51" w:type="dxa"/>
                  <w:noWrap w:val="0"/>
                  <w:vAlign w:val="top"/>
                </w:tcPr>
                <w:p>
                  <w:pPr>
                    <w:spacing w:line="28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pPr>
                    <w:spacing w:line="280" w:lineRule="exact"/>
                    <w:jc w:val="center"/>
                    <w:rPr>
                      <w:rFonts w:hint="eastAsia"/>
                      <w:color w:val="000000"/>
                    </w:rPr>
                  </w:pPr>
                  <w:r>
                    <w:rPr>
                      <w:rFonts w:hint="eastAsia"/>
                      <w:color w:val="000000"/>
                    </w:rPr>
                    <w:t>3</w:t>
                  </w:r>
                </w:p>
              </w:tc>
              <w:tc>
                <w:tcPr>
                  <w:tcW w:w="3420" w:type="dxa"/>
                  <w:noWrap w:val="0"/>
                  <w:vAlign w:val="top"/>
                </w:tcPr>
                <w:p>
                  <w:pPr>
                    <w:spacing w:line="280" w:lineRule="exact"/>
                    <w:rPr>
                      <w:rFonts w:hint="eastAsia"/>
                      <w:color w:val="000000"/>
                    </w:rPr>
                  </w:pPr>
                  <w:r>
                    <w:rPr>
                      <w:rFonts w:hint="eastAsia"/>
                      <w:color w:val="000000"/>
                    </w:rPr>
                    <w:t>应扣减承包人不修复缺陷、发包人组织修复的金额</w:t>
                  </w:r>
                </w:p>
              </w:tc>
              <w:tc>
                <w:tcPr>
                  <w:tcW w:w="16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51" w:type="dxa"/>
                  <w:noWrap w:val="0"/>
                  <w:vAlign w:val="top"/>
                </w:tcPr>
                <w:p>
                  <w:pPr>
                    <w:spacing w:line="28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pPr>
                    <w:spacing w:line="280" w:lineRule="exact"/>
                    <w:jc w:val="center"/>
                    <w:rPr>
                      <w:rFonts w:hint="eastAsia"/>
                      <w:color w:val="000000"/>
                    </w:rPr>
                  </w:pPr>
                  <w:r>
                    <w:rPr>
                      <w:rFonts w:hint="eastAsia"/>
                      <w:color w:val="000000"/>
                    </w:rPr>
                    <w:t>4</w:t>
                  </w:r>
                </w:p>
              </w:tc>
              <w:tc>
                <w:tcPr>
                  <w:tcW w:w="3420" w:type="dxa"/>
                  <w:noWrap w:val="0"/>
                  <w:vAlign w:val="top"/>
                </w:tcPr>
                <w:p>
                  <w:pPr>
                    <w:spacing w:line="280" w:lineRule="exact"/>
                    <w:rPr>
                      <w:rFonts w:hint="eastAsia"/>
                      <w:color w:val="000000"/>
                    </w:rPr>
                  </w:pPr>
                  <w:r>
                    <w:rPr>
                      <w:rFonts w:hint="eastAsia"/>
                      <w:color w:val="000000"/>
                    </w:rPr>
                    <w:t>最终应支付的合同价款</w:t>
                  </w:r>
                </w:p>
              </w:tc>
              <w:tc>
                <w:tcPr>
                  <w:tcW w:w="16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51" w:type="dxa"/>
                  <w:noWrap w:val="0"/>
                  <w:vAlign w:val="top"/>
                </w:tcPr>
                <w:p>
                  <w:pPr>
                    <w:spacing w:line="28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pPr>
                    <w:spacing w:line="280" w:lineRule="exact"/>
                    <w:jc w:val="center"/>
                    <w:rPr>
                      <w:rFonts w:hint="eastAsia"/>
                      <w:color w:val="000000"/>
                    </w:rPr>
                  </w:pPr>
                </w:p>
              </w:tc>
              <w:tc>
                <w:tcPr>
                  <w:tcW w:w="34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51" w:type="dxa"/>
                  <w:noWrap w:val="0"/>
                  <w:vAlign w:val="top"/>
                </w:tcPr>
                <w:p>
                  <w:pPr>
                    <w:spacing w:line="28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pPr>
                    <w:spacing w:line="280" w:lineRule="exact"/>
                    <w:jc w:val="center"/>
                    <w:rPr>
                      <w:rFonts w:hint="eastAsia"/>
                      <w:color w:val="000000"/>
                    </w:rPr>
                  </w:pPr>
                </w:p>
              </w:tc>
              <w:tc>
                <w:tcPr>
                  <w:tcW w:w="34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51" w:type="dxa"/>
                  <w:noWrap w:val="0"/>
                  <w:vAlign w:val="top"/>
                </w:tcPr>
                <w:p>
                  <w:pPr>
                    <w:spacing w:line="28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pPr>
                    <w:spacing w:line="280" w:lineRule="exact"/>
                    <w:jc w:val="center"/>
                    <w:rPr>
                      <w:rFonts w:hint="eastAsia"/>
                      <w:color w:val="000000"/>
                    </w:rPr>
                  </w:pPr>
                </w:p>
              </w:tc>
              <w:tc>
                <w:tcPr>
                  <w:tcW w:w="34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51" w:type="dxa"/>
                  <w:noWrap w:val="0"/>
                  <w:vAlign w:val="top"/>
                </w:tcPr>
                <w:p>
                  <w:pPr>
                    <w:spacing w:line="28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pPr>
                    <w:spacing w:line="280" w:lineRule="exact"/>
                    <w:jc w:val="center"/>
                    <w:rPr>
                      <w:rFonts w:hint="eastAsia"/>
                      <w:color w:val="000000"/>
                    </w:rPr>
                  </w:pPr>
                </w:p>
              </w:tc>
              <w:tc>
                <w:tcPr>
                  <w:tcW w:w="34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20" w:type="dxa"/>
                  <w:noWrap w:val="0"/>
                  <w:vAlign w:val="top"/>
                </w:tcPr>
                <w:p>
                  <w:pPr>
                    <w:spacing w:line="280" w:lineRule="exact"/>
                    <w:rPr>
                      <w:rFonts w:hint="eastAsia"/>
                      <w:color w:val="000000"/>
                    </w:rPr>
                  </w:pPr>
                </w:p>
              </w:tc>
              <w:tc>
                <w:tcPr>
                  <w:tcW w:w="1651" w:type="dxa"/>
                  <w:noWrap w:val="0"/>
                  <w:vAlign w:val="top"/>
                </w:tcPr>
                <w:p>
                  <w:pPr>
                    <w:spacing w:line="280" w:lineRule="exact"/>
                    <w:rPr>
                      <w:rFonts w:hint="eastAsia"/>
                      <w:color w:val="000000"/>
                    </w:rPr>
                  </w:pPr>
                </w:p>
              </w:tc>
            </w:tr>
          </w:tbl>
          <w:p>
            <w:pPr>
              <w:spacing w:line="400" w:lineRule="exact"/>
              <w:ind w:right="420" w:firstLine="435"/>
              <w:jc w:val="center"/>
              <w:rPr>
                <w:rFonts w:hint="eastAsia"/>
                <w:color w:val="000000"/>
              </w:rPr>
            </w:pPr>
            <w:r>
              <w:rPr>
                <w:rFonts w:hint="eastAsia"/>
                <w:color w:val="000000"/>
              </w:rPr>
              <w:t xml:space="preserve">                                            承包人（章）             </w:t>
            </w:r>
          </w:p>
          <w:p>
            <w:pPr>
              <w:spacing w:line="400" w:lineRule="exact"/>
              <w:ind w:right="420" w:firstLine="435"/>
              <w:rPr>
                <w:rFonts w:hint="eastAsia"/>
                <w:color w:val="000000"/>
              </w:rPr>
            </w:pPr>
            <w:r>
              <w:rPr>
                <w:rFonts w:hint="eastAsia"/>
                <w:color w:val="000000"/>
              </w:rPr>
              <w:t>造价人员</w:t>
            </w:r>
            <w:r>
              <w:rPr>
                <w:rFonts w:hint="eastAsia"/>
                <w:color w:val="000000"/>
                <w:u w:val="single"/>
              </w:rPr>
              <w:t xml:space="preserve">               </w:t>
            </w:r>
            <w:r>
              <w:rPr>
                <w:rFonts w:hint="eastAsia"/>
                <w:color w:val="000000"/>
              </w:rPr>
              <w:t>承包人代表</w:t>
            </w:r>
            <w:r>
              <w:rPr>
                <w:rFonts w:hint="eastAsia"/>
                <w:color w:val="000000"/>
                <w:u w:val="single"/>
              </w:rPr>
              <w:t xml:space="preserve">               </w:t>
            </w:r>
            <w:r>
              <w:rPr>
                <w:rFonts w:hint="eastAsia"/>
                <w:color w:val="000000"/>
              </w:rPr>
              <w:t>日      期</w:t>
            </w:r>
            <w:r>
              <w:rPr>
                <w:rFonts w:hint="eastAsia"/>
                <w:color w:val="00000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620" w:type="dxa"/>
            <w:noWrap w:val="0"/>
            <w:vAlign w:val="top"/>
          </w:tcPr>
          <w:p>
            <w:pPr>
              <w:spacing w:line="360" w:lineRule="exact"/>
              <w:rPr>
                <w:rFonts w:hint="eastAsia"/>
                <w:color w:val="000000"/>
              </w:rPr>
            </w:pPr>
            <w:r>
              <w:rPr>
                <w:rFonts w:hint="eastAsia"/>
                <w:color w:val="000000"/>
              </w:rPr>
              <w:t>复核意见：</w:t>
            </w:r>
          </w:p>
          <w:p>
            <w:pPr>
              <w:spacing w:line="360" w:lineRule="exact"/>
              <w:ind w:firstLine="312"/>
              <w:rPr>
                <w:rFonts w:hint="eastAsia"/>
                <w:color w:val="000000"/>
              </w:rPr>
            </w:pPr>
            <w:r>
              <w:rPr>
                <w:rFonts w:hint="eastAsia"/>
                <w:color w:val="000000"/>
              </w:rPr>
              <w:t>□与实际施工情况不相符，修改意见见附件。</w:t>
            </w:r>
          </w:p>
          <w:p>
            <w:pPr>
              <w:spacing w:line="360" w:lineRule="exact"/>
              <w:ind w:firstLine="312"/>
              <w:rPr>
                <w:rFonts w:hint="eastAsia"/>
                <w:color w:val="000000"/>
              </w:rPr>
            </w:pPr>
            <w:r>
              <w:rPr>
                <w:rFonts w:hint="eastAsia"/>
                <w:color w:val="000000"/>
              </w:rPr>
              <w:t>□与实际施工情况相符，具体金额由造价工程师复核。</w:t>
            </w:r>
          </w:p>
          <w:p>
            <w:pPr>
              <w:spacing w:line="360" w:lineRule="exact"/>
              <w:ind w:firstLine="435"/>
              <w:jc w:val="right"/>
              <w:rPr>
                <w:rFonts w:hint="eastAsia"/>
                <w:color w:val="000000"/>
              </w:rPr>
            </w:pPr>
          </w:p>
          <w:p>
            <w:pPr>
              <w:spacing w:line="360" w:lineRule="exact"/>
              <w:ind w:firstLine="435"/>
              <w:jc w:val="right"/>
              <w:rPr>
                <w:rFonts w:hint="eastAsia"/>
                <w:color w:val="000000"/>
              </w:rPr>
            </w:pPr>
          </w:p>
          <w:p>
            <w:pPr>
              <w:spacing w:line="360" w:lineRule="exact"/>
              <w:ind w:firstLine="435"/>
              <w:jc w:val="center"/>
              <w:rPr>
                <w:rFonts w:hint="eastAsia"/>
                <w:color w:val="000000"/>
              </w:rPr>
            </w:pPr>
            <w:r>
              <w:rPr>
                <w:color w:val="000000"/>
              </w:rPr>
              <w:t xml:space="preserve">    </w:t>
            </w:r>
            <w:r>
              <w:rPr>
                <w:rFonts w:hint="eastAsia"/>
                <w:color w:val="000000"/>
              </w:rPr>
              <w:t xml:space="preserve">     </w:t>
            </w:r>
          </w:p>
          <w:p>
            <w:pPr>
              <w:spacing w:line="360" w:lineRule="exact"/>
              <w:ind w:firstLine="435"/>
              <w:jc w:val="center"/>
              <w:rPr>
                <w:rFonts w:hint="eastAsia"/>
                <w:color w:val="000000"/>
                <w:u w:val="single"/>
              </w:rPr>
            </w:pPr>
            <w:r>
              <w:rPr>
                <w:rFonts w:hint="eastAsia"/>
                <w:color w:val="000000"/>
              </w:rPr>
              <w:t xml:space="preserve">        工程师</w:t>
            </w:r>
            <w:r>
              <w:rPr>
                <w:rFonts w:hint="eastAsia"/>
                <w:color w:val="000000"/>
                <w:u w:val="single"/>
              </w:rPr>
              <w:t xml:space="preserve">           </w:t>
            </w:r>
          </w:p>
          <w:p>
            <w:pPr>
              <w:spacing w:line="360" w:lineRule="exact"/>
              <w:ind w:firstLine="435"/>
              <w:jc w:val="center"/>
              <w:rPr>
                <w:rFonts w:hint="eastAsia"/>
                <w:color w:val="000000"/>
                <w:u w:val="single"/>
              </w:rPr>
            </w:pPr>
            <w:r>
              <w:rPr>
                <w:color w:val="000000"/>
              </w:rPr>
              <w:t xml:space="preserve">    </w:t>
            </w:r>
            <w:r>
              <w:rPr>
                <w:rFonts w:hint="eastAsia"/>
                <w:color w:val="000000"/>
              </w:rPr>
              <w:t xml:space="preserve">    日      期</w:t>
            </w:r>
            <w:r>
              <w:rPr>
                <w:rFonts w:hint="eastAsia"/>
                <w:color w:val="000000"/>
                <w:u w:val="single"/>
              </w:rPr>
              <w:t xml:space="preserve">           </w:t>
            </w:r>
          </w:p>
        </w:tc>
        <w:tc>
          <w:tcPr>
            <w:tcW w:w="4620" w:type="dxa"/>
            <w:noWrap w:val="0"/>
            <w:vAlign w:val="top"/>
          </w:tcPr>
          <w:p>
            <w:pPr>
              <w:spacing w:line="360" w:lineRule="exact"/>
              <w:rPr>
                <w:rFonts w:hint="eastAsia"/>
                <w:color w:val="000000"/>
              </w:rPr>
            </w:pPr>
            <w:r>
              <w:rPr>
                <w:rFonts w:hint="eastAsia"/>
                <w:color w:val="000000"/>
              </w:rPr>
              <w:t>复核意见：</w:t>
            </w:r>
          </w:p>
          <w:p>
            <w:pPr>
              <w:spacing w:line="360" w:lineRule="exact"/>
              <w:ind w:firstLine="435"/>
              <w:rPr>
                <w:rFonts w:hint="eastAsia"/>
                <w:color w:val="000000"/>
                <w:u w:val="single"/>
              </w:rPr>
            </w:pPr>
            <w:r>
              <w:rPr>
                <w:rFonts w:hint="eastAsia"/>
                <w:color w:val="000000"/>
              </w:rPr>
              <w:t>你方提出的支付申请经复核，最终应支付金额为（大写）</w:t>
            </w:r>
            <w:r>
              <w:rPr>
                <w:rFonts w:hint="eastAsia"/>
                <w:color w:val="000000"/>
                <w:u w:val="single"/>
              </w:rPr>
              <w:t xml:space="preserve">          </w:t>
            </w:r>
            <w:r>
              <w:rPr>
                <w:rFonts w:hint="eastAsia"/>
                <w:color w:val="000000"/>
              </w:rPr>
              <w:t xml:space="preserve">元，（小写）  </w:t>
            </w:r>
            <w:r>
              <w:rPr>
                <w:rFonts w:hint="eastAsia"/>
                <w:color w:val="000000"/>
                <w:u w:val="single"/>
              </w:rPr>
              <w:t xml:space="preserve">       </w:t>
            </w:r>
            <w:r>
              <w:rPr>
                <w:rFonts w:hint="eastAsia"/>
                <w:color w:val="000000"/>
              </w:rPr>
              <w:t>元。</w:t>
            </w:r>
          </w:p>
          <w:p>
            <w:pPr>
              <w:spacing w:line="360" w:lineRule="exact"/>
              <w:ind w:firstLine="435"/>
              <w:jc w:val="center"/>
              <w:rPr>
                <w:rFonts w:hint="eastAsia"/>
                <w:color w:val="000000"/>
              </w:rPr>
            </w:pPr>
            <w:r>
              <w:rPr>
                <w:color w:val="000000"/>
              </w:rPr>
              <w:t xml:space="preserve">    </w:t>
            </w:r>
          </w:p>
          <w:p>
            <w:pPr>
              <w:spacing w:line="360" w:lineRule="exact"/>
              <w:ind w:firstLine="435"/>
              <w:jc w:val="center"/>
              <w:rPr>
                <w:rFonts w:hint="eastAsia"/>
                <w:color w:val="000000"/>
              </w:rPr>
            </w:pPr>
          </w:p>
          <w:p>
            <w:pPr>
              <w:spacing w:line="360" w:lineRule="exact"/>
              <w:ind w:firstLine="435"/>
              <w:jc w:val="center"/>
              <w:rPr>
                <w:rFonts w:hint="eastAsia"/>
                <w:color w:val="000000"/>
              </w:rPr>
            </w:pPr>
          </w:p>
          <w:p>
            <w:pPr>
              <w:spacing w:line="360" w:lineRule="exact"/>
              <w:ind w:firstLine="435"/>
              <w:jc w:val="center"/>
              <w:rPr>
                <w:rFonts w:hint="eastAsia"/>
                <w:color w:val="000000"/>
              </w:rPr>
            </w:pPr>
          </w:p>
          <w:p>
            <w:pPr>
              <w:spacing w:line="360" w:lineRule="exact"/>
              <w:ind w:firstLine="435"/>
              <w:jc w:val="center"/>
              <w:rPr>
                <w:rFonts w:hint="eastAsia"/>
                <w:color w:val="000000"/>
                <w:u w:val="single"/>
              </w:rPr>
            </w:pPr>
            <w:r>
              <w:rPr>
                <w:rFonts w:hint="eastAsia"/>
                <w:color w:val="000000"/>
              </w:rPr>
              <w:t xml:space="preserve">    造价工程师</w:t>
            </w:r>
            <w:r>
              <w:rPr>
                <w:rFonts w:hint="eastAsia"/>
                <w:color w:val="000000"/>
                <w:u w:val="single"/>
              </w:rPr>
              <w:t xml:space="preserve">           </w:t>
            </w:r>
          </w:p>
          <w:p>
            <w:pPr>
              <w:spacing w:line="360" w:lineRule="exact"/>
              <w:ind w:firstLine="435"/>
              <w:jc w:val="center"/>
              <w:rPr>
                <w:rFonts w:hint="eastAsia"/>
                <w:color w:val="000000"/>
                <w:u w:val="single"/>
              </w:rPr>
            </w:pPr>
            <w:r>
              <w:rPr>
                <w:color w:val="000000"/>
              </w:rPr>
              <w:t xml:space="preserve">    </w:t>
            </w:r>
            <w:r>
              <w:rPr>
                <w:rFonts w:hint="eastAsia"/>
                <w:color w:val="000000"/>
              </w:rPr>
              <w:t>日      期</w:t>
            </w:r>
            <w:r>
              <w:rPr>
                <w:rFonts w:hint="eastAsia"/>
                <w:color w:val="00000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noWrap w:val="0"/>
            <w:vAlign w:val="top"/>
          </w:tcPr>
          <w:p>
            <w:pPr>
              <w:spacing w:line="400" w:lineRule="exact"/>
              <w:rPr>
                <w:rFonts w:hint="eastAsia"/>
                <w:color w:val="000000"/>
              </w:rPr>
            </w:pPr>
            <w:r>
              <w:rPr>
                <w:rFonts w:hint="eastAsia"/>
                <w:color w:val="000000"/>
              </w:rPr>
              <w:t>审核意见：</w:t>
            </w:r>
          </w:p>
          <w:p>
            <w:pPr>
              <w:spacing w:line="400" w:lineRule="exact"/>
              <w:ind w:firstLine="435"/>
              <w:rPr>
                <w:rFonts w:hint="eastAsia"/>
                <w:color w:val="000000"/>
              </w:rPr>
            </w:pPr>
            <w:r>
              <w:rPr>
                <w:rFonts w:hint="eastAsia"/>
                <w:color w:val="000000"/>
              </w:rPr>
              <w:t>□不同意。</w:t>
            </w:r>
          </w:p>
          <w:p>
            <w:pPr>
              <w:spacing w:line="400" w:lineRule="exact"/>
              <w:ind w:firstLine="420" w:firstLineChars="200"/>
              <w:rPr>
                <w:rFonts w:hint="eastAsia"/>
                <w:color w:val="000000"/>
              </w:rPr>
            </w:pPr>
            <w:r>
              <w:rPr>
                <w:rFonts w:hint="eastAsia"/>
                <w:color w:val="000000"/>
              </w:rPr>
              <w:t>□同意，支付时间为本表签发后的15天内。</w:t>
            </w:r>
          </w:p>
          <w:p>
            <w:pPr>
              <w:wordWrap w:val="0"/>
              <w:spacing w:line="400" w:lineRule="exact"/>
              <w:ind w:firstLine="420" w:firstLineChars="200"/>
              <w:jc w:val="right"/>
              <w:rPr>
                <w:rFonts w:hint="eastAsia"/>
                <w:color w:val="000000"/>
              </w:rPr>
            </w:pPr>
            <w:r>
              <w:rPr>
                <w:rFonts w:hint="eastAsia"/>
                <w:color w:val="000000"/>
              </w:rPr>
              <w:t xml:space="preserve">发包人（章）           </w:t>
            </w:r>
          </w:p>
          <w:p>
            <w:pPr>
              <w:wordWrap w:val="0"/>
              <w:spacing w:line="400" w:lineRule="exact"/>
              <w:ind w:firstLine="420" w:firstLineChars="200"/>
              <w:jc w:val="right"/>
              <w:rPr>
                <w:rFonts w:hint="eastAsia"/>
                <w:color w:val="000000"/>
                <w:u w:val="single"/>
              </w:rPr>
            </w:pPr>
            <w:r>
              <w:rPr>
                <w:rFonts w:hint="eastAsia"/>
                <w:color w:val="000000"/>
              </w:rPr>
              <w:t>发包人代表</w:t>
            </w:r>
            <w:r>
              <w:rPr>
                <w:rFonts w:hint="eastAsia"/>
                <w:color w:val="000000"/>
                <w:u w:val="single"/>
              </w:rPr>
              <w:t xml:space="preserve">             </w:t>
            </w:r>
          </w:p>
          <w:p>
            <w:pPr>
              <w:wordWrap w:val="0"/>
              <w:spacing w:line="400" w:lineRule="exact"/>
              <w:ind w:firstLine="420" w:firstLineChars="200"/>
              <w:jc w:val="right"/>
              <w:rPr>
                <w:rFonts w:hint="eastAsia"/>
                <w:color w:val="000000"/>
                <w:u w:val="single"/>
              </w:rPr>
            </w:pPr>
            <w:r>
              <w:rPr>
                <w:rFonts w:hint="eastAsia"/>
                <w:color w:val="000000"/>
              </w:rPr>
              <w:t>日      期</w:t>
            </w:r>
            <w:r>
              <w:rPr>
                <w:rFonts w:hint="eastAsia"/>
                <w:color w:val="000000"/>
                <w:u w:val="single"/>
              </w:rPr>
              <w:t xml:space="preserve">             </w:t>
            </w:r>
          </w:p>
        </w:tc>
      </w:tr>
    </w:tbl>
    <w:p>
      <w:pPr>
        <w:spacing w:before="120" w:beforeLines="50"/>
        <w:ind w:firstLine="360" w:firstLineChars="200"/>
        <w:rPr>
          <w:rFonts w:hint="eastAsia"/>
          <w:color w:val="000000"/>
          <w:sz w:val="18"/>
          <w:szCs w:val="18"/>
        </w:rPr>
      </w:pPr>
      <w:r>
        <w:rPr>
          <w:rFonts w:hint="eastAsia"/>
          <w:color w:val="000000"/>
          <w:sz w:val="18"/>
          <w:szCs w:val="18"/>
        </w:rPr>
        <w:t>注：1.在选择栏中的“□”内作标识“√”。 如监理人已退场，监理工程师栏可空缺。</w:t>
      </w:r>
    </w:p>
    <w:p>
      <w:pPr>
        <w:spacing w:before="120" w:beforeLines="50"/>
        <w:ind w:left="720" w:hanging="720" w:hangingChars="400"/>
        <w:rPr>
          <w:rFonts w:hint="eastAsia"/>
          <w:color w:val="000000"/>
          <w:sz w:val="18"/>
          <w:szCs w:val="18"/>
        </w:rPr>
      </w:pPr>
      <w:r>
        <w:rPr>
          <w:rFonts w:hint="eastAsia"/>
          <w:color w:val="000000"/>
          <w:sz w:val="18"/>
          <w:szCs w:val="18"/>
        </w:rPr>
        <w:t xml:space="preserve">    </w:t>
      </w:r>
      <w:r>
        <w:rPr>
          <w:color w:val="000000"/>
          <w:sz w:val="18"/>
          <w:szCs w:val="18"/>
        </w:rPr>
        <w:t xml:space="preserve">  </w:t>
      </w:r>
      <w:r>
        <w:rPr>
          <w:rFonts w:hint="eastAsia"/>
          <w:color w:val="000000"/>
          <w:sz w:val="18"/>
          <w:szCs w:val="18"/>
        </w:rPr>
        <w:t xml:space="preserve">  2.本表一式四份，由承包人填报，发包人、监理人、造价咨询人、承包人各存一份。</w:t>
      </w:r>
    </w:p>
    <w:p>
      <w:pPr>
        <w:spacing w:line="360" w:lineRule="auto"/>
        <w:ind w:firstLine="420" w:firstLineChars="200"/>
        <w:jc w:val="left"/>
        <w:rPr>
          <w:color w:val="000000"/>
          <w:u w:val="single"/>
        </w:rPr>
      </w:pPr>
    </w:p>
    <w:p>
      <w:pPr>
        <w:spacing w:before="120" w:beforeLines="50"/>
        <w:ind w:left="1200" w:hanging="1200" w:hangingChars="400"/>
        <w:rPr>
          <w:rFonts w:ascii="宋体"/>
          <w:color w:val="000000"/>
          <w:sz w:val="30"/>
          <w:szCs w:val="30"/>
        </w:rPr>
      </w:pPr>
    </w:p>
    <w:p>
      <w:pPr>
        <w:spacing w:line="360" w:lineRule="auto"/>
        <w:jc w:val="left"/>
        <w:rPr>
          <w:rFonts w:hint="eastAsia" w:hAnsi="宋体" w:cs="宋体"/>
          <w:color w:val="000000"/>
          <w:sz w:val="30"/>
          <w:szCs w:val="30"/>
        </w:rPr>
      </w:pPr>
      <w:r>
        <w:rPr>
          <w:rFonts w:hint="eastAsia"/>
          <w:color w:val="000000"/>
          <w:sz w:val="30"/>
          <w:szCs w:val="30"/>
        </w:rPr>
        <w:t>附件13：</w:t>
      </w:r>
    </w:p>
    <w:p>
      <w:pPr>
        <w:spacing w:line="360" w:lineRule="auto"/>
        <w:ind w:firstLine="720" w:firstLineChars="200"/>
        <w:jc w:val="center"/>
        <w:rPr>
          <w:rFonts w:hint="eastAsia" w:ascii="宋体" w:hAnsi="宋体" w:cs="宋体"/>
          <w:color w:val="000000"/>
          <w:kern w:val="0"/>
          <w:sz w:val="36"/>
          <w:szCs w:val="36"/>
        </w:rPr>
      </w:pPr>
      <w:r>
        <w:rPr>
          <w:rFonts w:hint="eastAsia" w:ascii="宋体" w:hAnsi="宋体" w:cs="宋体"/>
          <w:color w:val="000000"/>
          <w:kern w:val="0"/>
          <w:sz w:val="36"/>
          <w:szCs w:val="36"/>
        </w:rPr>
        <w:t>进度款支付分解表</w:t>
      </w:r>
    </w:p>
    <w:p>
      <w:pPr>
        <w:spacing w:line="360" w:lineRule="auto"/>
        <w:rPr>
          <w:rFonts w:hint="eastAsia" w:ascii="宋体" w:hAnsi="宋体" w:cs="宋体"/>
          <w:color w:val="000000"/>
          <w:kern w:val="0"/>
        </w:rPr>
      </w:pPr>
      <w:r>
        <w:rPr>
          <w:rFonts w:hint="eastAsia" w:ascii="宋体" w:hAnsi="宋体" w:cs="宋体"/>
          <w:color w:val="000000"/>
          <w:kern w:val="0"/>
        </w:rPr>
        <w:t>工程名称：</w:t>
      </w:r>
    </w:p>
    <w:tbl>
      <w:tblPr>
        <w:tblStyle w:val="83"/>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3794"/>
        <w:gridCol w:w="1985"/>
        <w:gridCol w:w="1559"/>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restart"/>
            <w:noWrap w:val="0"/>
            <w:vAlign w:val="top"/>
          </w:tcPr>
          <w:p>
            <w:pPr>
              <w:spacing w:line="360" w:lineRule="auto"/>
              <w:jc w:val="center"/>
              <w:rPr>
                <w:rFonts w:hint="eastAsia" w:ascii="宋体" w:hAnsi="宋体" w:cs="宋体"/>
                <w:color w:val="000000"/>
                <w:kern w:val="0"/>
              </w:rPr>
            </w:pPr>
            <w:r>
              <w:rPr>
                <w:rFonts w:hint="eastAsia" w:ascii="宋体" w:hAnsi="宋体" w:cs="宋体"/>
                <w:color w:val="000000"/>
                <w:kern w:val="0"/>
              </w:rPr>
              <w:t>进度款期次</w:t>
            </w:r>
          </w:p>
        </w:tc>
        <w:tc>
          <w:tcPr>
            <w:tcW w:w="3794" w:type="dxa"/>
            <w:vMerge w:val="restart"/>
            <w:noWrap w:val="0"/>
            <w:vAlign w:val="top"/>
          </w:tcPr>
          <w:p>
            <w:pPr>
              <w:spacing w:line="360" w:lineRule="auto"/>
              <w:jc w:val="center"/>
              <w:rPr>
                <w:rFonts w:hint="eastAsia" w:ascii="宋体" w:hAnsi="宋体" w:cs="宋体"/>
                <w:color w:val="000000"/>
                <w:kern w:val="0"/>
              </w:rPr>
            </w:pPr>
            <w:r>
              <w:rPr>
                <w:rFonts w:hint="eastAsia" w:ascii="宋体" w:hAnsi="宋体" w:cs="宋体"/>
                <w:color w:val="000000"/>
                <w:kern w:val="0"/>
              </w:rPr>
              <w:t>形象进度</w:t>
            </w:r>
          </w:p>
        </w:tc>
        <w:tc>
          <w:tcPr>
            <w:tcW w:w="3544" w:type="dxa"/>
            <w:gridSpan w:val="2"/>
            <w:noWrap w:val="0"/>
            <w:vAlign w:val="top"/>
          </w:tcPr>
          <w:p>
            <w:pPr>
              <w:spacing w:line="360" w:lineRule="auto"/>
              <w:jc w:val="center"/>
              <w:rPr>
                <w:rFonts w:hint="eastAsia" w:ascii="宋体" w:hAnsi="宋体" w:cs="宋体"/>
                <w:color w:val="000000"/>
                <w:kern w:val="0"/>
              </w:rPr>
            </w:pPr>
            <w:r>
              <w:rPr>
                <w:rFonts w:hint="eastAsia" w:ascii="宋体" w:hAnsi="宋体" w:cs="宋体"/>
                <w:color w:val="000000"/>
                <w:kern w:val="0"/>
              </w:rPr>
              <w:t>进度款付款金额（元）</w:t>
            </w:r>
          </w:p>
        </w:tc>
        <w:tc>
          <w:tcPr>
            <w:tcW w:w="1276" w:type="dxa"/>
            <w:vMerge w:val="restart"/>
            <w:noWrap w:val="0"/>
            <w:vAlign w:val="top"/>
          </w:tcPr>
          <w:p>
            <w:pPr>
              <w:spacing w:line="360" w:lineRule="auto"/>
              <w:jc w:val="center"/>
              <w:rPr>
                <w:rFonts w:hint="eastAsia" w:ascii="宋体" w:hAnsi="宋体" w:cs="宋体"/>
                <w:color w:val="000000"/>
                <w:kern w:val="0"/>
              </w:rPr>
            </w:pPr>
            <w:r>
              <w:rPr>
                <w:rFonts w:hint="eastAsia" w:ascii="宋体" w:hAnsi="宋体" w:cs="宋体"/>
                <w:color w:val="000000"/>
                <w:kern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continue"/>
            <w:noWrap w:val="0"/>
            <w:vAlign w:val="top"/>
          </w:tcPr>
          <w:p>
            <w:pPr>
              <w:spacing w:line="360" w:lineRule="auto"/>
              <w:jc w:val="center"/>
              <w:rPr>
                <w:rFonts w:hint="eastAsia" w:ascii="宋体" w:hAnsi="宋体" w:cs="宋体"/>
                <w:color w:val="000000"/>
                <w:kern w:val="0"/>
              </w:rPr>
            </w:pPr>
          </w:p>
        </w:tc>
        <w:tc>
          <w:tcPr>
            <w:tcW w:w="3794" w:type="dxa"/>
            <w:vMerge w:val="continue"/>
            <w:noWrap w:val="0"/>
            <w:vAlign w:val="top"/>
          </w:tcPr>
          <w:p>
            <w:pPr>
              <w:spacing w:line="360" w:lineRule="auto"/>
              <w:jc w:val="center"/>
              <w:rPr>
                <w:rFonts w:hint="eastAsia" w:ascii="宋体" w:hAnsi="宋体" w:cs="宋体"/>
                <w:color w:val="000000"/>
                <w:kern w:val="0"/>
              </w:rPr>
            </w:pPr>
          </w:p>
        </w:tc>
        <w:tc>
          <w:tcPr>
            <w:tcW w:w="1985" w:type="dxa"/>
            <w:noWrap w:val="0"/>
            <w:vAlign w:val="top"/>
          </w:tcPr>
          <w:p>
            <w:pPr>
              <w:spacing w:line="360" w:lineRule="auto"/>
              <w:jc w:val="center"/>
              <w:rPr>
                <w:rFonts w:hint="eastAsia" w:ascii="宋体" w:hAnsi="宋体" w:cs="宋体"/>
                <w:color w:val="000000"/>
                <w:kern w:val="0"/>
              </w:rPr>
            </w:pPr>
          </w:p>
        </w:tc>
        <w:tc>
          <w:tcPr>
            <w:tcW w:w="1559" w:type="dxa"/>
            <w:noWrap w:val="0"/>
            <w:vAlign w:val="top"/>
          </w:tcPr>
          <w:p>
            <w:pPr>
              <w:spacing w:line="360" w:lineRule="auto"/>
              <w:jc w:val="center"/>
              <w:rPr>
                <w:rFonts w:hint="eastAsia" w:cs="宋体"/>
                <w:color w:val="000000"/>
                <w:kern w:val="0"/>
              </w:rPr>
            </w:pPr>
            <w:r>
              <w:rPr>
                <w:rFonts w:hint="eastAsia" w:cs="宋体"/>
                <w:color w:val="000000"/>
                <w:kern w:val="0"/>
              </w:rPr>
              <w:t>其中：人工费</w:t>
            </w:r>
          </w:p>
        </w:tc>
        <w:tc>
          <w:tcPr>
            <w:tcW w:w="1276" w:type="dxa"/>
            <w:vMerge w:val="continue"/>
            <w:noWrap w:val="0"/>
            <w:vAlign w:val="top"/>
          </w:tcPr>
          <w:p>
            <w:pPr>
              <w:spacing w:line="360" w:lineRule="auto"/>
              <w:jc w:val="center"/>
              <w:rPr>
                <w:rFonts w:hint="eastAsia" w:ascii="宋体" w:hAnsi="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pPr>
              <w:spacing w:line="360" w:lineRule="auto"/>
              <w:jc w:val="center"/>
              <w:rPr>
                <w:rFonts w:hint="eastAsia" w:ascii="宋体" w:hAnsi="宋体" w:cs="宋体"/>
                <w:color w:val="000000"/>
                <w:kern w:val="0"/>
              </w:rPr>
            </w:pPr>
            <w:r>
              <w:rPr>
                <w:rFonts w:hint="eastAsia" w:ascii="宋体" w:hAnsi="宋体" w:cs="宋体"/>
                <w:color w:val="000000"/>
                <w:kern w:val="0"/>
              </w:rPr>
              <w:t>第一期</w:t>
            </w:r>
          </w:p>
        </w:tc>
        <w:tc>
          <w:tcPr>
            <w:tcW w:w="3794" w:type="dxa"/>
            <w:noWrap w:val="0"/>
            <w:vAlign w:val="top"/>
          </w:tcPr>
          <w:p>
            <w:pPr>
              <w:spacing w:line="360" w:lineRule="auto"/>
              <w:jc w:val="center"/>
              <w:rPr>
                <w:rFonts w:hint="eastAsia" w:ascii="宋体" w:hAnsi="宋体" w:cs="宋体"/>
                <w:color w:val="000000"/>
                <w:kern w:val="0"/>
              </w:rPr>
            </w:pPr>
          </w:p>
        </w:tc>
        <w:tc>
          <w:tcPr>
            <w:tcW w:w="1985" w:type="dxa"/>
            <w:noWrap w:val="0"/>
            <w:vAlign w:val="top"/>
          </w:tcPr>
          <w:p>
            <w:pPr>
              <w:spacing w:line="360" w:lineRule="auto"/>
              <w:jc w:val="center"/>
              <w:rPr>
                <w:rFonts w:hint="eastAsia" w:ascii="宋体" w:hAnsi="宋体" w:cs="宋体"/>
                <w:color w:val="000000"/>
                <w:kern w:val="0"/>
              </w:rPr>
            </w:pPr>
          </w:p>
        </w:tc>
        <w:tc>
          <w:tcPr>
            <w:tcW w:w="1559" w:type="dxa"/>
            <w:noWrap w:val="0"/>
            <w:vAlign w:val="top"/>
          </w:tcPr>
          <w:p>
            <w:pPr>
              <w:spacing w:line="360" w:lineRule="auto"/>
              <w:jc w:val="center"/>
              <w:rPr>
                <w:rFonts w:hint="eastAsia" w:ascii="宋体" w:hAnsi="宋体" w:cs="宋体"/>
                <w:color w:val="000000"/>
                <w:kern w:val="0"/>
              </w:rPr>
            </w:pPr>
          </w:p>
        </w:tc>
        <w:tc>
          <w:tcPr>
            <w:tcW w:w="1276" w:type="dxa"/>
            <w:noWrap w:val="0"/>
            <w:vAlign w:val="top"/>
          </w:tcPr>
          <w:p>
            <w:pPr>
              <w:spacing w:line="360" w:lineRule="auto"/>
              <w:jc w:val="center"/>
              <w:rPr>
                <w:rFonts w:hint="eastAsia" w:ascii="宋体" w:hAnsi="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pPr>
              <w:spacing w:line="360" w:lineRule="auto"/>
              <w:jc w:val="center"/>
              <w:rPr>
                <w:rFonts w:hint="eastAsia" w:ascii="宋体" w:hAnsi="宋体" w:cs="宋体"/>
                <w:color w:val="000000"/>
                <w:kern w:val="0"/>
              </w:rPr>
            </w:pPr>
            <w:r>
              <w:rPr>
                <w:rFonts w:hint="eastAsia" w:ascii="宋体" w:hAnsi="宋体" w:cs="宋体"/>
                <w:color w:val="000000"/>
                <w:kern w:val="0"/>
              </w:rPr>
              <w:t>第二期</w:t>
            </w:r>
          </w:p>
        </w:tc>
        <w:tc>
          <w:tcPr>
            <w:tcW w:w="3794" w:type="dxa"/>
            <w:noWrap w:val="0"/>
            <w:vAlign w:val="top"/>
          </w:tcPr>
          <w:p>
            <w:pPr>
              <w:spacing w:line="360" w:lineRule="auto"/>
              <w:jc w:val="center"/>
              <w:rPr>
                <w:rFonts w:hint="eastAsia" w:ascii="宋体" w:hAnsi="宋体" w:cs="宋体"/>
                <w:color w:val="000000"/>
                <w:kern w:val="0"/>
              </w:rPr>
            </w:pPr>
          </w:p>
        </w:tc>
        <w:tc>
          <w:tcPr>
            <w:tcW w:w="1985" w:type="dxa"/>
            <w:noWrap w:val="0"/>
            <w:vAlign w:val="top"/>
          </w:tcPr>
          <w:p>
            <w:pPr>
              <w:spacing w:line="360" w:lineRule="auto"/>
              <w:jc w:val="center"/>
              <w:rPr>
                <w:rFonts w:hint="eastAsia" w:ascii="宋体" w:hAnsi="宋体" w:cs="宋体"/>
                <w:color w:val="000000"/>
                <w:kern w:val="0"/>
              </w:rPr>
            </w:pPr>
          </w:p>
        </w:tc>
        <w:tc>
          <w:tcPr>
            <w:tcW w:w="1559" w:type="dxa"/>
            <w:noWrap w:val="0"/>
            <w:vAlign w:val="top"/>
          </w:tcPr>
          <w:p>
            <w:pPr>
              <w:spacing w:line="360" w:lineRule="auto"/>
              <w:jc w:val="center"/>
              <w:rPr>
                <w:rFonts w:hint="eastAsia" w:ascii="宋体" w:hAnsi="宋体" w:cs="宋体"/>
                <w:color w:val="000000"/>
                <w:kern w:val="0"/>
              </w:rPr>
            </w:pPr>
          </w:p>
        </w:tc>
        <w:tc>
          <w:tcPr>
            <w:tcW w:w="1276" w:type="dxa"/>
            <w:noWrap w:val="0"/>
            <w:vAlign w:val="top"/>
          </w:tcPr>
          <w:p>
            <w:pPr>
              <w:spacing w:line="360" w:lineRule="auto"/>
              <w:jc w:val="center"/>
              <w:rPr>
                <w:rFonts w:hint="eastAsia" w:ascii="宋体" w:hAnsi="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pPr>
              <w:spacing w:line="360" w:lineRule="auto"/>
              <w:jc w:val="center"/>
              <w:rPr>
                <w:rFonts w:hint="eastAsia" w:ascii="宋体" w:hAnsi="宋体" w:cs="宋体"/>
                <w:color w:val="000000"/>
                <w:kern w:val="0"/>
              </w:rPr>
            </w:pPr>
            <w:r>
              <w:rPr>
                <w:rFonts w:hint="eastAsia" w:ascii="宋体" w:hAnsi="宋体" w:cs="宋体"/>
                <w:color w:val="000000"/>
                <w:kern w:val="0"/>
              </w:rPr>
              <w:t>第三期</w:t>
            </w:r>
          </w:p>
        </w:tc>
        <w:tc>
          <w:tcPr>
            <w:tcW w:w="3794" w:type="dxa"/>
            <w:noWrap w:val="0"/>
            <w:vAlign w:val="top"/>
          </w:tcPr>
          <w:p>
            <w:pPr>
              <w:spacing w:line="360" w:lineRule="auto"/>
              <w:jc w:val="center"/>
              <w:rPr>
                <w:rFonts w:hint="eastAsia" w:ascii="宋体" w:hAnsi="宋体" w:cs="宋体"/>
                <w:color w:val="000000"/>
                <w:kern w:val="0"/>
              </w:rPr>
            </w:pPr>
          </w:p>
        </w:tc>
        <w:tc>
          <w:tcPr>
            <w:tcW w:w="1985" w:type="dxa"/>
            <w:noWrap w:val="0"/>
            <w:vAlign w:val="top"/>
          </w:tcPr>
          <w:p>
            <w:pPr>
              <w:spacing w:line="360" w:lineRule="auto"/>
              <w:jc w:val="center"/>
              <w:rPr>
                <w:rFonts w:hint="eastAsia" w:ascii="宋体" w:hAnsi="宋体" w:cs="宋体"/>
                <w:color w:val="000000"/>
                <w:kern w:val="0"/>
              </w:rPr>
            </w:pPr>
          </w:p>
        </w:tc>
        <w:tc>
          <w:tcPr>
            <w:tcW w:w="1559" w:type="dxa"/>
            <w:noWrap w:val="0"/>
            <w:vAlign w:val="top"/>
          </w:tcPr>
          <w:p>
            <w:pPr>
              <w:spacing w:line="360" w:lineRule="auto"/>
              <w:jc w:val="center"/>
              <w:rPr>
                <w:rFonts w:hint="eastAsia" w:ascii="宋体" w:hAnsi="宋体" w:cs="宋体"/>
                <w:color w:val="000000"/>
                <w:kern w:val="0"/>
              </w:rPr>
            </w:pPr>
          </w:p>
        </w:tc>
        <w:tc>
          <w:tcPr>
            <w:tcW w:w="1276" w:type="dxa"/>
            <w:noWrap w:val="0"/>
            <w:vAlign w:val="top"/>
          </w:tcPr>
          <w:p>
            <w:pPr>
              <w:spacing w:line="360" w:lineRule="auto"/>
              <w:jc w:val="center"/>
              <w:rPr>
                <w:rFonts w:hint="eastAsia" w:ascii="宋体" w:hAnsi="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pPr>
              <w:spacing w:line="360" w:lineRule="auto"/>
              <w:jc w:val="center"/>
              <w:rPr>
                <w:rFonts w:hint="eastAsia" w:ascii="宋体" w:hAnsi="宋体" w:cs="宋体"/>
                <w:color w:val="000000"/>
                <w:kern w:val="0"/>
              </w:rPr>
            </w:pPr>
            <w:r>
              <w:rPr>
                <w:rFonts w:ascii="宋体" w:hAnsi="宋体" w:cs="宋体"/>
                <w:color w:val="000000"/>
                <w:kern w:val="0"/>
              </w:rPr>
              <w:t>……</w:t>
            </w:r>
          </w:p>
        </w:tc>
        <w:tc>
          <w:tcPr>
            <w:tcW w:w="3794" w:type="dxa"/>
            <w:noWrap w:val="0"/>
            <w:vAlign w:val="top"/>
          </w:tcPr>
          <w:p>
            <w:pPr>
              <w:spacing w:line="360" w:lineRule="auto"/>
              <w:jc w:val="center"/>
              <w:rPr>
                <w:rFonts w:hint="eastAsia" w:ascii="宋体" w:hAnsi="宋体" w:cs="宋体"/>
                <w:color w:val="000000"/>
                <w:kern w:val="0"/>
              </w:rPr>
            </w:pPr>
          </w:p>
        </w:tc>
        <w:tc>
          <w:tcPr>
            <w:tcW w:w="1985" w:type="dxa"/>
            <w:noWrap w:val="0"/>
            <w:vAlign w:val="top"/>
          </w:tcPr>
          <w:p>
            <w:pPr>
              <w:spacing w:line="360" w:lineRule="auto"/>
              <w:jc w:val="center"/>
              <w:rPr>
                <w:rFonts w:hint="eastAsia" w:ascii="宋体" w:hAnsi="宋体" w:cs="宋体"/>
                <w:color w:val="000000"/>
                <w:kern w:val="0"/>
              </w:rPr>
            </w:pPr>
          </w:p>
        </w:tc>
        <w:tc>
          <w:tcPr>
            <w:tcW w:w="1559" w:type="dxa"/>
            <w:noWrap w:val="0"/>
            <w:vAlign w:val="top"/>
          </w:tcPr>
          <w:p>
            <w:pPr>
              <w:spacing w:line="360" w:lineRule="auto"/>
              <w:jc w:val="center"/>
              <w:rPr>
                <w:rFonts w:hint="eastAsia" w:ascii="宋体" w:hAnsi="宋体" w:cs="宋体"/>
                <w:color w:val="000000"/>
                <w:kern w:val="0"/>
              </w:rPr>
            </w:pPr>
          </w:p>
        </w:tc>
        <w:tc>
          <w:tcPr>
            <w:tcW w:w="1276" w:type="dxa"/>
            <w:noWrap w:val="0"/>
            <w:vAlign w:val="top"/>
          </w:tcPr>
          <w:p>
            <w:pPr>
              <w:spacing w:line="360" w:lineRule="auto"/>
              <w:jc w:val="center"/>
              <w:rPr>
                <w:rFonts w:hint="eastAsia" w:ascii="宋体" w:hAnsi="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5211" w:type="dxa"/>
            <w:gridSpan w:val="2"/>
            <w:noWrap w:val="0"/>
            <w:vAlign w:val="top"/>
          </w:tcPr>
          <w:p>
            <w:pPr>
              <w:spacing w:line="360" w:lineRule="exact"/>
              <w:ind w:firstLine="435"/>
              <w:jc w:val="right"/>
              <w:rPr>
                <w:rFonts w:hint="eastAsia"/>
                <w:color w:val="000000"/>
              </w:rPr>
            </w:pPr>
          </w:p>
          <w:p>
            <w:pPr>
              <w:spacing w:line="360" w:lineRule="exact"/>
              <w:ind w:firstLine="435"/>
              <w:jc w:val="center"/>
              <w:rPr>
                <w:rFonts w:hint="eastAsia"/>
                <w:color w:val="000000"/>
              </w:rPr>
            </w:pPr>
          </w:p>
          <w:p>
            <w:pPr>
              <w:spacing w:line="360" w:lineRule="exact"/>
              <w:ind w:firstLine="435"/>
              <w:jc w:val="center"/>
              <w:rPr>
                <w:rFonts w:hint="eastAsia"/>
                <w:color w:val="000000"/>
              </w:rPr>
            </w:pPr>
            <w:r>
              <w:rPr>
                <w:rFonts w:hint="eastAsia"/>
                <w:color w:val="000000"/>
              </w:rPr>
              <w:t>发包人代表签字：</w:t>
            </w:r>
          </w:p>
          <w:p>
            <w:pPr>
              <w:spacing w:line="360" w:lineRule="exact"/>
              <w:ind w:firstLine="435"/>
              <w:jc w:val="center"/>
              <w:rPr>
                <w:rFonts w:hint="eastAsia"/>
                <w:color w:val="000000"/>
              </w:rPr>
            </w:pPr>
          </w:p>
          <w:p>
            <w:pPr>
              <w:spacing w:line="360" w:lineRule="exact"/>
              <w:ind w:firstLine="435"/>
              <w:jc w:val="center"/>
              <w:rPr>
                <w:rFonts w:hint="eastAsia"/>
                <w:color w:val="000000"/>
              </w:rPr>
            </w:pPr>
            <w:r>
              <w:rPr>
                <w:rFonts w:hint="eastAsia"/>
                <w:color w:val="000000"/>
              </w:rPr>
              <w:t>发包人（盖公章）</w:t>
            </w:r>
          </w:p>
          <w:p>
            <w:pPr>
              <w:spacing w:line="360" w:lineRule="exact"/>
              <w:ind w:firstLine="435"/>
              <w:jc w:val="center"/>
              <w:rPr>
                <w:rFonts w:hint="eastAsia"/>
                <w:color w:val="000000"/>
              </w:rPr>
            </w:pPr>
          </w:p>
          <w:p>
            <w:pPr>
              <w:spacing w:line="360" w:lineRule="exact"/>
              <w:ind w:firstLine="435"/>
              <w:jc w:val="center"/>
              <w:rPr>
                <w:rFonts w:hint="eastAsia"/>
                <w:color w:val="000000"/>
                <w:u w:val="single"/>
              </w:rPr>
            </w:pPr>
            <w:r>
              <w:rPr>
                <w:color w:val="000000"/>
              </w:rPr>
              <w:t xml:space="preserve">    </w:t>
            </w:r>
            <w:r>
              <w:rPr>
                <w:rFonts w:hint="eastAsia"/>
                <w:color w:val="000000"/>
              </w:rPr>
              <w:t xml:space="preserve">    日      期        </w:t>
            </w:r>
            <w:r>
              <w:rPr>
                <w:rFonts w:hint="eastAsia"/>
                <w:color w:val="000000"/>
                <w:u w:val="single"/>
              </w:rPr>
              <w:t xml:space="preserve">   </w:t>
            </w:r>
          </w:p>
        </w:tc>
        <w:tc>
          <w:tcPr>
            <w:tcW w:w="4820" w:type="dxa"/>
            <w:gridSpan w:val="3"/>
            <w:noWrap w:val="0"/>
            <w:vAlign w:val="top"/>
          </w:tcPr>
          <w:p>
            <w:pPr>
              <w:spacing w:line="360" w:lineRule="exact"/>
              <w:ind w:firstLine="435"/>
              <w:jc w:val="center"/>
              <w:rPr>
                <w:rFonts w:hint="eastAsia"/>
                <w:color w:val="000000"/>
              </w:rPr>
            </w:pPr>
          </w:p>
          <w:p>
            <w:pPr>
              <w:spacing w:line="360" w:lineRule="exact"/>
              <w:ind w:firstLine="435"/>
              <w:jc w:val="center"/>
              <w:rPr>
                <w:rFonts w:hint="eastAsia"/>
                <w:color w:val="000000"/>
                <w:u w:val="single"/>
              </w:rPr>
            </w:pPr>
          </w:p>
          <w:p>
            <w:pPr>
              <w:spacing w:line="360" w:lineRule="exact"/>
              <w:ind w:firstLine="435"/>
              <w:jc w:val="center"/>
              <w:rPr>
                <w:rFonts w:hint="eastAsia"/>
                <w:color w:val="000000"/>
              </w:rPr>
            </w:pPr>
            <w:r>
              <w:rPr>
                <w:rFonts w:hint="eastAsia"/>
                <w:color w:val="000000"/>
              </w:rPr>
              <w:t>承包人代表签字：</w:t>
            </w:r>
          </w:p>
          <w:p>
            <w:pPr>
              <w:spacing w:line="360" w:lineRule="exact"/>
              <w:ind w:firstLine="435"/>
              <w:jc w:val="center"/>
              <w:rPr>
                <w:rFonts w:hint="eastAsia"/>
                <w:color w:val="000000"/>
              </w:rPr>
            </w:pPr>
          </w:p>
          <w:p>
            <w:pPr>
              <w:spacing w:line="360" w:lineRule="exact"/>
              <w:ind w:firstLine="435"/>
              <w:jc w:val="center"/>
              <w:rPr>
                <w:rFonts w:hint="eastAsia"/>
                <w:color w:val="000000"/>
              </w:rPr>
            </w:pPr>
            <w:r>
              <w:rPr>
                <w:rFonts w:hint="eastAsia"/>
                <w:color w:val="000000"/>
              </w:rPr>
              <w:t>承包人（盖公章）</w:t>
            </w:r>
          </w:p>
          <w:p>
            <w:pPr>
              <w:spacing w:line="360" w:lineRule="exact"/>
              <w:ind w:firstLine="435"/>
              <w:jc w:val="center"/>
              <w:rPr>
                <w:rFonts w:hint="eastAsia"/>
                <w:color w:val="000000"/>
              </w:rPr>
            </w:pPr>
          </w:p>
          <w:p>
            <w:pPr>
              <w:spacing w:line="360" w:lineRule="exact"/>
              <w:ind w:firstLine="435"/>
              <w:jc w:val="center"/>
              <w:rPr>
                <w:color w:val="000000"/>
              </w:rPr>
            </w:pPr>
            <w:r>
              <w:rPr>
                <w:color w:val="000000"/>
              </w:rPr>
              <w:t xml:space="preserve">    </w:t>
            </w:r>
            <w:r>
              <w:rPr>
                <w:rFonts w:hint="eastAsia"/>
                <w:color w:val="000000"/>
              </w:rPr>
              <w:t xml:space="preserve">    日      期</w:t>
            </w:r>
            <w:r>
              <w:rPr>
                <w:rFonts w:hint="eastAsia"/>
                <w:color w:val="000000"/>
                <w:u w:val="single"/>
              </w:rPr>
              <w:t xml:space="preserve">        </w:t>
            </w:r>
          </w:p>
        </w:tc>
      </w:tr>
    </w:tbl>
    <w:p>
      <w:pPr>
        <w:spacing w:line="360" w:lineRule="auto"/>
        <w:rPr>
          <w:rFonts w:ascii="宋体"/>
          <w:color w:val="000000"/>
        </w:rPr>
      </w:pPr>
    </w:p>
    <w:p>
      <w:pPr>
        <w:spacing w:line="360" w:lineRule="auto"/>
        <w:rPr>
          <w:rFonts w:ascii="宋体"/>
          <w:color w:val="000000"/>
        </w:rPr>
      </w:pPr>
    </w:p>
    <w:p>
      <w:pPr>
        <w:spacing w:line="360" w:lineRule="auto"/>
        <w:rPr>
          <w:rFonts w:ascii="宋体"/>
          <w:color w:val="000000"/>
        </w:rPr>
      </w:pPr>
    </w:p>
    <w:p>
      <w:pPr>
        <w:spacing w:line="360" w:lineRule="auto"/>
        <w:rPr>
          <w:rFonts w:ascii="宋体"/>
          <w:color w:val="000000"/>
        </w:rPr>
      </w:pPr>
    </w:p>
    <w:p>
      <w:pPr>
        <w:spacing w:before="120" w:beforeLines="50"/>
        <w:ind w:left="1200" w:hanging="1200" w:hangingChars="400"/>
        <w:rPr>
          <w:rFonts w:hint="eastAsia" w:eastAsia="仿宋_GB2312"/>
          <w:color w:val="000000"/>
          <w:sz w:val="30"/>
          <w:szCs w:val="30"/>
        </w:rPr>
      </w:pPr>
    </w:p>
    <w:p>
      <w:pPr>
        <w:jc w:val="left"/>
      </w:pPr>
    </w:p>
    <w:p>
      <w:pPr>
        <w:spacing w:line="360" w:lineRule="auto"/>
        <w:rPr>
          <w:rFonts w:ascii="宋体"/>
          <w:color w:val="000000"/>
        </w:rPr>
      </w:pPr>
    </w:p>
    <w:p>
      <w:pPr>
        <w:spacing w:line="360" w:lineRule="auto"/>
        <w:rPr>
          <w:rFonts w:ascii="宋体"/>
          <w:color w:val="000000"/>
        </w:rPr>
      </w:pPr>
    </w:p>
    <w:p>
      <w:pPr>
        <w:spacing w:line="360" w:lineRule="auto"/>
        <w:rPr>
          <w:rFonts w:ascii="宋体"/>
          <w:color w:val="000000"/>
        </w:rPr>
      </w:pPr>
    </w:p>
    <w:p>
      <w:pPr>
        <w:spacing w:line="360" w:lineRule="auto"/>
        <w:rPr>
          <w:rFonts w:ascii="宋体"/>
          <w:color w:val="000000"/>
        </w:rPr>
      </w:pPr>
    </w:p>
    <w:p>
      <w:pPr>
        <w:spacing w:line="360" w:lineRule="auto"/>
        <w:rPr>
          <w:rFonts w:ascii="宋体"/>
          <w:color w:val="000000"/>
        </w:rPr>
      </w:pPr>
    </w:p>
    <w:p>
      <w:pPr>
        <w:spacing w:line="360" w:lineRule="auto"/>
        <w:rPr>
          <w:rFonts w:ascii="宋体"/>
          <w:color w:val="000000"/>
        </w:rPr>
      </w:pPr>
    </w:p>
    <w:p>
      <w:pPr>
        <w:spacing w:line="360" w:lineRule="auto"/>
        <w:rPr>
          <w:rFonts w:hint="eastAsia" w:ascii="宋体"/>
          <w:color w:val="000000"/>
        </w:rPr>
      </w:pPr>
    </w:p>
    <w:p>
      <w:pPr>
        <w:pStyle w:val="2"/>
        <w:numPr>
          <w:ilvl w:val="0"/>
          <w:numId w:val="6"/>
        </w:numPr>
        <w:jc w:val="center"/>
        <w:rPr>
          <w:rFonts w:hint="eastAsia"/>
          <w:color w:val="000000"/>
        </w:rPr>
      </w:pPr>
      <w:r>
        <w:rPr>
          <w:rFonts w:hint="eastAsia"/>
          <w:color w:val="000000"/>
        </w:rPr>
        <w:t xml:space="preserve"> </w:t>
      </w:r>
      <w:bookmarkStart w:id="1717" w:name="_Toc59203257"/>
      <w:r>
        <w:rPr>
          <w:rFonts w:hint="eastAsia"/>
          <w:color w:val="000000"/>
        </w:rPr>
        <w:t>发包人要求</w:t>
      </w:r>
      <w:bookmarkEnd w:id="836"/>
      <w:bookmarkEnd w:id="1717"/>
    </w:p>
    <w:p>
      <w:pPr>
        <w:spacing w:line="400" w:lineRule="exact"/>
        <w:ind w:firstLine="420"/>
        <w:rPr>
          <w:rFonts w:hint="eastAsia" w:ascii="宋体" w:hAnsi="宋体" w:cs="宋体"/>
          <w:szCs w:val="21"/>
        </w:rPr>
      </w:pPr>
      <w:r>
        <w:rPr>
          <w:rFonts w:hint="eastAsia" w:ascii="宋体" w:hAnsi="宋体" w:cs="宋体"/>
          <w:szCs w:val="21"/>
        </w:rPr>
        <w:t>《发包人要求》</w:t>
      </w:r>
      <w:r>
        <w:rPr>
          <w:rFonts w:hint="eastAsia" w:ascii="宋体" w:hAnsi="宋体" w:cs="宋体"/>
          <w:color w:val="000000"/>
          <w:szCs w:val="21"/>
        </w:rPr>
        <w:t>应列明项目的内容、范围、规模、标准、功能、质量、安全、节约能源、生态环境保护、工期、验收等的明确要求。</w:t>
      </w:r>
      <w:r>
        <w:rPr>
          <w:rFonts w:hint="eastAsia" w:ascii="宋体" w:hAnsi="宋体" w:cs="宋体"/>
          <w:szCs w:val="21"/>
        </w:rPr>
        <w:t>《发包人要求》通常包括但不限于以下内容：</w:t>
      </w:r>
    </w:p>
    <w:p>
      <w:pPr>
        <w:spacing w:line="400" w:lineRule="exact"/>
        <w:ind w:firstLine="600"/>
        <w:rPr>
          <w:rFonts w:hint="eastAsia" w:ascii="宋体" w:hAnsi="宋体" w:cs="宋体"/>
          <w:szCs w:val="21"/>
        </w:rPr>
      </w:pPr>
      <w:r>
        <w:rPr>
          <w:rFonts w:hint="eastAsia" w:ascii="宋体" w:hAnsi="宋体" w:cs="宋体"/>
          <w:szCs w:val="21"/>
        </w:rPr>
        <w:t>一、项目概况（目标、范围等）</w:t>
      </w:r>
    </w:p>
    <w:p>
      <w:pPr>
        <w:spacing w:line="400" w:lineRule="exact"/>
        <w:ind w:firstLine="600"/>
        <w:rPr>
          <w:rFonts w:hint="eastAsia" w:ascii="宋体" w:hAnsi="宋体" w:cs="宋体"/>
          <w:szCs w:val="21"/>
        </w:rPr>
      </w:pPr>
      <w:r>
        <w:rPr>
          <w:rFonts w:hint="eastAsia" w:ascii="宋体" w:hAnsi="宋体" w:cs="宋体"/>
          <w:szCs w:val="21"/>
        </w:rPr>
        <w:t>二、发包人提供的资料</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1.施工现场及毗邻区域内的供水、排水、供电、供气、供热、通信、广播电视等地下管线资料、气象和水文观测资料，相邻建筑物和构筑物、地下工程的有关资料，以及其他与建设工程有关的原始资料。</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2.施工场地三通一平完成情况。</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3.施工现场地质勘探完成情况及勘探报告。</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4.发包人需求任务书、可行性研究报告、方案设计文件、初步设计文件。</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5.功能性工程量清单（适用于方案设计完成后初步设计完成前招标）、技术配置及交付标准（适用于初步设计完成后初步设计完成前招标）。</w:t>
      </w:r>
    </w:p>
    <w:p>
      <w:pPr>
        <w:spacing w:line="360" w:lineRule="auto"/>
        <w:jc w:val="center"/>
        <w:rPr>
          <w:rFonts w:hAnsi="黑体"/>
          <w:sz w:val="30"/>
          <w:szCs w:val="30"/>
        </w:rPr>
      </w:pPr>
      <w:r>
        <w:rPr>
          <w:rFonts w:hint="eastAsia" w:hAnsi="黑体"/>
          <w:sz w:val="30"/>
        </w:rPr>
        <w:t>技术配置及交付标准</w:t>
      </w:r>
    </w:p>
    <w:p>
      <w:pPr>
        <w:spacing w:line="360" w:lineRule="auto"/>
        <w:rPr>
          <w:rFonts w:ascii="宋体" w:hAnsi="宋体"/>
          <w:b/>
        </w:rPr>
      </w:pPr>
      <w:r>
        <w:rPr>
          <w:rFonts w:hint="eastAsia" w:hAnsi="黑体"/>
          <w:sz w:val="32"/>
          <w:szCs w:val="32"/>
        </w:rPr>
        <w:t xml:space="preserve"> </w:t>
      </w:r>
      <w:r>
        <w:rPr>
          <w:rFonts w:hint="eastAsia" w:ascii="宋体" w:hAnsi="宋体"/>
          <w:b/>
        </w:rPr>
        <w:t>专业名称：</w:t>
      </w:r>
    </w:p>
    <w:tbl>
      <w:tblPr>
        <w:tblStyle w:val="83"/>
        <w:tblW w:w="78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987"/>
        <w:gridCol w:w="2552"/>
        <w:gridCol w:w="142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blHeader/>
          <w:jc w:val="center"/>
        </w:trPr>
        <w:tc>
          <w:tcPr>
            <w:tcW w:w="769" w:type="dxa"/>
            <w:noWrap/>
            <w:vAlign w:val="center"/>
          </w:tcPr>
          <w:p>
            <w:pPr>
              <w:widowControl/>
              <w:spacing w:line="260" w:lineRule="exact"/>
              <w:jc w:val="center"/>
              <w:rPr>
                <w:rFonts w:ascii="宋体" w:hAnsi="宋体" w:cs="宋体"/>
                <w:b/>
                <w:color w:val="000000"/>
                <w:kern w:val="0"/>
              </w:rPr>
            </w:pPr>
            <w:r>
              <w:rPr>
                <w:rFonts w:hint="eastAsia" w:ascii="宋体" w:hAnsi="宋体" w:cs="宋体"/>
                <w:b/>
                <w:color w:val="000000"/>
                <w:kern w:val="0"/>
              </w:rPr>
              <w:t>编号</w:t>
            </w:r>
          </w:p>
        </w:tc>
        <w:tc>
          <w:tcPr>
            <w:tcW w:w="1987" w:type="dxa"/>
            <w:noWrap/>
            <w:vAlign w:val="center"/>
          </w:tcPr>
          <w:p>
            <w:pPr>
              <w:widowControl/>
              <w:spacing w:line="260" w:lineRule="exact"/>
              <w:jc w:val="center"/>
              <w:rPr>
                <w:rFonts w:ascii="宋体" w:hAnsi="宋体" w:cs="宋体"/>
                <w:b/>
                <w:color w:val="000000"/>
                <w:kern w:val="0"/>
              </w:rPr>
            </w:pPr>
            <w:r>
              <w:rPr>
                <w:rFonts w:hint="eastAsia" w:ascii="宋体" w:hAnsi="宋体" w:cs="宋体"/>
                <w:b/>
                <w:color w:val="000000"/>
                <w:kern w:val="0"/>
              </w:rPr>
              <w:t>部位</w:t>
            </w:r>
          </w:p>
        </w:tc>
        <w:tc>
          <w:tcPr>
            <w:tcW w:w="2552" w:type="dxa"/>
            <w:noWrap/>
            <w:vAlign w:val="center"/>
          </w:tcPr>
          <w:p>
            <w:pPr>
              <w:widowControl/>
              <w:spacing w:line="260" w:lineRule="exact"/>
              <w:jc w:val="center"/>
              <w:rPr>
                <w:rFonts w:ascii="宋体" w:hAnsi="宋体" w:cs="宋体"/>
                <w:b/>
                <w:color w:val="000000"/>
                <w:kern w:val="0"/>
              </w:rPr>
            </w:pPr>
            <w:r>
              <w:rPr>
                <w:rFonts w:hint="eastAsia" w:ascii="宋体" w:hAnsi="宋体" w:cs="宋体"/>
                <w:b/>
                <w:color w:val="000000"/>
                <w:kern w:val="0"/>
              </w:rPr>
              <w:t>技术配置及交付标准描述</w:t>
            </w:r>
          </w:p>
        </w:tc>
        <w:tc>
          <w:tcPr>
            <w:tcW w:w="1421" w:type="dxa"/>
            <w:noWrap/>
            <w:vAlign w:val="center"/>
          </w:tcPr>
          <w:p>
            <w:pPr>
              <w:widowControl/>
              <w:spacing w:line="260" w:lineRule="exact"/>
              <w:jc w:val="center"/>
              <w:rPr>
                <w:rFonts w:ascii="宋体" w:hAnsi="宋体" w:cs="宋体"/>
                <w:b/>
                <w:color w:val="000000"/>
                <w:kern w:val="0"/>
              </w:rPr>
            </w:pPr>
            <w:r>
              <w:rPr>
                <w:rFonts w:hint="eastAsia" w:ascii="宋体" w:hAnsi="宋体" w:cs="宋体"/>
                <w:b/>
                <w:color w:val="000000"/>
                <w:kern w:val="0"/>
              </w:rPr>
              <w:t>材料设备参考品牌</w:t>
            </w:r>
          </w:p>
        </w:tc>
        <w:tc>
          <w:tcPr>
            <w:tcW w:w="1134" w:type="dxa"/>
            <w:noWrap/>
            <w:vAlign w:val="center"/>
          </w:tcPr>
          <w:p>
            <w:pPr>
              <w:widowControl/>
              <w:spacing w:line="260" w:lineRule="exact"/>
              <w:jc w:val="center"/>
              <w:rPr>
                <w:rFonts w:ascii="宋体" w:hAnsi="宋体" w:cs="宋体"/>
                <w:b/>
                <w:color w:val="000000"/>
                <w:kern w:val="0"/>
              </w:rPr>
            </w:pPr>
            <w:r>
              <w:rPr>
                <w:rFonts w:hint="eastAsia" w:ascii="宋体" w:hAnsi="宋体" w:cs="宋体"/>
                <w:b/>
                <w:color w:val="000000"/>
                <w:kern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69" w:type="dxa"/>
            <w:noWrap/>
            <w:vAlign w:val="center"/>
          </w:tcPr>
          <w:p>
            <w:pPr>
              <w:widowControl/>
              <w:spacing w:line="260" w:lineRule="exact"/>
              <w:jc w:val="center"/>
              <w:rPr>
                <w:rFonts w:ascii="宋体" w:hAnsi="宋体" w:cs="宋体"/>
                <w:color w:val="000000"/>
                <w:kern w:val="0"/>
              </w:rPr>
            </w:pPr>
          </w:p>
          <w:p>
            <w:pPr>
              <w:widowControl/>
              <w:spacing w:line="260" w:lineRule="exact"/>
              <w:jc w:val="center"/>
              <w:rPr>
                <w:rFonts w:ascii="宋体" w:hAnsi="宋体" w:cs="宋体"/>
                <w:color w:val="000000"/>
                <w:kern w:val="0"/>
              </w:rPr>
            </w:pPr>
          </w:p>
        </w:tc>
        <w:tc>
          <w:tcPr>
            <w:tcW w:w="1987" w:type="dxa"/>
            <w:noWrap/>
            <w:vAlign w:val="center"/>
          </w:tcPr>
          <w:p>
            <w:pPr>
              <w:widowControl/>
              <w:spacing w:line="260" w:lineRule="exact"/>
              <w:jc w:val="left"/>
              <w:rPr>
                <w:rFonts w:ascii="宋体" w:hAnsi="宋体" w:cs="宋体"/>
                <w:color w:val="000000"/>
                <w:kern w:val="0"/>
              </w:rPr>
            </w:pPr>
          </w:p>
        </w:tc>
        <w:tc>
          <w:tcPr>
            <w:tcW w:w="2552" w:type="dxa"/>
            <w:noWrap w:val="0"/>
            <w:vAlign w:val="center"/>
          </w:tcPr>
          <w:p>
            <w:pPr>
              <w:widowControl/>
              <w:spacing w:line="260" w:lineRule="exact"/>
              <w:jc w:val="left"/>
              <w:rPr>
                <w:rFonts w:ascii="宋体" w:hAnsi="宋体" w:cs="宋体"/>
                <w:color w:val="000000"/>
                <w:kern w:val="0"/>
              </w:rPr>
            </w:pPr>
            <w:r>
              <w:rPr>
                <w:rFonts w:hint="eastAsia" w:ascii="宋体" w:hAnsi="宋体" w:cs="宋体"/>
                <w:color w:val="000000"/>
                <w:kern w:val="0"/>
              </w:rPr>
              <w:t>　</w:t>
            </w:r>
          </w:p>
        </w:tc>
        <w:tc>
          <w:tcPr>
            <w:tcW w:w="1421" w:type="dxa"/>
            <w:noWrap/>
            <w:vAlign w:val="center"/>
          </w:tcPr>
          <w:p>
            <w:pPr>
              <w:widowControl/>
              <w:spacing w:line="260" w:lineRule="exact"/>
              <w:jc w:val="left"/>
              <w:rPr>
                <w:rFonts w:ascii="宋体" w:hAnsi="宋体" w:cs="宋体"/>
                <w:color w:val="000000"/>
                <w:kern w:val="0"/>
              </w:rPr>
            </w:pPr>
            <w:r>
              <w:rPr>
                <w:rFonts w:hint="eastAsia" w:ascii="宋体" w:hAnsi="宋体" w:cs="宋体"/>
                <w:color w:val="000000"/>
                <w:kern w:val="0"/>
              </w:rPr>
              <w:t>　</w:t>
            </w:r>
          </w:p>
        </w:tc>
        <w:tc>
          <w:tcPr>
            <w:tcW w:w="1134" w:type="dxa"/>
            <w:noWrap/>
            <w:vAlign w:val="center"/>
          </w:tcPr>
          <w:p>
            <w:pPr>
              <w:widowControl/>
              <w:spacing w:line="260" w:lineRule="exact"/>
              <w:jc w:val="left"/>
              <w:rPr>
                <w:rFonts w:ascii="宋体" w:hAnsi="宋体" w:cs="宋体"/>
                <w:color w:val="000000"/>
                <w:kern w:val="0"/>
              </w:rPr>
            </w:pPr>
            <w:r>
              <w:rPr>
                <w:rFonts w:hint="eastAsia" w:ascii="宋体" w:hAnsi="宋体"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69" w:type="dxa"/>
            <w:noWrap/>
            <w:vAlign w:val="center"/>
          </w:tcPr>
          <w:p>
            <w:pPr>
              <w:widowControl/>
              <w:spacing w:line="260" w:lineRule="exact"/>
              <w:jc w:val="center"/>
              <w:rPr>
                <w:rFonts w:ascii="宋体" w:hAnsi="宋体" w:cs="宋体"/>
                <w:color w:val="000000"/>
                <w:kern w:val="0"/>
                <w:sz w:val="20"/>
                <w:szCs w:val="20"/>
              </w:rPr>
            </w:pPr>
          </w:p>
          <w:p>
            <w:pPr>
              <w:widowControl/>
              <w:spacing w:line="260" w:lineRule="exact"/>
              <w:jc w:val="center"/>
              <w:rPr>
                <w:rFonts w:ascii="宋体" w:hAnsi="宋体" w:cs="宋体"/>
                <w:color w:val="000000"/>
                <w:kern w:val="0"/>
                <w:sz w:val="20"/>
                <w:szCs w:val="20"/>
              </w:rPr>
            </w:pPr>
          </w:p>
        </w:tc>
        <w:tc>
          <w:tcPr>
            <w:tcW w:w="1987" w:type="dxa"/>
            <w:noWrap/>
            <w:vAlign w:val="center"/>
          </w:tcPr>
          <w:p>
            <w:pPr>
              <w:widowControl/>
              <w:spacing w:line="260" w:lineRule="exact"/>
              <w:jc w:val="left"/>
              <w:rPr>
                <w:rFonts w:ascii="宋体" w:hAnsi="宋体" w:cs="宋体"/>
                <w:color w:val="000000"/>
                <w:kern w:val="0"/>
                <w:sz w:val="20"/>
                <w:szCs w:val="20"/>
              </w:rPr>
            </w:pPr>
          </w:p>
        </w:tc>
        <w:tc>
          <w:tcPr>
            <w:tcW w:w="2552" w:type="dxa"/>
            <w:noWrap w:val="0"/>
            <w:vAlign w:val="center"/>
          </w:tcPr>
          <w:p>
            <w:pPr>
              <w:widowControl/>
              <w:spacing w:line="260" w:lineRule="exact"/>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421" w:type="dxa"/>
            <w:noWrap/>
            <w:vAlign w:val="center"/>
          </w:tcPr>
          <w:p>
            <w:pPr>
              <w:widowControl/>
              <w:spacing w:line="260" w:lineRule="exact"/>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134" w:type="dxa"/>
            <w:noWrap/>
            <w:vAlign w:val="center"/>
          </w:tcPr>
          <w:p>
            <w:pPr>
              <w:widowControl/>
              <w:spacing w:line="260" w:lineRule="exact"/>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9" w:type="dxa"/>
            <w:noWrap/>
            <w:vAlign w:val="center"/>
          </w:tcPr>
          <w:p>
            <w:pPr>
              <w:widowControl/>
              <w:spacing w:line="260" w:lineRule="exact"/>
              <w:jc w:val="center"/>
              <w:rPr>
                <w:rFonts w:ascii="宋体" w:hAnsi="宋体" w:cs="宋体"/>
                <w:color w:val="000000"/>
                <w:kern w:val="0"/>
                <w:sz w:val="20"/>
                <w:szCs w:val="20"/>
              </w:rPr>
            </w:pPr>
          </w:p>
          <w:p>
            <w:pPr>
              <w:widowControl/>
              <w:spacing w:line="260" w:lineRule="exact"/>
              <w:jc w:val="center"/>
              <w:rPr>
                <w:rFonts w:ascii="宋体" w:hAnsi="宋体" w:cs="宋体"/>
                <w:color w:val="000000"/>
                <w:kern w:val="0"/>
                <w:sz w:val="20"/>
                <w:szCs w:val="20"/>
              </w:rPr>
            </w:pPr>
          </w:p>
        </w:tc>
        <w:tc>
          <w:tcPr>
            <w:tcW w:w="1987" w:type="dxa"/>
            <w:noWrap/>
            <w:vAlign w:val="center"/>
          </w:tcPr>
          <w:p>
            <w:pPr>
              <w:widowControl/>
              <w:spacing w:line="260" w:lineRule="exact"/>
              <w:jc w:val="left"/>
              <w:rPr>
                <w:rFonts w:ascii="宋体" w:hAnsi="宋体" w:cs="宋体"/>
                <w:color w:val="000000"/>
                <w:kern w:val="0"/>
                <w:sz w:val="20"/>
                <w:szCs w:val="20"/>
              </w:rPr>
            </w:pPr>
          </w:p>
        </w:tc>
        <w:tc>
          <w:tcPr>
            <w:tcW w:w="2552" w:type="dxa"/>
            <w:noWrap w:val="0"/>
            <w:vAlign w:val="center"/>
          </w:tcPr>
          <w:p>
            <w:pPr>
              <w:widowControl/>
              <w:spacing w:line="260" w:lineRule="exact"/>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421" w:type="dxa"/>
            <w:noWrap/>
            <w:vAlign w:val="center"/>
          </w:tcPr>
          <w:p>
            <w:pPr>
              <w:widowControl/>
              <w:spacing w:line="260" w:lineRule="exact"/>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134" w:type="dxa"/>
            <w:noWrap/>
            <w:vAlign w:val="center"/>
          </w:tcPr>
          <w:p>
            <w:pPr>
              <w:widowControl/>
              <w:spacing w:line="260" w:lineRule="exact"/>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69" w:type="dxa"/>
            <w:noWrap/>
            <w:vAlign w:val="center"/>
          </w:tcPr>
          <w:p>
            <w:pPr>
              <w:widowControl/>
              <w:spacing w:line="260" w:lineRule="exact"/>
              <w:jc w:val="center"/>
              <w:rPr>
                <w:rFonts w:ascii="宋体" w:hAnsi="宋体" w:cs="宋体"/>
                <w:color w:val="000000"/>
                <w:kern w:val="0"/>
                <w:sz w:val="20"/>
                <w:szCs w:val="20"/>
              </w:rPr>
            </w:pPr>
          </w:p>
          <w:p>
            <w:pPr>
              <w:widowControl/>
              <w:spacing w:line="260" w:lineRule="exact"/>
              <w:jc w:val="center"/>
              <w:rPr>
                <w:rFonts w:ascii="宋体" w:hAnsi="宋体" w:cs="宋体"/>
                <w:color w:val="000000"/>
                <w:kern w:val="0"/>
                <w:sz w:val="20"/>
                <w:szCs w:val="20"/>
              </w:rPr>
            </w:pPr>
          </w:p>
        </w:tc>
        <w:tc>
          <w:tcPr>
            <w:tcW w:w="1987" w:type="dxa"/>
            <w:noWrap w:val="0"/>
            <w:vAlign w:val="center"/>
          </w:tcPr>
          <w:p>
            <w:pPr>
              <w:widowControl/>
              <w:spacing w:line="260" w:lineRule="exact"/>
              <w:jc w:val="left"/>
              <w:rPr>
                <w:rFonts w:ascii="宋体" w:hAnsi="宋体" w:cs="宋体"/>
                <w:color w:val="000000"/>
                <w:kern w:val="0"/>
                <w:sz w:val="20"/>
                <w:szCs w:val="20"/>
              </w:rPr>
            </w:pPr>
          </w:p>
        </w:tc>
        <w:tc>
          <w:tcPr>
            <w:tcW w:w="2552" w:type="dxa"/>
            <w:noWrap w:val="0"/>
            <w:vAlign w:val="center"/>
          </w:tcPr>
          <w:p>
            <w:pPr>
              <w:widowControl/>
              <w:spacing w:line="260" w:lineRule="exact"/>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421" w:type="dxa"/>
            <w:noWrap/>
            <w:vAlign w:val="center"/>
          </w:tcPr>
          <w:p>
            <w:pPr>
              <w:widowControl/>
              <w:spacing w:line="260" w:lineRule="exact"/>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134" w:type="dxa"/>
            <w:noWrap/>
            <w:vAlign w:val="center"/>
          </w:tcPr>
          <w:p>
            <w:pPr>
              <w:widowControl/>
              <w:spacing w:line="260" w:lineRule="exact"/>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69" w:type="dxa"/>
            <w:noWrap/>
            <w:vAlign w:val="center"/>
          </w:tcPr>
          <w:p>
            <w:pPr>
              <w:widowControl/>
              <w:spacing w:line="260" w:lineRule="exact"/>
              <w:jc w:val="center"/>
              <w:rPr>
                <w:rFonts w:ascii="宋体" w:hAnsi="宋体" w:cs="宋体"/>
                <w:color w:val="000000"/>
                <w:kern w:val="0"/>
                <w:sz w:val="20"/>
                <w:szCs w:val="20"/>
              </w:rPr>
            </w:pPr>
          </w:p>
          <w:p>
            <w:pPr>
              <w:widowControl/>
              <w:spacing w:line="260" w:lineRule="exact"/>
              <w:jc w:val="center"/>
              <w:rPr>
                <w:rFonts w:ascii="宋体" w:hAnsi="宋体" w:cs="宋体"/>
                <w:color w:val="000000"/>
                <w:kern w:val="0"/>
                <w:sz w:val="20"/>
                <w:szCs w:val="20"/>
              </w:rPr>
            </w:pPr>
          </w:p>
        </w:tc>
        <w:tc>
          <w:tcPr>
            <w:tcW w:w="1987" w:type="dxa"/>
            <w:noWrap w:val="0"/>
            <w:vAlign w:val="center"/>
          </w:tcPr>
          <w:p>
            <w:pPr>
              <w:widowControl/>
              <w:spacing w:line="260" w:lineRule="exact"/>
              <w:jc w:val="left"/>
              <w:rPr>
                <w:rFonts w:ascii="宋体" w:hAnsi="宋体" w:cs="宋体"/>
                <w:color w:val="000000"/>
                <w:kern w:val="0"/>
                <w:sz w:val="20"/>
                <w:szCs w:val="20"/>
              </w:rPr>
            </w:pPr>
          </w:p>
        </w:tc>
        <w:tc>
          <w:tcPr>
            <w:tcW w:w="2552" w:type="dxa"/>
            <w:noWrap w:val="0"/>
            <w:vAlign w:val="center"/>
          </w:tcPr>
          <w:p>
            <w:pPr>
              <w:widowControl/>
              <w:spacing w:line="260" w:lineRule="exact"/>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421" w:type="dxa"/>
            <w:noWrap/>
            <w:vAlign w:val="center"/>
          </w:tcPr>
          <w:p>
            <w:pPr>
              <w:widowControl/>
              <w:spacing w:line="260" w:lineRule="exact"/>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134" w:type="dxa"/>
            <w:noWrap/>
            <w:vAlign w:val="center"/>
          </w:tcPr>
          <w:p>
            <w:pPr>
              <w:widowControl/>
              <w:spacing w:line="260" w:lineRule="exact"/>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69" w:type="dxa"/>
            <w:noWrap/>
            <w:vAlign w:val="center"/>
          </w:tcPr>
          <w:p>
            <w:pPr>
              <w:widowControl/>
              <w:spacing w:line="260" w:lineRule="exact"/>
              <w:jc w:val="center"/>
              <w:rPr>
                <w:rFonts w:ascii="宋体" w:hAnsi="宋体" w:cs="宋体"/>
                <w:color w:val="000000"/>
                <w:kern w:val="0"/>
                <w:sz w:val="20"/>
                <w:szCs w:val="20"/>
              </w:rPr>
            </w:pPr>
          </w:p>
        </w:tc>
        <w:tc>
          <w:tcPr>
            <w:tcW w:w="1987" w:type="dxa"/>
            <w:noWrap w:val="0"/>
            <w:vAlign w:val="center"/>
          </w:tcPr>
          <w:p>
            <w:pPr>
              <w:widowControl/>
              <w:spacing w:line="260" w:lineRule="exact"/>
              <w:jc w:val="left"/>
              <w:rPr>
                <w:rFonts w:ascii="宋体" w:hAnsi="宋体" w:cs="宋体"/>
                <w:color w:val="000000"/>
                <w:kern w:val="0"/>
                <w:sz w:val="20"/>
                <w:szCs w:val="20"/>
              </w:rPr>
            </w:pPr>
          </w:p>
        </w:tc>
        <w:tc>
          <w:tcPr>
            <w:tcW w:w="2552" w:type="dxa"/>
            <w:noWrap w:val="0"/>
            <w:vAlign w:val="center"/>
          </w:tcPr>
          <w:p>
            <w:pPr>
              <w:widowControl/>
              <w:spacing w:line="260" w:lineRule="exact"/>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421" w:type="dxa"/>
            <w:noWrap/>
            <w:vAlign w:val="center"/>
          </w:tcPr>
          <w:p>
            <w:pPr>
              <w:widowControl/>
              <w:spacing w:line="260" w:lineRule="exact"/>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134" w:type="dxa"/>
            <w:noWrap/>
            <w:vAlign w:val="center"/>
          </w:tcPr>
          <w:p>
            <w:pPr>
              <w:widowControl/>
              <w:spacing w:line="260" w:lineRule="exact"/>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69" w:type="dxa"/>
            <w:noWrap/>
            <w:vAlign w:val="center"/>
          </w:tcPr>
          <w:p>
            <w:pPr>
              <w:widowControl/>
              <w:spacing w:line="260" w:lineRule="exact"/>
              <w:jc w:val="center"/>
              <w:rPr>
                <w:rFonts w:ascii="宋体" w:hAnsi="宋体" w:cs="宋体"/>
                <w:color w:val="000000"/>
                <w:kern w:val="0"/>
                <w:sz w:val="20"/>
                <w:szCs w:val="20"/>
              </w:rPr>
            </w:pPr>
          </w:p>
        </w:tc>
        <w:tc>
          <w:tcPr>
            <w:tcW w:w="1987" w:type="dxa"/>
            <w:noWrap w:val="0"/>
            <w:vAlign w:val="center"/>
          </w:tcPr>
          <w:p>
            <w:pPr>
              <w:widowControl/>
              <w:spacing w:line="260" w:lineRule="exact"/>
              <w:jc w:val="left"/>
              <w:rPr>
                <w:rFonts w:ascii="宋体" w:hAnsi="宋体" w:cs="宋体"/>
                <w:color w:val="000000"/>
                <w:kern w:val="0"/>
                <w:sz w:val="20"/>
                <w:szCs w:val="20"/>
              </w:rPr>
            </w:pPr>
          </w:p>
        </w:tc>
        <w:tc>
          <w:tcPr>
            <w:tcW w:w="2552" w:type="dxa"/>
            <w:noWrap w:val="0"/>
            <w:vAlign w:val="center"/>
          </w:tcPr>
          <w:p>
            <w:pPr>
              <w:widowControl/>
              <w:spacing w:line="260" w:lineRule="exact"/>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421" w:type="dxa"/>
            <w:noWrap/>
            <w:vAlign w:val="center"/>
          </w:tcPr>
          <w:p>
            <w:pPr>
              <w:widowControl/>
              <w:spacing w:line="260" w:lineRule="exact"/>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134" w:type="dxa"/>
            <w:noWrap/>
            <w:vAlign w:val="center"/>
          </w:tcPr>
          <w:p>
            <w:pPr>
              <w:widowControl/>
              <w:spacing w:line="260" w:lineRule="exact"/>
              <w:jc w:val="left"/>
              <w:rPr>
                <w:rFonts w:ascii="宋体" w:hAnsi="宋体" w:cs="宋体"/>
                <w:color w:val="000000"/>
                <w:kern w:val="0"/>
                <w:sz w:val="20"/>
                <w:szCs w:val="20"/>
              </w:rPr>
            </w:pPr>
            <w:r>
              <w:rPr>
                <w:rFonts w:hint="eastAsia" w:ascii="宋体" w:hAnsi="宋体" w:cs="宋体"/>
                <w:color w:val="000000"/>
                <w:kern w:val="0"/>
                <w:sz w:val="20"/>
                <w:szCs w:val="20"/>
              </w:rPr>
              <w:t>　</w:t>
            </w:r>
          </w:p>
        </w:tc>
      </w:tr>
    </w:tbl>
    <w:p>
      <w:pPr>
        <w:spacing w:line="360" w:lineRule="auto"/>
        <w:rPr>
          <w:rFonts w:ascii="宋体" w:hAnsi="宋体"/>
        </w:rPr>
      </w:pPr>
      <w:r>
        <w:rPr>
          <w:rFonts w:hint="eastAsia" w:hAnsi="黑体"/>
          <w:sz w:val="32"/>
          <w:szCs w:val="32"/>
        </w:rPr>
        <w:t xml:space="preserve"> </w:t>
      </w:r>
      <w:r>
        <w:rPr>
          <w:rFonts w:hint="eastAsia" w:ascii="宋体" w:hAnsi="宋体"/>
        </w:rPr>
        <w:t>备注：材料设备参考品牌要选取三个以上性价比相当的品牌或者注明“相当于**品牌”。</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6.定位放线的基准点、基准线和基准标高。</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7.发包人取得的有关审批、核准和备案材料，如规划许可证。</w:t>
      </w:r>
    </w:p>
    <w:p>
      <w:pPr>
        <w:pStyle w:val="76"/>
        <w:adjustRightInd w:val="0"/>
        <w:snapToGrid w:val="0"/>
        <w:spacing w:beforeAutospacing="0" w:afterAutospacing="0" w:line="400" w:lineRule="exact"/>
        <w:ind w:firstLine="420" w:firstLineChars="200"/>
        <w:jc w:val="both"/>
        <w:rPr>
          <w:rFonts w:hint="eastAsia"/>
          <w:color w:val="000000"/>
          <w:kern w:val="2"/>
          <w:sz w:val="21"/>
          <w:szCs w:val="21"/>
        </w:rPr>
      </w:pPr>
      <w:r>
        <w:rPr>
          <w:rFonts w:hint="eastAsia"/>
          <w:color w:val="000000"/>
          <w:kern w:val="2"/>
          <w:sz w:val="21"/>
          <w:szCs w:val="21"/>
        </w:rPr>
        <w:t>8.其他资料</w:t>
      </w:r>
    </w:p>
    <w:p>
      <w:pPr>
        <w:pStyle w:val="76"/>
        <w:adjustRightInd w:val="0"/>
        <w:snapToGrid w:val="0"/>
        <w:spacing w:beforeAutospacing="0" w:afterAutospacing="0" w:line="400" w:lineRule="exact"/>
        <w:ind w:firstLine="420" w:firstLineChars="200"/>
        <w:jc w:val="both"/>
        <w:rPr>
          <w:rFonts w:hint="eastAsia"/>
          <w:color w:val="000000"/>
          <w:kern w:val="2"/>
          <w:sz w:val="21"/>
          <w:szCs w:val="21"/>
        </w:rPr>
      </w:pPr>
      <w:r>
        <w:rPr>
          <w:rFonts w:hint="eastAsia"/>
          <w:color w:val="000000"/>
          <w:kern w:val="2"/>
          <w:sz w:val="21"/>
          <w:szCs w:val="21"/>
        </w:rPr>
        <w:fldChar w:fldCharType="begin"/>
      </w:r>
      <w:r>
        <w:rPr>
          <w:rFonts w:hint="eastAsia"/>
          <w:color w:val="000000"/>
          <w:kern w:val="2"/>
          <w:sz w:val="21"/>
          <w:szCs w:val="21"/>
        </w:rPr>
        <w:instrText xml:space="preserve"> = 1 \* GB3 \* MERGEFORMAT </w:instrText>
      </w:r>
      <w:r>
        <w:rPr>
          <w:rFonts w:hint="eastAsia"/>
          <w:color w:val="000000"/>
          <w:kern w:val="2"/>
          <w:sz w:val="21"/>
          <w:szCs w:val="21"/>
        </w:rPr>
        <w:fldChar w:fldCharType="separate"/>
      </w:r>
      <w:r>
        <w:rPr>
          <w:rFonts w:hint="eastAsia"/>
          <w:color w:val="000000"/>
          <w:kern w:val="2"/>
          <w:sz w:val="21"/>
          <w:szCs w:val="21"/>
        </w:rPr>
        <w:t>①</w:t>
      </w:r>
      <w:r>
        <w:rPr>
          <w:rFonts w:hint="eastAsia"/>
          <w:color w:val="000000"/>
          <w:kern w:val="2"/>
          <w:sz w:val="21"/>
          <w:szCs w:val="21"/>
        </w:rPr>
        <w:fldChar w:fldCharType="end"/>
      </w:r>
      <w:r>
        <w:rPr>
          <w:rFonts w:hint="eastAsia"/>
          <w:color w:val="000000"/>
          <w:kern w:val="2"/>
          <w:sz w:val="21"/>
          <w:szCs w:val="21"/>
        </w:rPr>
        <w:t>本工程暂列金额为</w:t>
      </w:r>
      <w:r>
        <w:rPr>
          <w:rFonts w:hint="eastAsia"/>
          <w:color w:val="000000"/>
          <w:kern w:val="2"/>
          <w:sz w:val="21"/>
          <w:szCs w:val="21"/>
          <w:u w:val="single"/>
        </w:rPr>
        <w:t xml:space="preserve">        </w:t>
      </w:r>
      <w:r>
        <w:rPr>
          <w:rFonts w:hint="eastAsia"/>
          <w:color w:val="000000"/>
          <w:kern w:val="2"/>
          <w:sz w:val="21"/>
          <w:szCs w:val="21"/>
        </w:rPr>
        <w:t>元（由招标人估算并根据《暂列金额明细表》填写），作为合同签订时尚未确定或者不可预见但施工中可能发生的费用。</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②本工程</w:t>
      </w:r>
      <w:r>
        <w:rPr>
          <w:rFonts w:hint="eastAsia" w:ascii="宋体" w:hAnsi="宋体" w:cs="宋体"/>
          <w:color w:val="000000"/>
          <w:szCs w:val="21"/>
          <w:u w:val="single"/>
        </w:rPr>
        <w:t xml:space="preserve"> </w:t>
      </w:r>
      <w:r>
        <w:rPr>
          <w:rFonts w:hint="eastAsia" w:ascii="宋体" w:hAnsi="宋体" w:cs="宋体"/>
          <w:color w:val="000000"/>
          <w:szCs w:val="21"/>
          <w:u w:val="single"/>
        </w:rPr>
        <w:sym w:font="Wingdings 2" w:char="00A3"/>
      </w:r>
      <w:r>
        <w:rPr>
          <w:rFonts w:hint="eastAsia" w:ascii="宋体" w:hAnsi="宋体" w:cs="宋体"/>
          <w:color w:val="000000"/>
          <w:szCs w:val="21"/>
          <w:u w:val="single"/>
        </w:rPr>
        <w:t xml:space="preserve">有 </w:t>
      </w:r>
      <w:r>
        <w:rPr>
          <w:rFonts w:hint="eastAsia" w:ascii="宋体" w:hAnsi="宋体" w:cs="宋体"/>
          <w:color w:val="000000"/>
          <w:szCs w:val="21"/>
          <w:u w:val="single"/>
        </w:rPr>
        <w:sym w:font="Wingdings 2" w:char="00A3"/>
      </w:r>
      <w:r>
        <w:rPr>
          <w:rFonts w:hint="eastAsia" w:ascii="宋体" w:hAnsi="宋体" w:cs="宋体"/>
          <w:color w:val="000000"/>
          <w:szCs w:val="21"/>
        </w:rPr>
        <w:t>无材料和设备暂估价，具体详见《材料（工程设备）暂估单价及调整表》，结算按实调整。</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③本工程</w:t>
      </w:r>
      <w:r>
        <w:rPr>
          <w:rFonts w:hint="eastAsia" w:ascii="宋体" w:hAnsi="宋体" w:cs="宋体"/>
          <w:color w:val="000000"/>
          <w:szCs w:val="21"/>
          <w:u w:val="single"/>
        </w:rPr>
        <w:t xml:space="preserve"> </w:t>
      </w:r>
      <w:r>
        <w:rPr>
          <w:rFonts w:hint="eastAsia" w:ascii="宋体" w:hAnsi="宋体" w:cs="宋体"/>
          <w:color w:val="000000"/>
          <w:szCs w:val="21"/>
          <w:u w:val="single"/>
        </w:rPr>
        <w:sym w:font="Wingdings 2" w:char="00A3"/>
      </w:r>
      <w:r>
        <w:rPr>
          <w:rFonts w:hint="eastAsia" w:ascii="宋体" w:hAnsi="宋体" w:cs="宋体"/>
          <w:color w:val="000000"/>
          <w:szCs w:val="21"/>
          <w:u w:val="single"/>
        </w:rPr>
        <w:t xml:space="preserve">有 </w:t>
      </w:r>
      <w:r>
        <w:rPr>
          <w:rFonts w:hint="eastAsia" w:ascii="宋体" w:hAnsi="宋体" w:cs="宋体"/>
          <w:color w:val="000000"/>
          <w:szCs w:val="21"/>
          <w:u w:val="single"/>
        </w:rPr>
        <w:sym w:font="Wingdings 2" w:char="00A3"/>
      </w:r>
      <w:r>
        <w:rPr>
          <w:rFonts w:hint="eastAsia" w:ascii="宋体" w:hAnsi="宋体" w:cs="宋体"/>
          <w:color w:val="000000"/>
          <w:szCs w:val="21"/>
          <w:u w:val="single"/>
        </w:rPr>
        <w:t>无</w:t>
      </w:r>
      <w:r>
        <w:rPr>
          <w:rFonts w:hint="eastAsia" w:ascii="宋体" w:hAnsi="宋体" w:cs="宋体"/>
          <w:color w:val="000000"/>
          <w:szCs w:val="21"/>
        </w:rPr>
        <w:t>暂估专业工程，具体详见《材料（工程设备）暂估单价及调整表》填写，结算按实调整。</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fldChar w:fldCharType="begin"/>
      </w:r>
      <w:r>
        <w:rPr>
          <w:rFonts w:hint="eastAsia" w:ascii="宋体" w:hAnsi="宋体" w:cs="宋体"/>
          <w:color w:val="000000"/>
          <w:szCs w:val="21"/>
        </w:rPr>
        <w:instrText xml:space="preserve"> = 4 \* GB3 \* MERGEFORMAT </w:instrText>
      </w:r>
      <w:r>
        <w:rPr>
          <w:rFonts w:hint="eastAsia" w:ascii="宋体" w:hAnsi="宋体" w:cs="宋体"/>
          <w:color w:val="000000"/>
          <w:szCs w:val="21"/>
        </w:rPr>
        <w:fldChar w:fldCharType="separate"/>
      </w:r>
      <w:r>
        <w:rPr>
          <w:rFonts w:hint="eastAsia" w:ascii="宋体" w:hAnsi="宋体" w:cs="宋体"/>
          <w:color w:val="000000"/>
          <w:szCs w:val="21"/>
        </w:rPr>
        <w:t>④</w:t>
      </w:r>
      <w:r>
        <w:rPr>
          <w:rFonts w:hint="eastAsia" w:ascii="宋体" w:hAnsi="宋体" w:cs="宋体"/>
          <w:color w:val="000000"/>
          <w:szCs w:val="21"/>
        </w:rPr>
        <w:fldChar w:fldCharType="end"/>
      </w:r>
      <w:r>
        <w:rPr>
          <w:rFonts w:hint="eastAsia" w:ascii="宋体" w:hAnsi="宋体" w:cs="宋体"/>
          <w:color w:val="000000"/>
          <w:szCs w:val="21"/>
        </w:rPr>
        <w:t>本工程</w:t>
      </w:r>
      <w:r>
        <w:rPr>
          <w:rFonts w:hint="eastAsia" w:ascii="宋体" w:hAnsi="宋体" w:cs="宋体"/>
          <w:color w:val="000000"/>
          <w:szCs w:val="21"/>
          <w:u w:val="single"/>
        </w:rPr>
        <w:sym w:font="Wingdings 2" w:char="00A3"/>
      </w:r>
      <w:r>
        <w:rPr>
          <w:rFonts w:hint="eastAsia" w:ascii="宋体" w:hAnsi="宋体" w:cs="宋体"/>
          <w:color w:val="000000"/>
          <w:szCs w:val="21"/>
          <w:u w:val="single"/>
        </w:rPr>
        <w:t xml:space="preserve">有 </w:t>
      </w:r>
      <w:r>
        <w:rPr>
          <w:rFonts w:hint="eastAsia" w:ascii="宋体" w:hAnsi="宋体" w:cs="宋体"/>
          <w:color w:val="000000"/>
          <w:szCs w:val="21"/>
          <w:u w:val="single"/>
        </w:rPr>
        <w:sym w:font="Wingdings 2" w:char="00A3"/>
      </w:r>
      <w:r>
        <w:rPr>
          <w:rFonts w:hint="eastAsia" w:ascii="宋体" w:hAnsi="宋体" w:cs="宋体"/>
          <w:color w:val="000000"/>
          <w:szCs w:val="21"/>
          <w:u w:val="single"/>
        </w:rPr>
        <w:t>无</w:t>
      </w:r>
      <w:r>
        <w:rPr>
          <w:rFonts w:hint="eastAsia" w:ascii="宋体" w:hAnsi="宋体" w:cs="宋体"/>
          <w:color w:val="000000"/>
          <w:szCs w:val="21"/>
        </w:rPr>
        <w:t>发包人提供的材料和设备，具体详见《发包人提供的材料工程设备一览表》填写。</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fldChar w:fldCharType="begin"/>
      </w:r>
      <w:r>
        <w:rPr>
          <w:rFonts w:hint="eastAsia" w:ascii="宋体" w:hAnsi="宋体" w:cs="宋体"/>
          <w:color w:val="000000"/>
          <w:szCs w:val="21"/>
        </w:rPr>
        <w:instrText xml:space="preserve"> = 5 \* GB3 \* MERGEFORMAT </w:instrText>
      </w:r>
      <w:r>
        <w:rPr>
          <w:rFonts w:hint="eastAsia" w:ascii="宋体" w:hAnsi="宋体" w:cs="宋体"/>
          <w:color w:val="000000"/>
          <w:szCs w:val="21"/>
        </w:rPr>
        <w:fldChar w:fldCharType="separate"/>
      </w:r>
      <w:r>
        <w:rPr>
          <w:rFonts w:hint="eastAsia" w:ascii="宋体" w:hAnsi="宋体" w:cs="宋体"/>
          <w:color w:val="000000"/>
          <w:szCs w:val="21"/>
        </w:rPr>
        <w:t>⑤</w:t>
      </w:r>
      <w:r>
        <w:rPr>
          <w:rFonts w:hint="eastAsia" w:ascii="宋体" w:hAnsi="宋体" w:cs="宋体"/>
          <w:color w:val="000000"/>
          <w:szCs w:val="21"/>
        </w:rPr>
        <w:fldChar w:fldCharType="end"/>
      </w:r>
      <w:r>
        <w:rPr>
          <w:rFonts w:hint="eastAsia" w:ascii="宋体" w:hAnsi="宋体" w:cs="宋体"/>
          <w:color w:val="000000"/>
          <w:szCs w:val="21"/>
        </w:rPr>
        <w:t xml:space="preserve"> 本工程允许调整的主要材料设备型号规格及其基期价格、风险系数由招标人填写，作为项目实施过程中材料和设备价格风险调整依据，具体详见《允许调整价格的主要材料和设备一览表》。</w:t>
      </w:r>
    </w:p>
    <w:p>
      <w:pPr>
        <w:spacing w:line="400" w:lineRule="exact"/>
        <w:ind w:firstLine="600"/>
        <w:rPr>
          <w:rFonts w:hint="eastAsia" w:ascii="宋体" w:hAnsi="宋体" w:cs="宋体"/>
          <w:szCs w:val="21"/>
        </w:rPr>
      </w:pPr>
      <w:r>
        <w:rPr>
          <w:rFonts w:hint="eastAsia" w:ascii="宋体" w:hAnsi="宋体" w:cs="宋体"/>
          <w:szCs w:val="21"/>
        </w:rPr>
        <w:t>三、时间要求</w:t>
      </w:r>
    </w:p>
    <w:p>
      <w:pPr>
        <w:spacing w:line="400" w:lineRule="exact"/>
        <w:ind w:firstLine="600"/>
        <w:rPr>
          <w:rFonts w:hint="eastAsia" w:ascii="宋体" w:hAnsi="宋体" w:cs="宋体"/>
          <w:szCs w:val="21"/>
        </w:rPr>
      </w:pPr>
      <w:r>
        <w:rPr>
          <w:rFonts w:hint="eastAsia" w:ascii="宋体" w:hAnsi="宋体" w:cs="宋体"/>
          <w:szCs w:val="21"/>
        </w:rPr>
        <w:t>（一）开始工作时间。</w:t>
      </w:r>
    </w:p>
    <w:p>
      <w:pPr>
        <w:spacing w:line="400" w:lineRule="exact"/>
        <w:ind w:firstLine="600"/>
        <w:rPr>
          <w:rFonts w:hint="eastAsia" w:ascii="宋体" w:hAnsi="宋体" w:cs="宋体"/>
          <w:szCs w:val="21"/>
        </w:rPr>
      </w:pPr>
      <w:r>
        <w:rPr>
          <w:rFonts w:hint="eastAsia" w:ascii="宋体" w:hAnsi="宋体" w:cs="宋体"/>
          <w:szCs w:val="21"/>
        </w:rPr>
        <w:t>（二）设计完成时间。</w:t>
      </w:r>
    </w:p>
    <w:p>
      <w:pPr>
        <w:spacing w:line="400" w:lineRule="exact"/>
        <w:ind w:firstLine="600"/>
        <w:rPr>
          <w:rFonts w:hint="eastAsia" w:ascii="宋体" w:hAnsi="宋体" w:cs="宋体"/>
          <w:szCs w:val="21"/>
        </w:rPr>
      </w:pPr>
      <w:r>
        <w:rPr>
          <w:rFonts w:hint="eastAsia" w:ascii="宋体" w:hAnsi="宋体" w:cs="宋体"/>
          <w:szCs w:val="21"/>
        </w:rPr>
        <w:t>（三）进度计划。</w:t>
      </w:r>
    </w:p>
    <w:p>
      <w:pPr>
        <w:spacing w:line="400" w:lineRule="exact"/>
        <w:ind w:firstLine="600"/>
        <w:rPr>
          <w:rFonts w:hint="eastAsia" w:ascii="宋体" w:hAnsi="宋体" w:cs="宋体"/>
          <w:szCs w:val="21"/>
        </w:rPr>
      </w:pPr>
      <w:r>
        <w:rPr>
          <w:rFonts w:hint="eastAsia" w:ascii="宋体" w:hAnsi="宋体" w:cs="宋体"/>
          <w:szCs w:val="21"/>
        </w:rPr>
        <w:t>（四）竣工时间。</w:t>
      </w:r>
    </w:p>
    <w:p>
      <w:pPr>
        <w:spacing w:line="400" w:lineRule="exact"/>
        <w:ind w:firstLine="600"/>
        <w:rPr>
          <w:rFonts w:hint="eastAsia" w:ascii="宋体" w:hAnsi="宋体" w:cs="宋体"/>
          <w:szCs w:val="21"/>
        </w:rPr>
      </w:pPr>
      <w:r>
        <w:rPr>
          <w:rFonts w:hint="eastAsia" w:ascii="宋体" w:hAnsi="宋体" w:cs="宋体"/>
          <w:szCs w:val="21"/>
        </w:rPr>
        <w:t>（五）缺陷责任期。</w:t>
      </w:r>
    </w:p>
    <w:p>
      <w:pPr>
        <w:spacing w:line="400" w:lineRule="exact"/>
        <w:ind w:firstLine="600"/>
        <w:rPr>
          <w:rFonts w:hint="eastAsia" w:ascii="宋体" w:hAnsi="宋体" w:cs="宋体"/>
          <w:szCs w:val="21"/>
        </w:rPr>
      </w:pPr>
      <w:r>
        <w:rPr>
          <w:rFonts w:hint="eastAsia" w:ascii="宋体" w:hAnsi="宋体" w:cs="宋体"/>
          <w:szCs w:val="21"/>
        </w:rPr>
        <w:t>（六）其他时间要求。</w:t>
      </w:r>
    </w:p>
    <w:p>
      <w:pPr>
        <w:spacing w:line="400" w:lineRule="exact"/>
        <w:ind w:firstLine="600"/>
        <w:rPr>
          <w:rFonts w:hint="eastAsia" w:ascii="宋体" w:hAnsi="宋体" w:cs="宋体"/>
          <w:szCs w:val="21"/>
        </w:rPr>
      </w:pPr>
      <w:r>
        <w:rPr>
          <w:rFonts w:hint="eastAsia" w:ascii="宋体" w:hAnsi="宋体" w:cs="宋体"/>
          <w:szCs w:val="21"/>
        </w:rPr>
        <w:t>四、技术要求</w:t>
      </w:r>
    </w:p>
    <w:p>
      <w:pPr>
        <w:spacing w:line="400" w:lineRule="exact"/>
        <w:ind w:firstLine="600"/>
        <w:rPr>
          <w:rFonts w:hint="eastAsia" w:ascii="宋体" w:hAnsi="宋体" w:cs="宋体"/>
          <w:szCs w:val="21"/>
        </w:rPr>
      </w:pPr>
      <w:r>
        <w:rPr>
          <w:rFonts w:hint="eastAsia" w:ascii="宋体" w:hAnsi="宋体" w:cs="宋体"/>
          <w:szCs w:val="21"/>
        </w:rPr>
        <w:t>（一）设计标准和规范。</w:t>
      </w:r>
    </w:p>
    <w:p>
      <w:pPr>
        <w:spacing w:line="400" w:lineRule="exact"/>
        <w:ind w:firstLine="600"/>
        <w:rPr>
          <w:rFonts w:hint="eastAsia" w:ascii="宋体" w:hAnsi="宋体" w:cs="宋体"/>
          <w:szCs w:val="21"/>
        </w:rPr>
      </w:pPr>
      <w:r>
        <w:rPr>
          <w:rFonts w:hint="eastAsia" w:ascii="宋体" w:hAnsi="宋体" w:cs="宋体"/>
          <w:szCs w:val="21"/>
        </w:rPr>
        <w:t>（二）技术标准和要求。</w:t>
      </w:r>
    </w:p>
    <w:p>
      <w:pPr>
        <w:spacing w:line="400" w:lineRule="exact"/>
        <w:ind w:firstLine="600"/>
        <w:rPr>
          <w:rFonts w:hint="eastAsia" w:ascii="宋体" w:hAnsi="宋体" w:cs="宋体"/>
          <w:szCs w:val="21"/>
        </w:rPr>
      </w:pPr>
      <w:r>
        <w:rPr>
          <w:rFonts w:hint="eastAsia" w:ascii="宋体" w:hAnsi="宋体" w:cs="宋体"/>
          <w:szCs w:val="21"/>
        </w:rPr>
        <w:t>（三）质量标准。</w:t>
      </w:r>
    </w:p>
    <w:p>
      <w:pPr>
        <w:spacing w:line="400" w:lineRule="exact"/>
        <w:ind w:firstLine="600"/>
        <w:rPr>
          <w:rFonts w:hint="eastAsia" w:ascii="宋体" w:hAnsi="宋体" w:cs="宋体"/>
          <w:szCs w:val="21"/>
        </w:rPr>
      </w:pPr>
      <w:r>
        <w:rPr>
          <w:rFonts w:hint="eastAsia" w:ascii="宋体" w:hAnsi="宋体" w:cs="宋体"/>
          <w:szCs w:val="21"/>
        </w:rPr>
        <w:t>（四）样品。</w:t>
      </w:r>
    </w:p>
    <w:p>
      <w:pPr>
        <w:spacing w:line="400" w:lineRule="exact"/>
        <w:ind w:firstLine="600"/>
        <w:rPr>
          <w:rFonts w:hint="eastAsia" w:ascii="宋体" w:hAnsi="宋体" w:cs="宋体"/>
          <w:szCs w:val="21"/>
        </w:rPr>
      </w:pPr>
      <w:r>
        <w:rPr>
          <w:rFonts w:hint="eastAsia" w:ascii="宋体" w:hAnsi="宋体" w:cs="宋体"/>
          <w:szCs w:val="21"/>
        </w:rPr>
        <w:t>（五）其他。</w:t>
      </w:r>
    </w:p>
    <w:p>
      <w:pPr>
        <w:jc w:val="left"/>
      </w:pPr>
    </w:p>
    <w:p>
      <w:pPr>
        <w:jc w:val="left"/>
      </w:pPr>
    </w:p>
    <w:p>
      <w:pPr>
        <w:jc w:val="left"/>
      </w:pPr>
    </w:p>
    <w:p>
      <w:pPr>
        <w:jc w:val="left"/>
      </w:pPr>
    </w:p>
    <w:p>
      <w:pPr>
        <w:spacing w:line="440" w:lineRule="exact"/>
        <w:ind w:firstLine="420" w:firstLineChars="200"/>
        <w:rPr>
          <w:rFonts w:hint="eastAsia"/>
          <w:color w:val="000000"/>
          <w:szCs w:val="21"/>
        </w:rPr>
      </w:pPr>
    </w:p>
    <w:p>
      <w:pPr>
        <w:pStyle w:val="2"/>
        <w:numPr>
          <w:ilvl w:val="0"/>
          <w:numId w:val="6"/>
        </w:numPr>
        <w:jc w:val="center"/>
        <w:rPr>
          <w:rFonts w:hint="eastAsia"/>
          <w:color w:val="000000"/>
        </w:rPr>
      </w:pPr>
      <w:r>
        <w:rPr>
          <w:rFonts w:ascii="宋体" w:hAnsi="宋体"/>
          <w:color w:val="000000"/>
          <w:szCs w:val="21"/>
        </w:rPr>
        <w:br w:type="page"/>
      </w:r>
      <w:bookmarkStart w:id="1718" w:name="_Toc59203258"/>
      <w:bookmarkStart w:id="1719" w:name="_Toc419320415"/>
      <w:bookmarkStart w:id="1720" w:name="_Toc404006880"/>
      <w:bookmarkStart w:id="1721" w:name="_Toc419321451"/>
      <w:bookmarkStart w:id="1722" w:name="_Toc247527826"/>
      <w:bookmarkStart w:id="1723" w:name="_Toc247514245"/>
      <w:r>
        <w:rPr>
          <w:rFonts w:hint="eastAsia"/>
          <w:color w:val="000000"/>
        </w:rPr>
        <w:t>工程量清单及招标控制价</w:t>
      </w:r>
      <w:bookmarkEnd w:id="1718"/>
    </w:p>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1.初步设计完成后工程总承包项目</w:t>
      </w:r>
    </w:p>
    <w:p>
      <w:pPr>
        <w:pStyle w:val="76"/>
        <w:adjustRightInd w:val="0"/>
        <w:snapToGrid w:val="0"/>
        <w:spacing w:beforeAutospacing="0" w:afterAutospacing="0" w:line="360" w:lineRule="auto"/>
        <w:ind w:firstLine="420" w:firstLineChars="200"/>
        <w:jc w:val="both"/>
        <w:rPr>
          <w:rFonts w:hint="eastAsia" w:cs="仿宋_GB2312"/>
          <w:color w:val="000000"/>
          <w:sz w:val="21"/>
          <w:szCs w:val="21"/>
          <w:shd w:val="clear" w:color="auto" w:fill="FFFFFF"/>
        </w:rPr>
      </w:pPr>
      <w:r>
        <w:rPr>
          <w:rFonts w:hint="eastAsia" w:cs="仿宋_GB2312"/>
          <w:color w:val="000000"/>
          <w:sz w:val="21"/>
          <w:szCs w:val="21"/>
          <w:shd w:val="clear" w:color="auto" w:fill="FFFFFF"/>
        </w:rPr>
        <w:t>1.1工程量清单编制</w:t>
      </w:r>
    </w:p>
    <w:p>
      <w:pPr>
        <w:pStyle w:val="76"/>
        <w:adjustRightInd w:val="0"/>
        <w:snapToGrid w:val="0"/>
        <w:spacing w:beforeAutospacing="0" w:afterAutospacing="0" w:line="360" w:lineRule="auto"/>
        <w:ind w:firstLine="420" w:firstLineChars="200"/>
        <w:jc w:val="both"/>
        <w:rPr>
          <w:rFonts w:hint="eastAsia" w:cs="仿宋_GB2312"/>
          <w:color w:val="000000"/>
          <w:sz w:val="21"/>
          <w:szCs w:val="21"/>
          <w:shd w:val="clear" w:color="auto" w:fill="FFFFFF"/>
        </w:rPr>
      </w:pPr>
      <w:r>
        <w:rPr>
          <w:rFonts w:hint="eastAsia" w:cs="仿宋_GB2312"/>
          <w:color w:val="000000"/>
          <w:sz w:val="21"/>
          <w:szCs w:val="21"/>
          <w:shd w:val="clear" w:color="auto" w:fill="FFFFFF"/>
        </w:rPr>
        <w:t>招标人不提供统一的工程量清单</w:t>
      </w:r>
      <w:r>
        <w:rPr>
          <w:rFonts w:hint="eastAsia" w:cs="楷体_GB2312"/>
          <w:bCs/>
          <w:color w:val="000000"/>
          <w:sz w:val="21"/>
          <w:szCs w:val="21"/>
          <w:shd w:val="clear" w:color="auto" w:fill="FFFFFF"/>
        </w:rPr>
        <w:t>。但为使招投标人按照统一的计量计价规则编制计价文件，</w:t>
      </w:r>
      <w:r>
        <w:rPr>
          <w:rFonts w:hint="eastAsia" w:cs="仿宋_GB2312"/>
          <w:color w:val="000000"/>
          <w:sz w:val="21"/>
          <w:szCs w:val="21"/>
          <w:shd w:val="clear" w:color="auto" w:fill="FFFFFF"/>
        </w:rPr>
        <w:t>如采用工程量清单计价法，招标人及投标人应根据</w:t>
      </w:r>
      <w:r>
        <w:rPr>
          <w:rFonts w:hint="eastAsia"/>
          <w:color w:val="000000"/>
          <w:sz w:val="21"/>
          <w:szCs w:val="21"/>
        </w:rPr>
        <w:t>《建设工程工程量清单计价规范（</w:t>
      </w:r>
      <w:r>
        <w:rPr>
          <w:color w:val="000000"/>
          <w:sz w:val="21"/>
          <w:szCs w:val="21"/>
        </w:rPr>
        <w:t>GB50500-2013</w:t>
      </w:r>
      <w:r>
        <w:rPr>
          <w:rFonts w:hint="eastAsia"/>
          <w:color w:val="000000"/>
          <w:sz w:val="21"/>
          <w:szCs w:val="21"/>
        </w:rPr>
        <w:t>）广西实施细则》（以下简称</w:t>
      </w:r>
      <w:r>
        <w:rPr>
          <w:color w:val="000000"/>
          <w:sz w:val="21"/>
          <w:szCs w:val="21"/>
        </w:rPr>
        <w:t>“</w:t>
      </w:r>
      <w:r>
        <w:rPr>
          <w:rFonts w:hint="eastAsia"/>
          <w:color w:val="000000"/>
          <w:sz w:val="21"/>
          <w:szCs w:val="21"/>
        </w:rPr>
        <w:t>《计价规范》</w:t>
      </w:r>
      <w:r>
        <w:rPr>
          <w:color w:val="000000"/>
          <w:sz w:val="21"/>
          <w:szCs w:val="21"/>
        </w:rPr>
        <w:t>”</w:t>
      </w:r>
      <w:r>
        <w:rPr>
          <w:rFonts w:hint="eastAsia"/>
          <w:color w:val="000000"/>
          <w:sz w:val="21"/>
          <w:szCs w:val="21"/>
        </w:rPr>
        <w:t>）、各专业《工程量清单计算规范（</w:t>
      </w:r>
      <w:r>
        <w:rPr>
          <w:color w:val="000000"/>
          <w:sz w:val="21"/>
          <w:szCs w:val="21"/>
        </w:rPr>
        <w:t>GB50854~50862-2013</w:t>
      </w:r>
      <w:r>
        <w:rPr>
          <w:rFonts w:hint="eastAsia"/>
          <w:color w:val="000000"/>
          <w:sz w:val="21"/>
          <w:szCs w:val="21"/>
        </w:rPr>
        <w:t>）》及广西实施细则（修订本）（以下简称</w:t>
      </w:r>
      <w:r>
        <w:rPr>
          <w:color w:val="000000"/>
          <w:sz w:val="21"/>
          <w:szCs w:val="21"/>
        </w:rPr>
        <w:t>“</w:t>
      </w:r>
      <w:r>
        <w:rPr>
          <w:rFonts w:hint="eastAsia"/>
          <w:color w:val="000000"/>
          <w:sz w:val="21"/>
          <w:szCs w:val="21"/>
        </w:rPr>
        <w:t>《计算规范》</w:t>
      </w:r>
      <w:r>
        <w:rPr>
          <w:color w:val="000000"/>
          <w:sz w:val="21"/>
          <w:szCs w:val="21"/>
        </w:rPr>
        <w:t>”</w:t>
      </w:r>
      <w:r>
        <w:rPr>
          <w:rFonts w:hint="eastAsia"/>
          <w:color w:val="000000"/>
          <w:sz w:val="21"/>
          <w:szCs w:val="21"/>
        </w:rPr>
        <w:t>）、《关于建筑业实施营业税改征增值税后广西壮族自治区建设工程计价依据调整的通知》（桂建标〔</w:t>
      </w:r>
      <w:r>
        <w:rPr>
          <w:color w:val="000000"/>
          <w:sz w:val="21"/>
          <w:szCs w:val="21"/>
        </w:rPr>
        <w:t>2016</w:t>
      </w:r>
      <w:r>
        <w:rPr>
          <w:rFonts w:hint="eastAsia"/>
          <w:color w:val="000000"/>
          <w:sz w:val="21"/>
          <w:szCs w:val="21"/>
        </w:rPr>
        <w:t>〕</w:t>
      </w:r>
      <w:r>
        <w:rPr>
          <w:color w:val="000000"/>
          <w:sz w:val="21"/>
          <w:szCs w:val="21"/>
        </w:rPr>
        <w:t>17</w:t>
      </w:r>
      <w:r>
        <w:rPr>
          <w:rFonts w:hint="eastAsia"/>
          <w:color w:val="000000"/>
          <w:sz w:val="21"/>
          <w:szCs w:val="21"/>
        </w:rPr>
        <w:t>号）、招标文件、施工图等</w:t>
      </w:r>
      <w:r>
        <w:rPr>
          <w:rFonts w:hint="eastAsia" w:cs="仿宋_GB2312"/>
          <w:color w:val="000000"/>
          <w:sz w:val="21"/>
          <w:szCs w:val="21"/>
          <w:shd w:val="clear" w:color="auto" w:fill="FFFFFF"/>
        </w:rPr>
        <w:t>自行编制工程量清单；如采用工料单价法，招标人及投标人均需按照我区现行各专业定额编号、定额子目名称、计量单位、计算规则自行设置分部分项工程子目。</w:t>
      </w:r>
    </w:p>
    <w:p>
      <w:pPr>
        <w:pStyle w:val="76"/>
        <w:adjustRightInd w:val="0"/>
        <w:snapToGrid w:val="0"/>
        <w:spacing w:beforeAutospacing="0" w:afterAutospacing="0" w:line="360" w:lineRule="auto"/>
        <w:ind w:firstLine="420" w:firstLineChars="200"/>
        <w:jc w:val="both"/>
        <w:rPr>
          <w:rFonts w:cs="仿宋_GB2312"/>
          <w:color w:val="000000"/>
          <w:sz w:val="21"/>
          <w:szCs w:val="21"/>
          <w:shd w:val="clear" w:color="auto" w:fill="FFFFFF"/>
        </w:rPr>
      </w:pPr>
      <w:r>
        <w:rPr>
          <w:rFonts w:hint="eastAsia" w:cs="仿宋_GB2312"/>
          <w:color w:val="000000"/>
          <w:sz w:val="21"/>
          <w:szCs w:val="21"/>
          <w:shd w:val="clear" w:color="auto" w:fill="FFFFFF"/>
        </w:rPr>
        <w:t>1.2招标控制价编制</w:t>
      </w:r>
    </w:p>
    <w:p>
      <w:pPr>
        <w:spacing w:line="360" w:lineRule="auto"/>
        <w:ind w:firstLine="420" w:firstLineChars="200"/>
        <w:rPr>
          <w:rFonts w:ascii="宋体" w:hAnsi="宋体"/>
          <w:color w:val="000000"/>
          <w:szCs w:val="21"/>
        </w:rPr>
      </w:pPr>
      <w:r>
        <w:rPr>
          <w:rFonts w:hint="eastAsia" w:ascii="宋体" w:hAnsi="宋体" w:cs="宋体"/>
          <w:color w:val="000000"/>
          <w:szCs w:val="21"/>
        </w:rPr>
        <w:t>1.2.1编制依据：</w:t>
      </w:r>
    </w:p>
    <w:p>
      <w:pPr>
        <w:spacing w:line="360" w:lineRule="auto"/>
        <w:ind w:firstLine="525" w:firstLineChars="250"/>
        <w:rPr>
          <w:rFonts w:ascii="宋体" w:hAnsi="宋体"/>
          <w:color w:val="000000"/>
          <w:szCs w:val="21"/>
        </w:rPr>
      </w:pPr>
      <w:r>
        <w:rPr>
          <w:rFonts w:ascii="宋体" w:hAnsi="宋体" w:cs="宋体"/>
          <w:color w:val="000000"/>
          <w:szCs w:val="21"/>
        </w:rPr>
        <w:fldChar w:fldCharType="begin"/>
      </w:r>
      <w:r>
        <w:rPr>
          <w:rFonts w:ascii="宋体" w:hAnsi="宋体" w:cs="宋体"/>
          <w:color w:val="000000"/>
          <w:szCs w:val="21"/>
        </w:rPr>
        <w:instrText xml:space="preserve"> </w:instrText>
      </w:r>
      <w:r>
        <w:rPr>
          <w:rFonts w:hint="eastAsia" w:ascii="宋体" w:hAnsi="宋体" w:cs="宋体"/>
          <w:color w:val="000000"/>
          <w:szCs w:val="21"/>
        </w:rPr>
        <w:instrText xml:space="preserve">= 1 \* GB3</w:instrText>
      </w:r>
      <w:r>
        <w:rPr>
          <w:rFonts w:ascii="宋体" w:hAnsi="宋体" w:cs="宋体"/>
          <w:color w:val="000000"/>
          <w:szCs w:val="21"/>
        </w:rPr>
        <w:instrText xml:space="preserve"> </w:instrText>
      </w:r>
      <w:r>
        <w:rPr>
          <w:rFonts w:ascii="宋体" w:hAnsi="宋体" w:cs="宋体"/>
          <w:color w:val="000000"/>
          <w:szCs w:val="21"/>
        </w:rPr>
        <w:fldChar w:fldCharType="separate"/>
      </w:r>
      <w:r>
        <w:rPr>
          <w:rFonts w:hint="eastAsia" w:ascii="宋体" w:hAnsi="宋体" w:cs="宋体"/>
          <w:color w:val="000000"/>
          <w:szCs w:val="21"/>
        </w:rPr>
        <w:t>①</w:t>
      </w:r>
      <w:r>
        <w:rPr>
          <w:rFonts w:ascii="宋体" w:hAnsi="宋体" w:cs="宋体"/>
          <w:color w:val="000000"/>
          <w:szCs w:val="21"/>
        </w:rPr>
        <w:fldChar w:fldCharType="end"/>
      </w:r>
      <w:r>
        <w:rPr>
          <w:rFonts w:hint="eastAsia" w:ascii="宋体" w:hAnsi="宋体" w:cs="宋体"/>
          <w:color w:val="000000"/>
          <w:szCs w:val="21"/>
        </w:rPr>
        <w:t>《计价规范》及《计算规范》、</w:t>
      </w:r>
      <w:r>
        <w:rPr>
          <w:rFonts w:hint="eastAsia" w:ascii="宋体" w:hAnsi="宋体" w:cs="宋体"/>
          <w:color w:val="000000"/>
          <w:kern w:val="0"/>
          <w:szCs w:val="21"/>
        </w:rPr>
        <w:t>《关于建筑业实施营业税改征增值税后广西壮族自治区建设工程计价依据调整的通知》（桂建标〔</w:t>
      </w:r>
      <w:r>
        <w:rPr>
          <w:rFonts w:ascii="宋体" w:hAnsi="宋体"/>
          <w:color w:val="000000"/>
          <w:kern w:val="0"/>
          <w:szCs w:val="21"/>
        </w:rPr>
        <w:t>2016</w:t>
      </w:r>
      <w:r>
        <w:rPr>
          <w:rFonts w:hint="eastAsia" w:ascii="宋体" w:hAnsi="宋体" w:cs="宋体"/>
          <w:color w:val="000000"/>
          <w:kern w:val="0"/>
          <w:szCs w:val="21"/>
        </w:rPr>
        <w:t>〕</w:t>
      </w:r>
      <w:r>
        <w:rPr>
          <w:rFonts w:ascii="宋体" w:hAnsi="宋体"/>
          <w:color w:val="000000"/>
          <w:kern w:val="0"/>
          <w:szCs w:val="21"/>
        </w:rPr>
        <w:t>17</w:t>
      </w:r>
      <w:r>
        <w:rPr>
          <w:rFonts w:hint="eastAsia" w:ascii="宋体" w:hAnsi="宋体" w:cs="宋体"/>
          <w:color w:val="000000"/>
          <w:kern w:val="0"/>
          <w:szCs w:val="21"/>
        </w:rPr>
        <w:t>号）等</w:t>
      </w:r>
      <w:r>
        <w:rPr>
          <w:rFonts w:hint="eastAsia" w:ascii="宋体" w:hAnsi="宋体" w:cs="宋体"/>
          <w:color w:val="000000"/>
          <w:szCs w:val="21"/>
        </w:rPr>
        <w:t>；</w:t>
      </w:r>
    </w:p>
    <w:p>
      <w:pPr>
        <w:spacing w:line="360" w:lineRule="auto"/>
        <w:ind w:firstLine="420" w:firstLineChars="200"/>
        <w:rPr>
          <w:rFonts w:ascii="宋体" w:hAnsi="宋体"/>
          <w:color w:val="000000"/>
          <w:szCs w:val="21"/>
          <w:u w:val="single"/>
        </w:rPr>
      </w:pPr>
      <w:r>
        <w:rPr>
          <w:rFonts w:ascii="宋体" w:hAnsi="宋体" w:cs="宋体"/>
          <w:color w:val="000000"/>
          <w:szCs w:val="21"/>
        </w:rPr>
        <w:fldChar w:fldCharType="begin"/>
      </w:r>
      <w:r>
        <w:rPr>
          <w:rFonts w:ascii="宋体" w:hAnsi="宋体" w:cs="宋体"/>
          <w:color w:val="000000"/>
          <w:szCs w:val="21"/>
        </w:rPr>
        <w:instrText xml:space="preserve"> </w:instrText>
      </w:r>
      <w:r>
        <w:rPr>
          <w:rFonts w:hint="eastAsia" w:ascii="宋体" w:hAnsi="宋体" w:cs="宋体"/>
          <w:color w:val="000000"/>
          <w:szCs w:val="21"/>
        </w:rPr>
        <w:instrText xml:space="preserve">= 2 \* GB3</w:instrText>
      </w:r>
      <w:r>
        <w:rPr>
          <w:rFonts w:ascii="宋体" w:hAnsi="宋体" w:cs="宋体"/>
          <w:color w:val="000000"/>
          <w:szCs w:val="21"/>
        </w:rPr>
        <w:instrText xml:space="preserve"> </w:instrText>
      </w:r>
      <w:r>
        <w:rPr>
          <w:rFonts w:ascii="宋体" w:hAnsi="宋体" w:cs="宋体"/>
          <w:color w:val="000000"/>
          <w:szCs w:val="21"/>
        </w:rPr>
        <w:fldChar w:fldCharType="separate"/>
      </w:r>
      <w:r>
        <w:rPr>
          <w:rFonts w:hint="eastAsia" w:ascii="宋体" w:hAnsi="宋体" w:cs="宋体"/>
          <w:color w:val="000000"/>
          <w:szCs w:val="21"/>
        </w:rPr>
        <w:t>②</w:t>
      </w:r>
      <w:r>
        <w:rPr>
          <w:rFonts w:ascii="宋体" w:hAnsi="宋体" w:cs="宋体"/>
          <w:color w:val="000000"/>
          <w:szCs w:val="21"/>
        </w:rPr>
        <w:fldChar w:fldCharType="end"/>
      </w:r>
      <w:r>
        <w:rPr>
          <w:rFonts w:hint="eastAsia" w:ascii="宋体" w:hAnsi="宋体" w:cs="宋体"/>
          <w:color w:val="000000"/>
          <w:szCs w:val="21"/>
        </w:rPr>
        <w:t>自治区住房城乡建设行政主管部门颁发的计价定额及有关规定：</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s="宋体"/>
          <w:color w:val="000000"/>
          <w:szCs w:val="21"/>
        </w:rPr>
        <w:t>。</w:t>
      </w:r>
    </w:p>
    <w:p>
      <w:pPr>
        <w:spacing w:line="360" w:lineRule="auto"/>
        <w:ind w:firstLine="420" w:firstLineChars="200"/>
        <w:rPr>
          <w:rFonts w:ascii="宋体" w:hAnsi="宋体"/>
          <w:color w:val="000000"/>
          <w:szCs w:val="21"/>
        </w:rPr>
      </w:pPr>
      <w:r>
        <w:rPr>
          <w:rFonts w:ascii="宋体" w:hAnsi="宋体" w:cs="宋体"/>
          <w:color w:val="000000"/>
          <w:szCs w:val="21"/>
        </w:rPr>
        <w:fldChar w:fldCharType="begin"/>
      </w:r>
      <w:r>
        <w:rPr>
          <w:rFonts w:ascii="宋体" w:hAnsi="宋体" w:cs="宋体"/>
          <w:color w:val="000000"/>
          <w:szCs w:val="21"/>
        </w:rPr>
        <w:instrText xml:space="preserve"> </w:instrText>
      </w:r>
      <w:r>
        <w:rPr>
          <w:rFonts w:hint="eastAsia" w:ascii="宋体" w:hAnsi="宋体" w:cs="宋体"/>
          <w:color w:val="000000"/>
          <w:szCs w:val="21"/>
        </w:rPr>
        <w:instrText xml:space="preserve">= 3 \* GB3</w:instrText>
      </w:r>
      <w:r>
        <w:rPr>
          <w:rFonts w:ascii="宋体" w:hAnsi="宋体" w:cs="宋体"/>
          <w:color w:val="000000"/>
          <w:szCs w:val="21"/>
        </w:rPr>
        <w:instrText xml:space="preserve"> </w:instrText>
      </w:r>
      <w:r>
        <w:rPr>
          <w:rFonts w:ascii="宋体" w:hAnsi="宋体" w:cs="宋体"/>
          <w:color w:val="000000"/>
          <w:szCs w:val="21"/>
        </w:rPr>
        <w:fldChar w:fldCharType="separate"/>
      </w:r>
      <w:r>
        <w:rPr>
          <w:rFonts w:hint="eastAsia" w:ascii="宋体" w:hAnsi="宋体" w:cs="宋体"/>
          <w:color w:val="000000"/>
          <w:szCs w:val="21"/>
        </w:rPr>
        <w:t>③</w:t>
      </w:r>
      <w:r>
        <w:rPr>
          <w:rFonts w:ascii="宋体" w:hAnsi="宋体" w:cs="宋体"/>
          <w:color w:val="000000"/>
          <w:szCs w:val="21"/>
        </w:rPr>
        <w:fldChar w:fldCharType="end"/>
      </w:r>
      <w:r>
        <w:rPr>
          <w:rFonts w:hint="eastAsia" w:ascii="宋体" w:hAnsi="宋体" w:cs="宋体"/>
          <w:color w:val="000000"/>
          <w:szCs w:val="21"/>
        </w:rPr>
        <w:t>建设工程设计文件及相关资料：</w:t>
      </w:r>
      <w:r>
        <w:rPr>
          <w:rFonts w:ascii="宋体" w:hAnsi="宋体"/>
          <w:color w:val="000000"/>
          <w:szCs w:val="21"/>
          <w:u w:val="single"/>
        </w:rPr>
        <w:t xml:space="preserve">                                      </w:t>
      </w:r>
      <w:r>
        <w:rPr>
          <w:rFonts w:hint="eastAsia" w:ascii="宋体" w:hAnsi="宋体" w:cs="宋体"/>
          <w:color w:val="000000"/>
          <w:szCs w:val="21"/>
        </w:rPr>
        <w:t>。</w:t>
      </w:r>
      <w:r>
        <w:rPr>
          <w:rFonts w:ascii="宋体" w:hAnsi="宋体"/>
          <w:color w:val="000000"/>
          <w:szCs w:val="21"/>
        </w:rPr>
        <w:t xml:space="preserve"> </w:t>
      </w:r>
    </w:p>
    <w:p>
      <w:pPr>
        <w:spacing w:line="360" w:lineRule="auto"/>
        <w:ind w:firstLine="420" w:firstLineChars="200"/>
        <w:rPr>
          <w:rFonts w:ascii="宋体" w:hAnsi="宋体"/>
          <w:color w:val="000000"/>
          <w:szCs w:val="21"/>
        </w:rPr>
      </w:pPr>
      <w:r>
        <w:rPr>
          <w:rFonts w:ascii="宋体" w:hAnsi="宋体" w:cs="宋体"/>
          <w:color w:val="000000"/>
          <w:szCs w:val="21"/>
        </w:rPr>
        <w:fldChar w:fldCharType="begin"/>
      </w:r>
      <w:r>
        <w:rPr>
          <w:rFonts w:ascii="宋体" w:hAnsi="宋体" w:cs="宋体"/>
          <w:color w:val="000000"/>
          <w:szCs w:val="21"/>
        </w:rPr>
        <w:instrText xml:space="preserve"> </w:instrText>
      </w:r>
      <w:r>
        <w:rPr>
          <w:rFonts w:hint="eastAsia" w:ascii="宋体" w:hAnsi="宋体" w:cs="宋体"/>
          <w:color w:val="000000"/>
          <w:szCs w:val="21"/>
        </w:rPr>
        <w:instrText xml:space="preserve">= 4 \* GB3</w:instrText>
      </w:r>
      <w:r>
        <w:rPr>
          <w:rFonts w:ascii="宋体" w:hAnsi="宋体" w:cs="宋体"/>
          <w:color w:val="000000"/>
          <w:szCs w:val="21"/>
        </w:rPr>
        <w:instrText xml:space="preserve"> </w:instrText>
      </w:r>
      <w:r>
        <w:rPr>
          <w:rFonts w:ascii="宋体" w:hAnsi="宋体" w:cs="宋体"/>
          <w:color w:val="000000"/>
          <w:szCs w:val="21"/>
        </w:rPr>
        <w:fldChar w:fldCharType="separate"/>
      </w:r>
      <w:r>
        <w:rPr>
          <w:rFonts w:hint="eastAsia" w:ascii="宋体" w:hAnsi="宋体" w:cs="宋体"/>
          <w:color w:val="000000"/>
          <w:szCs w:val="21"/>
        </w:rPr>
        <w:t>④</w:t>
      </w:r>
      <w:r>
        <w:rPr>
          <w:rFonts w:ascii="宋体" w:hAnsi="宋体" w:cs="宋体"/>
          <w:color w:val="000000"/>
          <w:szCs w:val="21"/>
        </w:rPr>
        <w:fldChar w:fldCharType="end"/>
      </w:r>
      <w:r>
        <w:rPr>
          <w:rFonts w:hint="eastAsia" w:ascii="宋体" w:hAnsi="宋体" w:cs="宋体"/>
          <w:color w:val="000000"/>
          <w:szCs w:val="21"/>
        </w:rPr>
        <w:t>本工程招标文件及工程量清单；</w:t>
      </w:r>
    </w:p>
    <w:p>
      <w:pPr>
        <w:spacing w:line="360" w:lineRule="auto"/>
        <w:ind w:firstLine="420" w:firstLineChars="200"/>
        <w:rPr>
          <w:rFonts w:ascii="宋体" w:hAnsi="宋体"/>
          <w:color w:val="000000"/>
          <w:szCs w:val="21"/>
        </w:rPr>
      </w:pPr>
      <w:r>
        <w:rPr>
          <w:rFonts w:ascii="宋体" w:hAnsi="宋体" w:cs="宋体"/>
          <w:color w:val="000000"/>
          <w:szCs w:val="21"/>
        </w:rPr>
        <w:fldChar w:fldCharType="begin"/>
      </w:r>
      <w:r>
        <w:rPr>
          <w:rFonts w:ascii="宋体" w:hAnsi="宋体" w:cs="宋体"/>
          <w:color w:val="000000"/>
          <w:szCs w:val="21"/>
        </w:rPr>
        <w:instrText xml:space="preserve"> </w:instrText>
      </w:r>
      <w:r>
        <w:rPr>
          <w:rFonts w:hint="eastAsia" w:ascii="宋体" w:hAnsi="宋体" w:cs="宋体"/>
          <w:color w:val="000000"/>
          <w:szCs w:val="21"/>
        </w:rPr>
        <w:instrText xml:space="preserve">= 5 \* GB3</w:instrText>
      </w:r>
      <w:r>
        <w:rPr>
          <w:rFonts w:ascii="宋体" w:hAnsi="宋体" w:cs="宋体"/>
          <w:color w:val="000000"/>
          <w:szCs w:val="21"/>
        </w:rPr>
        <w:instrText xml:space="preserve"> </w:instrText>
      </w:r>
      <w:r>
        <w:rPr>
          <w:rFonts w:ascii="宋体" w:hAnsi="宋体" w:cs="宋体"/>
          <w:color w:val="000000"/>
          <w:szCs w:val="21"/>
        </w:rPr>
        <w:fldChar w:fldCharType="separate"/>
      </w:r>
      <w:r>
        <w:rPr>
          <w:rFonts w:hint="eastAsia" w:ascii="宋体" w:hAnsi="宋体" w:cs="宋体"/>
          <w:color w:val="000000"/>
          <w:szCs w:val="21"/>
        </w:rPr>
        <w:t>⑤</w:t>
      </w:r>
      <w:r>
        <w:rPr>
          <w:rFonts w:ascii="宋体" w:hAnsi="宋体" w:cs="宋体"/>
          <w:color w:val="000000"/>
          <w:szCs w:val="21"/>
        </w:rPr>
        <w:fldChar w:fldCharType="end"/>
      </w:r>
      <w:r>
        <w:rPr>
          <w:rFonts w:hint="eastAsia" w:ascii="宋体" w:hAnsi="宋体" w:cs="宋体"/>
          <w:color w:val="000000"/>
          <w:szCs w:val="21"/>
        </w:rPr>
        <w:t>与建设项目相关的标准、规范、技术资料；</w:t>
      </w:r>
    </w:p>
    <w:p>
      <w:pPr>
        <w:spacing w:line="360" w:lineRule="auto"/>
        <w:ind w:firstLine="420" w:firstLineChars="200"/>
        <w:rPr>
          <w:rFonts w:ascii="宋体" w:hAnsi="宋体"/>
          <w:color w:val="000000"/>
          <w:szCs w:val="21"/>
        </w:rPr>
      </w:pPr>
      <w:r>
        <w:rPr>
          <w:rFonts w:ascii="宋体" w:hAnsi="宋体" w:cs="宋体"/>
          <w:color w:val="000000"/>
          <w:szCs w:val="21"/>
        </w:rPr>
        <w:fldChar w:fldCharType="begin"/>
      </w:r>
      <w:r>
        <w:rPr>
          <w:rFonts w:ascii="宋体" w:hAnsi="宋体" w:cs="宋体"/>
          <w:color w:val="000000"/>
          <w:szCs w:val="21"/>
        </w:rPr>
        <w:instrText xml:space="preserve"> </w:instrText>
      </w:r>
      <w:r>
        <w:rPr>
          <w:rFonts w:hint="eastAsia" w:ascii="宋体" w:hAnsi="宋体" w:cs="宋体"/>
          <w:color w:val="000000"/>
          <w:szCs w:val="21"/>
        </w:rPr>
        <w:instrText xml:space="preserve">= 6 \* GB3</w:instrText>
      </w:r>
      <w:r>
        <w:rPr>
          <w:rFonts w:ascii="宋体" w:hAnsi="宋体" w:cs="宋体"/>
          <w:color w:val="000000"/>
          <w:szCs w:val="21"/>
        </w:rPr>
        <w:instrText xml:space="preserve"> </w:instrText>
      </w:r>
      <w:r>
        <w:rPr>
          <w:rFonts w:ascii="宋体" w:hAnsi="宋体" w:cs="宋体"/>
          <w:color w:val="000000"/>
          <w:szCs w:val="21"/>
        </w:rPr>
        <w:fldChar w:fldCharType="separate"/>
      </w:r>
      <w:r>
        <w:rPr>
          <w:rFonts w:hint="eastAsia" w:ascii="宋体" w:hAnsi="宋体" w:cs="宋体"/>
          <w:color w:val="000000"/>
          <w:szCs w:val="21"/>
        </w:rPr>
        <w:t>⑥</w:t>
      </w:r>
      <w:r>
        <w:rPr>
          <w:rFonts w:ascii="宋体" w:hAnsi="宋体" w:cs="宋体"/>
          <w:color w:val="000000"/>
          <w:szCs w:val="21"/>
        </w:rPr>
        <w:fldChar w:fldCharType="end"/>
      </w:r>
      <w:r>
        <w:rPr>
          <w:rFonts w:hint="eastAsia" w:ascii="宋体" w:hAnsi="宋体" w:cs="宋体"/>
          <w:color w:val="000000"/>
          <w:szCs w:val="21"/>
        </w:rPr>
        <w:t>施工现场情况、工程特点及常规施工方案；</w:t>
      </w:r>
    </w:p>
    <w:p>
      <w:pPr>
        <w:spacing w:line="360" w:lineRule="auto"/>
        <w:ind w:firstLine="420" w:firstLineChars="200"/>
        <w:rPr>
          <w:rFonts w:ascii="宋体" w:hAnsi="宋体"/>
          <w:color w:val="000000"/>
          <w:szCs w:val="21"/>
        </w:rPr>
      </w:pPr>
      <w:r>
        <w:rPr>
          <w:rFonts w:ascii="宋体" w:hAnsi="宋体" w:cs="宋体"/>
          <w:color w:val="000000"/>
          <w:szCs w:val="21"/>
        </w:rPr>
        <w:fldChar w:fldCharType="begin"/>
      </w:r>
      <w:r>
        <w:rPr>
          <w:rFonts w:ascii="宋体" w:hAnsi="宋体" w:cs="宋体"/>
          <w:color w:val="000000"/>
          <w:szCs w:val="21"/>
        </w:rPr>
        <w:instrText xml:space="preserve"> </w:instrText>
      </w:r>
      <w:r>
        <w:rPr>
          <w:rFonts w:hint="eastAsia" w:ascii="宋体" w:hAnsi="宋体" w:cs="宋体"/>
          <w:color w:val="000000"/>
          <w:szCs w:val="21"/>
        </w:rPr>
        <w:instrText xml:space="preserve">= 7 \* GB3</w:instrText>
      </w:r>
      <w:r>
        <w:rPr>
          <w:rFonts w:ascii="宋体" w:hAnsi="宋体" w:cs="宋体"/>
          <w:color w:val="000000"/>
          <w:szCs w:val="21"/>
        </w:rPr>
        <w:instrText xml:space="preserve"> </w:instrText>
      </w:r>
      <w:r>
        <w:rPr>
          <w:rFonts w:ascii="宋体" w:hAnsi="宋体" w:cs="宋体"/>
          <w:color w:val="000000"/>
          <w:szCs w:val="21"/>
        </w:rPr>
        <w:fldChar w:fldCharType="separate"/>
      </w:r>
      <w:r>
        <w:rPr>
          <w:rFonts w:hint="eastAsia" w:ascii="宋体" w:hAnsi="宋体" w:cs="宋体"/>
          <w:color w:val="000000"/>
          <w:szCs w:val="21"/>
        </w:rPr>
        <w:t>⑦</w:t>
      </w:r>
      <w:r>
        <w:rPr>
          <w:rFonts w:ascii="宋体" w:hAnsi="宋体" w:cs="宋体"/>
          <w:color w:val="000000"/>
          <w:szCs w:val="21"/>
        </w:rPr>
        <w:fldChar w:fldCharType="end"/>
      </w:r>
      <w:r>
        <w:rPr>
          <w:rFonts w:hint="eastAsia" w:ascii="宋体" w:hAnsi="宋体" w:cs="宋体"/>
          <w:color w:val="000000"/>
          <w:szCs w:val="21"/>
        </w:rPr>
        <w:t>材料价格信息：材料价格主要按照</w:t>
      </w:r>
      <w:r>
        <w:rPr>
          <w:rFonts w:ascii="宋体" w:hAnsi="宋体"/>
          <w:color w:val="000000"/>
          <w:szCs w:val="21"/>
          <w:u w:val="single"/>
        </w:rPr>
        <w:t xml:space="preserve">      </w:t>
      </w:r>
      <w:r>
        <w:rPr>
          <w:rFonts w:hint="eastAsia" w:ascii="宋体" w:hAnsi="宋体" w:cs="宋体"/>
          <w:color w:val="000000"/>
          <w:szCs w:val="21"/>
        </w:rPr>
        <w:t>市建设工程造价管理机构发布的工程造价信息</w:t>
      </w:r>
      <w:r>
        <w:rPr>
          <w:rFonts w:ascii="宋体" w:hAnsi="宋体"/>
          <w:color w:val="000000"/>
          <w:szCs w:val="21"/>
          <w:u w:val="single"/>
        </w:rPr>
        <w:t xml:space="preserve">     </w:t>
      </w:r>
      <w:r>
        <w:rPr>
          <w:rFonts w:hint="eastAsia" w:ascii="宋体" w:hAnsi="宋体" w:cs="宋体"/>
          <w:color w:val="000000"/>
          <w:szCs w:val="21"/>
        </w:rPr>
        <w:t>年第</w:t>
      </w:r>
      <w:r>
        <w:rPr>
          <w:rFonts w:ascii="宋体" w:hAnsi="宋体"/>
          <w:color w:val="000000"/>
          <w:szCs w:val="21"/>
          <w:u w:val="single"/>
        </w:rPr>
        <w:t xml:space="preserve">      </w:t>
      </w:r>
      <w:r>
        <w:rPr>
          <w:rFonts w:hint="eastAsia" w:ascii="宋体" w:hAnsi="宋体" w:cs="宋体"/>
          <w:color w:val="000000"/>
          <w:szCs w:val="21"/>
        </w:rPr>
        <w:t>期，不足部分参考市场定价。</w:t>
      </w:r>
    </w:p>
    <w:p>
      <w:pPr>
        <w:spacing w:line="360" w:lineRule="auto"/>
        <w:ind w:firstLine="420" w:firstLineChars="200"/>
        <w:rPr>
          <w:rFonts w:ascii="宋体" w:hAnsi="宋体"/>
          <w:color w:val="000000"/>
          <w:szCs w:val="21"/>
        </w:rPr>
      </w:pPr>
      <w:r>
        <w:rPr>
          <w:rFonts w:hint="eastAsia" w:ascii="宋体" w:hAnsi="宋体"/>
          <w:color w:val="000000"/>
          <w:szCs w:val="21"/>
        </w:rPr>
        <w:t>1.</w:t>
      </w:r>
      <w:r>
        <w:rPr>
          <w:rFonts w:ascii="宋体" w:hAnsi="宋体"/>
          <w:color w:val="000000"/>
          <w:szCs w:val="21"/>
        </w:rPr>
        <w:t xml:space="preserve">2.2 </w:t>
      </w:r>
      <w:r>
        <w:rPr>
          <w:rFonts w:hint="eastAsia" w:ascii="宋体" w:hAnsi="宋体" w:cs="宋体"/>
          <w:color w:val="000000"/>
          <w:szCs w:val="21"/>
        </w:rPr>
        <w:t>分部分项及单价措施项目综合单价应包括招标文件中招标人要求投标人所承担的风险内容及其范围（幅度）产生的风险费用。</w:t>
      </w:r>
    </w:p>
    <w:p>
      <w:pPr>
        <w:spacing w:line="360" w:lineRule="auto"/>
        <w:ind w:firstLine="420"/>
        <w:rPr>
          <w:rFonts w:ascii="宋体" w:hAnsi="宋体"/>
          <w:color w:val="000000"/>
          <w:szCs w:val="21"/>
        </w:rPr>
      </w:pPr>
      <w:r>
        <w:rPr>
          <w:rFonts w:hint="eastAsia" w:ascii="宋体" w:hAnsi="宋体"/>
          <w:color w:val="000000"/>
          <w:szCs w:val="21"/>
        </w:rPr>
        <w:t>1.</w:t>
      </w:r>
      <w:r>
        <w:rPr>
          <w:rFonts w:ascii="宋体" w:hAnsi="宋体"/>
          <w:color w:val="000000"/>
          <w:szCs w:val="21"/>
        </w:rPr>
        <w:t xml:space="preserve">2.3 </w:t>
      </w:r>
      <w:r>
        <w:rPr>
          <w:rFonts w:hint="eastAsia" w:ascii="宋体" w:hAnsi="宋体" w:cs="宋体"/>
          <w:color w:val="000000"/>
          <w:szCs w:val="21"/>
        </w:rPr>
        <w:t>总价措施项目应根据拟定的招标文件和常规施工方案按《计价规范》和《计算规范》规定编制。</w:t>
      </w:r>
    </w:p>
    <w:p>
      <w:pPr>
        <w:spacing w:line="360" w:lineRule="auto"/>
        <w:ind w:firstLine="420" w:firstLineChars="200"/>
        <w:rPr>
          <w:rFonts w:ascii="宋体" w:hAnsi="宋体"/>
          <w:color w:val="000000"/>
          <w:szCs w:val="21"/>
        </w:rPr>
      </w:pPr>
      <w:r>
        <w:rPr>
          <w:rFonts w:hint="eastAsia" w:ascii="宋体" w:hAnsi="宋体"/>
          <w:color w:val="000000"/>
          <w:szCs w:val="21"/>
        </w:rPr>
        <w:t>1.</w:t>
      </w:r>
      <w:r>
        <w:rPr>
          <w:rFonts w:ascii="宋体" w:hAnsi="宋体"/>
          <w:color w:val="000000"/>
          <w:szCs w:val="21"/>
        </w:rPr>
        <w:t xml:space="preserve">2.4 </w:t>
      </w:r>
      <w:r>
        <w:rPr>
          <w:rFonts w:hint="eastAsia" w:ascii="宋体" w:hAnsi="宋体" w:cs="宋体"/>
          <w:color w:val="000000"/>
          <w:szCs w:val="21"/>
        </w:rPr>
        <w:t>其他项目费应按下列规定报价：</w:t>
      </w:r>
    </w:p>
    <w:p>
      <w:pPr>
        <w:spacing w:line="360" w:lineRule="auto"/>
        <w:ind w:firstLine="420" w:firstLineChars="200"/>
        <w:rPr>
          <w:rFonts w:ascii="宋体" w:hAnsi="宋体"/>
          <w:color w:val="000000"/>
          <w:szCs w:val="21"/>
        </w:rPr>
      </w:pPr>
      <w:r>
        <w:rPr>
          <w:rFonts w:ascii="宋体" w:hAnsi="宋体" w:cs="宋体"/>
          <w:color w:val="000000"/>
          <w:szCs w:val="21"/>
        </w:rPr>
        <w:fldChar w:fldCharType="begin"/>
      </w:r>
      <w:r>
        <w:rPr>
          <w:rFonts w:ascii="宋体" w:hAnsi="宋体" w:cs="宋体"/>
          <w:color w:val="000000"/>
          <w:szCs w:val="21"/>
        </w:rPr>
        <w:instrText xml:space="preserve"> </w:instrText>
      </w:r>
      <w:r>
        <w:rPr>
          <w:rFonts w:hint="eastAsia" w:ascii="宋体" w:hAnsi="宋体" w:cs="宋体"/>
          <w:color w:val="000000"/>
          <w:szCs w:val="21"/>
        </w:rPr>
        <w:instrText xml:space="preserve">= 1 \* GB3</w:instrText>
      </w:r>
      <w:r>
        <w:rPr>
          <w:rFonts w:ascii="宋体" w:hAnsi="宋体" w:cs="宋体"/>
          <w:color w:val="000000"/>
          <w:szCs w:val="21"/>
        </w:rPr>
        <w:instrText xml:space="preserve"> </w:instrText>
      </w:r>
      <w:r>
        <w:rPr>
          <w:rFonts w:ascii="宋体" w:hAnsi="宋体" w:cs="宋体"/>
          <w:color w:val="000000"/>
          <w:szCs w:val="21"/>
        </w:rPr>
        <w:fldChar w:fldCharType="separate"/>
      </w:r>
      <w:r>
        <w:rPr>
          <w:rFonts w:hint="eastAsia" w:ascii="宋体" w:hAnsi="宋体" w:cs="宋体"/>
          <w:color w:val="000000"/>
          <w:szCs w:val="21"/>
        </w:rPr>
        <w:t>①</w:t>
      </w:r>
      <w:r>
        <w:rPr>
          <w:rFonts w:ascii="宋体" w:hAnsi="宋体" w:cs="宋体"/>
          <w:color w:val="000000"/>
          <w:szCs w:val="21"/>
        </w:rPr>
        <w:fldChar w:fldCharType="end"/>
      </w:r>
      <w:r>
        <w:rPr>
          <w:rFonts w:hint="eastAsia" w:ascii="宋体" w:hAnsi="宋体" w:cs="宋体"/>
          <w:color w:val="000000"/>
          <w:szCs w:val="21"/>
        </w:rPr>
        <w:t>暂列金额应按招标人给出的金额填写；</w:t>
      </w:r>
    </w:p>
    <w:p>
      <w:pPr>
        <w:spacing w:line="360" w:lineRule="auto"/>
        <w:ind w:firstLine="420" w:firstLineChars="200"/>
        <w:rPr>
          <w:rFonts w:ascii="宋体" w:hAnsi="宋体"/>
          <w:color w:val="000000"/>
          <w:szCs w:val="21"/>
        </w:rPr>
      </w:pPr>
      <w:r>
        <w:rPr>
          <w:rFonts w:ascii="宋体" w:hAnsi="宋体" w:cs="宋体"/>
          <w:color w:val="000000"/>
          <w:szCs w:val="21"/>
        </w:rPr>
        <w:fldChar w:fldCharType="begin"/>
      </w:r>
      <w:r>
        <w:rPr>
          <w:rFonts w:ascii="宋体" w:hAnsi="宋体" w:cs="宋体"/>
          <w:color w:val="000000"/>
          <w:szCs w:val="21"/>
        </w:rPr>
        <w:instrText xml:space="preserve"> </w:instrText>
      </w:r>
      <w:r>
        <w:rPr>
          <w:rFonts w:hint="eastAsia" w:ascii="宋体" w:hAnsi="宋体" w:cs="宋体"/>
          <w:color w:val="000000"/>
          <w:szCs w:val="21"/>
        </w:rPr>
        <w:instrText xml:space="preserve">= 2 \* GB3</w:instrText>
      </w:r>
      <w:r>
        <w:rPr>
          <w:rFonts w:ascii="宋体" w:hAnsi="宋体" w:cs="宋体"/>
          <w:color w:val="000000"/>
          <w:szCs w:val="21"/>
        </w:rPr>
        <w:instrText xml:space="preserve"> </w:instrText>
      </w:r>
      <w:r>
        <w:rPr>
          <w:rFonts w:ascii="宋体" w:hAnsi="宋体" w:cs="宋体"/>
          <w:color w:val="000000"/>
          <w:szCs w:val="21"/>
        </w:rPr>
        <w:fldChar w:fldCharType="separate"/>
      </w:r>
      <w:r>
        <w:rPr>
          <w:rFonts w:hint="eastAsia" w:ascii="宋体" w:hAnsi="宋体" w:cs="宋体"/>
          <w:color w:val="000000"/>
          <w:szCs w:val="21"/>
        </w:rPr>
        <w:t>②</w:t>
      </w:r>
      <w:r>
        <w:rPr>
          <w:rFonts w:ascii="宋体" w:hAnsi="宋体" w:cs="宋体"/>
          <w:color w:val="000000"/>
          <w:szCs w:val="21"/>
        </w:rPr>
        <w:fldChar w:fldCharType="end"/>
      </w:r>
      <w:r>
        <w:rPr>
          <w:rFonts w:hint="eastAsia" w:ascii="宋体" w:hAnsi="宋体" w:cs="宋体"/>
          <w:color w:val="000000"/>
          <w:szCs w:val="21"/>
        </w:rPr>
        <w:t>材料、工程设备暂估价应按招标人给出的单价计入综合单价；</w:t>
      </w:r>
    </w:p>
    <w:p>
      <w:pPr>
        <w:spacing w:line="360" w:lineRule="auto"/>
        <w:ind w:firstLine="420" w:firstLineChars="200"/>
        <w:rPr>
          <w:rFonts w:ascii="宋体" w:hAnsi="宋体"/>
          <w:color w:val="000000"/>
          <w:szCs w:val="21"/>
        </w:rPr>
      </w:pPr>
      <w:r>
        <w:rPr>
          <w:rFonts w:ascii="宋体" w:hAnsi="宋体" w:cs="宋体"/>
          <w:color w:val="000000"/>
          <w:szCs w:val="21"/>
        </w:rPr>
        <w:fldChar w:fldCharType="begin"/>
      </w:r>
      <w:r>
        <w:rPr>
          <w:rFonts w:ascii="宋体" w:hAnsi="宋体" w:cs="宋体"/>
          <w:color w:val="000000"/>
          <w:szCs w:val="21"/>
        </w:rPr>
        <w:instrText xml:space="preserve"> </w:instrText>
      </w:r>
      <w:r>
        <w:rPr>
          <w:rFonts w:hint="eastAsia" w:ascii="宋体" w:hAnsi="宋体" w:cs="宋体"/>
          <w:color w:val="000000"/>
          <w:szCs w:val="21"/>
        </w:rPr>
        <w:instrText xml:space="preserve">= 3 \* GB3</w:instrText>
      </w:r>
      <w:r>
        <w:rPr>
          <w:rFonts w:ascii="宋体" w:hAnsi="宋体" w:cs="宋体"/>
          <w:color w:val="000000"/>
          <w:szCs w:val="21"/>
        </w:rPr>
        <w:instrText xml:space="preserve"> </w:instrText>
      </w:r>
      <w:r>
        <w:rPr>
          <w:rFonts w:ascii="宋体" w:hAnsi="宋体" w:cs="宋体"/>
          <w:color w:val="000000"/>
          <w:szCs w:val="21"/>
        </w:rPr>
        <w:fldChar w:fldCharType="separate"/>
      </w:r>
      <w:r>
        <w:rPr>
          <w:rFonts w:hint="eastAsia" w:ascii="宋体" w:hAnsi="宋体" w:cs="宋体"/>
          <w:color w:val="000000"/>
          <w:szCs w:val="21"/>
        </w:rPr>
        <w:t>③</w:t>
      </w:r>
      <w:r>
        <w:rPr>
          <w:rFonts w:ascii="宋体" w:hAnsi="宋体" w:cs="宋体"/>
          <w:color w:val="000000"/>
          <w:szCs w:val="21"/>
        </w:rPr>
        <w:fldChar w:fldCharType="end"/>
      </w:r>
      <w:r>
        <w:rPr>
          <w:rFonts w:hint="eastAsia" w:ascii="宋体" w:hAnsi="宋体" w:cs="宋体"/>
          <w:color w:val="000000"/>
          <w:szCs w:val="21"/>
        </w:rPr>
        <w:t>专业工程暂估价应按招标人给出的金额填写；</w:t>
      </w:r>
    </w:p>
    <w:p>
      <w:pPr>
        <w:spacing w:line="360" w:lineRule="auto"/>
        <w:ind w:firstLine="420" w:firstLineChars="200"/>
        <w:rPr>
          <w:rFonts w:ascii="宋体" w:hAnsi="宋体"/>
          <w:color w:val="000000"/>
          <w:szCs w:val="21"/>
        </w:rPr>
      </w:pPr>
      <w:r>
        <w:rPr>
          <w:rFonts w:ascii="宋体" w:hAnsi="宋体" w:cs="宋体"/>
          <w:color w:val="000000"/>
          <w:szCs w:val="21"/>
        </w:rPr>
        <w:fldChar w:fldCharType="begin"/>
      </w:r>
      <w:r>
        <w:rPr>
          <w:rFonts w:ascii="宋体" w:hAnsi="宋体" w:cs="宋体"/>
          <w:color w:val="000000"/>
          <w:szCs w:val="21"/>
        </w:rPr>
        <w:instrText xml:space="preserve"> </w:instrText>
      </w:r>
      <w:r>
        <w:rPr>
          <w:rFonts w:hint="eastAsia" w:ascii="宋体" w:hAnsi="宋体" w:cs="宋体"/>
          <w:color w:val="000000"/>
          <w:szCs w:val="21"/>
        </w:rPr>
        <w:instrText xml:space="preserve">= 4 \* GB3</w:instrText>
      </w:r>
      <w:r>
        <w:rPr>
          <w:rFonts w:ascii="宋体" w:hAnsi="宋体" w:cs="宋体"/>
          <w:color w:val="000000"/>
          <w:szCs w:val="21"/>
        </w:rPr>
        <w:instrText xml:space="preserve"> </w:instrText>
      </w:r>
      <w:r>
        <w:rPr>
          <w:rFonts w:ascii="宋体" w:hAnsi="宋体" w:cs="宋体"/>
          <w:color w:val="000000"/>
          <w:szCs w:val="21"/>
        </w:rPr>
        <w:fldChar w:fldCharType="separate"/>
      </w:r>
      <w:r>
        <w:rPr>
          <w:rFonts w:hint="eastAsia" w:ascii="宋体" w:hAnsi="宋体" w:cs="宋体"/>
          <w:color w:val="000000"/>
          <w:szCs w:val="21"/>
        </w:rPr>
        <w:t>④</w:t>
      </w:r>
      <w:r>
        <w:rPr>
          <w:rFonts w:ascii="宋体" w:hAnsi="宋体" w:cs="宋体"/>
          <w:color w:val="000000"/>
          <w:szCs w:val="21"/>
        </w:rPr>
        <w:fldChar w:fldCharType="end"/>
      </w:r>
      <w:r>
        <w:rPr>
          <w:rFonts w:hint="eastAsia" w:ascii="宋体" w:hAnsi="宋体" w:cs="宋体"/>
          <w:color w:val="000000"/>
          <w:szCs w:val="21"/>
        </w:rPr>
        <w:t>总承包服务费应根据招标人给出的内容和要求，按自治区住房城乡建设行政主管部门颁发的计价定额及有关规定计算。</w:t>
      </w:r>
    </w:p>
    <w:p>
      <w:pPr>
        <w:spacing w:line="360" w:lineRule="auto"/>
        <w:ind w:firstLine="420" w:firstLineChars="200"/>
        <w:rPr>
          <w:rFonts w:ascii="宋体" w:hAnsi="宋体"/>
          <w:color w:val="000000"/>
          <w:szCs w:val="21"/>
        </w:rPr>
      </w:pPr>
      <w:r>
        <w:rPr>
          <w:rFonts w:hint="eastAsia" w:ascii="宋体" w:hAnsi="宋体"/>
          <w:color w:val="000000"/>
          <w:szCs w:val="21"/>
        </w:rPr>
        <w:t>1.</w:t>
      </w:r>
      <w:r>
        <w:rPr>
          <w:rFonts w:ascii="宋体" w:hAnsi="宋体"/>
          <w:color w:val="000000"/>
          <w:szCs w:val="21"/>
        </w:rPr>
        <w:t xml:space="preserve">2.5 </w:t>
      </w:r>
      <w:r>
        <w:rPr>
          <w:rFonts w:hint="eastAsia" w:ascii="宋体" w:hAnsi="宋体" w:cs="宋体"/>
          <w:color w:val="000000"/>
          <w:szCs w:val="21"/>
        </w:rPr>
        <w:t>规费和增值税应按规定确定，作为不可竞争费用。</w:t>
      </w:r>
    </w:p>
    <w:p>
      <w:pPr>
        <w:spacing w:line="360" w:lineRule="auto"/>
        <w:ind w:firstLine="420"/>
        <w:rPr>
          <w:rFonts w:ascii="宋体" w:hAnsi="宋体"/>
          <w:color w:val="000000"/>
          <w:szCs w:val="21"/>
          <w:u w:val="single"/>
        </w:rPr>
      </w:pPr>
      <w:r>
        <w:rPr>
          <w:rFonts w:hint="eastAsia" w:ascii="宋体" w:hAnsi="宋体"/>
          <w:color w:val="000000"/>
          <w:szCs w:val="21"/>
        </w:rPr>
        <w:t>1.</w:t>
      </w:r>
      <w:r>
        <w:rPr>
          <w:rFonts w:ascii="宋体" w:hAnsi="宋体"/>
          <w:color w:val="000000"/>
          <w:szCs w:val="21"/>
        </w:rPr>
        <w:t xml:space="preserve">2.6 </w:t>
      </w:r>
      <w:r>
        <w:rPr>
          <w:rFonts w:hint="eastAsia" w:ascii="宋体" w:hAnsi="宋体" w:cs="宋体"/>
          <w:color w:val="000000"/>
          <w:szCs w:val="21"/>
        </w:rPr>
        <w:t>其它需要说明的问题：</w:t>
      </w:r>
      <w:r>
        <w:rPr>
          <w:rFonts w:ascii="宋体" w:hAnsi="宋体"/>
          <w:color w:val="000000"/>
          <w:szCs w:val="21"/>
          <w:u w:val="single"/>
        </w:rPr>
        <w:t xml:space="preserve">                                                       </w:t>
      </w:r>
    </w:p>
    <w:p>
      <w:pPr>
        <w:spacing w:line="360" w:lineRule="auto"/>
        <w:rPr>
          <w:rFonts w:hint="eastAsia" w:ascii="宋体" w:hAnsi="宋体" w:cs="宋体"/>
          <w:color w:val="000000"/>
          <w:szCs w:val="21"/>
        </w:rPr>
      </w:pPr>
      <w:r>
        <w:rPr>
          <w:rFonts w:ascii="宋体" w:hAnsi="宋体"/>
          <w:color w:val="000000"/>
          <w:szCs w:val="21"/>
          <w:u w:val="single"/>
        </w:rPr>
        <w:t xml:space="preserve">                                                                                 </w:t>
      </w:r>
      <w:r>
        <w:rPr>
          <w:rFonts w:hint="eastAsia" w:ascii="宋体" w:hAnsi="宋体" w:cs="宋体"/>
          <w:color w:val="000000"/>
          <w:szCs w:val="21"/>
        </w:rPr>
        <w:t>。</w:t>
      </w:r>
    </w:p>
    <w:p>
      <w:pPr>
        <w:spacing w:line="360" w:lineRule="auto"/>
        <w:ind w:firstLine="420" w:firstLineChars="200"/>
        <w:rPr>
          <w:rFonts w:hint="eastAsia" w:ascii="宋体" w:hAnsi="宋体"/>
          <w:color w:val="000000"/>
          <w:szCs w:val="21"/>
        </w:rPr>
      </w:pPr>
      <w:r>
        <w:rPr>
          <w:rFonts w:hint="eastAsia" w:ascii="宋体" w:hAnsi="宋体"/>
          <w:color w:val="000000"/>
          <w:szCs w:val="21"/>
        </w:rPr>
        <w:t>1.3招标控制价表格</w:t>
      </w:r>
    </w:p>
    <w:p>
      <w:pPr>
        <w:spacing w:line="360" w:lineRule="auto"/>
        <w:ind w:firstLine="420" w:firstLineChars="200"/>
        <w:rPr>
          <w:rFonts w:hint="eastAsia" w:ascii="宋体" w:hAnsi="宋体"/>
          <w:color w:val="000000"/>
          <w:szCs w:val="21"/>
        </w:rPr>
      </w:pPr>
      <w:r>
        <w:rPr>
          <w:rFonts w:hint="eastAsia" w:ascii="宋体" w:hAnsi="宋体"/>
          <w:color w:val="000000"/>
          <w:szCs w:val="21"/>
        </w:rPr>
        <w:t>1.3.1 本表格适用于工程量清单法计价和工料单价法计价。采用工程量清单法时，表格中的“项目编码”和“项目名称”按</w:t>
      </w:r>
      <w:r>
        <w:rPr>
          <w:rFonts w:hint="eastAsia" w:ascii="宋体" w:hAnsi="宋体" w:cs="宋体"/>
          <w:color w:val="000000"/>
          <w:szCs w:val="21"/>
        </w:rPr>
        <w:t>《计算规范》列项；采用工料单价法时，</w:t>
      </w:r>
      <w:r>
        <w:rPr>
          <w:rFonts w:hint="eastAsia" w:ascii="宋体" w:hAnsi="宋体"/>
          <w:color w:val="000000"/>
          <w:szCs w:val="21"/>
        </w:rPr>
        <w:t>表格中的“项目编码”和“项目名称”</w:t>
      </w:r>
      <w:r>
        <w:rPr>
          <w:rFonts w:hint="eastAsia" w:cs="仿宋_GB2312"/>
          <w:color w:val="000000"/>
          <w:szCs w:val="21"/>
          <w:shd w:val="clear" w:color="auto" w:fill="FFFFFF"/>
        </w:rPr>
        <w:t>按照我区现行各专业定额编号、定额子目名称设置。</w:t>
      </w:r>
    </w:p>
    <w:p>
      <w:pPr>
        <w:spacing w:line="360" w:lineRule="auto"/>
        <w:ind w:firstLine="420" w:firstLineChars="200"/>
        <w:rPr>
          <w:rFonts w:hint="eastAsia" w:ascii="宋体" w:hAnsi="宋体"/>
          <w:color w:val="000000"/>
          <w:szCs w:val="21"/>
        </w:rPr>
      </w:pPr>
      <w:r>
        <w:rPr>
          <w:rFonts w:hint="eastAsia" w:ascii="宋体" w:hAnsi="宋体"/>
          <w:color w:val="000000"/>
          <w:szCs w:val="21"/>
        </w:rPr>
        <w:t>1.3.2本表格适用于一般计税法计价和简易计税法计价。采用一般计税法时，各项费用的价格均为除税价格；采用简易计税法时，各项费用的价格均为含税价格。</w:t>
      </w:r>
    </w:p>
    <w:p>
      <w:pPr>
        <w:spacing w:line="360" w:lineRule="auto"/>
        <w:jc w:val="left"/>
        <w:rPr>
          <w:rFonts w:hint="eastAsia" w:ascii="宋体" w:hAnsi="宋体"/>
          <w:color w:val="000000"/>
          <w:szCs w:val="21"/>
        </w:rPr>
      </w:pPr>
    </w:p>
    <w:p>
      <w:pPr>
        <w:spacing w:line="360" w:lineRule="auto"/>
        <w:jc w:val="left"/>
        <w:rPr>
          <w:rFonts w:hint="eastAsia" w:ascii="宋体" w:hAnsi="宋体"/>
          <w:color w:val="000000"/>
          <w:szCs w:val="21"/>
        </w:rPr>
      </w:pPr>
    </w:p>
    <w:p>
      <w:pPr>
        <w:spacing w:line="360" w:lineRule="auto"/>
        <w:jc w:val="left"/>
        <w:rPr>
          <w:rFonts w:hint="eastAsia" w:ascii="宋体" w:hAnsi="宋体"/>
          <w:color w:val="000000"/>
          <w:szCs w:val="21"/>
        </w:rPr>
      </w:pPr>
    </w:p>
    <w:p>
      <w:pPr>
        <w:spacing w:line="360" w:lineRule="auto"/>
        <w:jc w:val="left"/>
        <w:rPr>
          <w:rFonts w:hint="eastAsia" w:ascii="宋体" w:hAnsi="宋体"/>
          <w:color w:val="000000"/>
          <w:szCs w:val="21"/>
        </w:rPr>
      </w:pPr>
    </w:p>
    <w:p>
      <w:pPr>
        <w:spacing w:line="360" w:lineRule="auto"/>
        <w:jc w:val="left"/>
        <w:rPr>
          <w:rFonts w:hint="eastAsia" w:ascii="宋体" w:hAnsi="宋体"/>
          <w:color w:val="000000"/>
          <w:szCs w:val="21"/>
        </w:rPr>
      </w:pPr>
    </w:p>
    <w:p>
      <w:pPr>
        <w:spacing w:line="360" w:lineRule="auto"/>
        <w:jc w:val="left"/>
        <w:rPr>
          <w:rFonts w:hint="eastAsia" w:ascii="宋体" w:hAnsi="宋体"/>
          <w:color w:val="000000"/>
          <w:szCs w:val="21"/>
        </w:rPr>
      </w:pPr>
    </w:p>
    <w:p>
      <w:pPr>
        <w:spacing w:line="360" w:lineRule="auto"/>
        <w:jc w:val="left"/>
        <w:rPr>
          <w:rFonts w:hint="eastAsia" w:ascii="宋体" w:hAnsi="宋体"/>
          <w:color w:val="000000"/>
          <w:szCs w:val="21"/>
        </w:rPr>
      </w:pPr>
    </w:p>
    <w:p>
      <w:pPr>
        <w:spacing w:line="360" w:lineRule="auto"/>
        <w:jc w:val="left"/>
        <w:rPr>
          <w:rFonts w:hint="eastAsia" w:ascii="宋体" w:hAnsi="宋体"/>
          <w:color w:val="000000"/>
          <w:szCs w:val="21"/>
        </w:rPr>
      </w:pPr>
    </w:p>
    <w:p>
      <w:pPr>
        <w:spacing w:line="360" w:lineRule="auto"/>
        <w:jc w:val="left"/>
        <w:rPr>
          <w:rFonts w:hint="eastAsia" w:ascii="宋体" w:hAnsi="宋体"/>
          <w:color w:val="000000"/>
          <w:szCs w:val="21"/>
        </w:rPr>
      </w:pPr>
    </w:p>
    <w:p>
      <w:pPr>
        <w:spacing w:line="360" w:lineRule="auto"/>
        <w:jc w:val="left"/>
        <w:rPr>
          <w:rFonts w:hint="eastAsia" w:ascii="宋体" w:hAnsi="宋体"/>
          <w:color w:val="000000"/>
          <w:szCs w:val="21"/>
        </w:rPr>
      </w:pPr>
    </w:p>
    <w:p>
      <w:pPr>
        <w:spacing w:line="360" w:lineRule="auto"/>
        <w:jc w:val="left"/>
        <w:rPr>
          <w:rFonts w:hint="eastAsia" w:ascii="宋体" w:hAnsi="宋体"/>
          <w:color w:val="000000"/>
          <w:szCs w:val="21"/>
        </w:rPr>
      </w:pPr>
    </w:p>
    <w:p>
      <w:pPr>
        <w:spacing w:line="360" w:lineRule="auto"/>
        <w:jc w:val="left"/>
        <w:rPr>
          <w:rFonts w:hint="eastAsia" w:ascii="宋体" w:hAnsi="宋体"/>
          <w:color w:val="000000"/>
          <w:szCs w:val="21"/>
        </w:rPr>
      </w:pPr>
    </w:p>
    <w:p>
      <w:pPr>
        <w:spacing w:line="360" w:lineRule="auto"/>
        <w:jc w:val="left"/>
        <w:rPr>
          <w:rFonts w:hint="eastAsia" w:ascii="宋体" w:hAnsi="宋体"/>
          <w:color w:val="000000"/>
          <w:szCs w:val="21"/>
        </w:rPr>
      </w:pPr>
    </w:p>
    <w:p>
      <w:pPr>
        <w:spacing w:line="360" w:lineRule="auto"/>
        <w:jc w:val="left"/>
        <w:rPr>
          <w:rFonts w:hint="eastAsia" w:ascii="宋体" w:hAnsi="宋体"/>
          <w:color w:val="000000"/>
          <w:szCs w:val="21"/>
        </w:rPr>
      </w:pPr>
    </w:p>
    <w:p>
      <w:pPr>
        <w:spacing w:line="360" w:lineRule="auto"/>
        <w:jc w:val="left"/>
        <w:rPr>
          <w:rFonts w:hint="eastAsia" w:ascii="宋体" w:hAnsi="宋体"/>
          <w:color w:val="000000"/>
          <w:szCs w:val="21"/>
        </w:rPr>
      </w:pPr>
    </w:p>
    <w:p>
      <w:pPr>
        <w:spacing w:line="360" w:lineRule="auto"/>
        <w:jc w:val="left"/>
        <w:rPr>
          <w:rFonts w:hint="eastAsia" w:ascii="宋体" w:hAnsi="宋体"/>
          <w:color w:val="000000"/>
          <w:szCs w:val="21"/>
        </w:rPr>
      </w:pPr>
    </w:p>
    <w:p>
      <w:pPr>
        <w:spacing w:line="360" w:lineRule="auto"/>
        <w:jc w:val="left"/>
        <w:rPr>
          <w:rFonts w:hint="eastAsia" w:ascii="宋体" w:hAnsi="宋体"/>
          <w:color w:val="000000"/>
          <w:szCs w:val="21"/>
        </w:rPr>
      </w:pPr>
    </w:p>
    <w:p>
      <w:pPr>
        <w:spacing w:line="360" w:lineRule="auto"/>
        <w:jc w:val="left"/>
        <w:rPr>
          <w:rFonts w:hint="eastAsia" w:ascii="宋体" w:hAnsi="宋体"/>
          <w:color w:val="000000"/>
          <w:szCs w:val="21"/>
        </w:rPr>
      </w:pPr>
    </w:p>
    <w:p>
      <w:pPr>
        <w:spacing w:line="360" w:lineRule="auto"/>
        <w:jc w:val="left"/>
        <w:rPr>
          <w:rFonts w:hint="eastAsia" w:ascii="宋体" w:hAnsi="宋体"/>
          <w:color w:val="000000"/>
          <w:szCs w:val="21"/>
        </w:rPr>
      </w:pPr>
    </w:p>
    <w:p>
      <w:pPr>
        <w:pStyle w:val="33"/>
        <w:spacing w:line="360" w:lineRule="auto"/>
        <w:ind w:firstLine="420" w:firstLineChars="200"/>
        <w:rPr>
          <w:rFonts w:hint="eastAsia" w:ascii="宋体" w:hAnsi="宋体"/>
          <w:color w:val="000000"/>
          <w:szCs w:val="21"/>
        </w:rPr>
      </w:pPr>
    </w:p>
    <w:p>
      <w:pPr>
        <w:spacing w:line="360" w:lineRule="auto"/>
        <w:jc w:val="left"/>
        <w:rPr>
          <w:rFonts w:hint="eastAsia" w:ascii="宋体" w:hAnsi="宋体"/>
          <w:color w:val="000000"/>
          <w:szCs w:val="21"/>
        </w:rPr>
      </w:pPr>
    </w:p>
    <w:p>
      <w:pPr>
        <w:spacing w:line="360" w:lineRule="auto"/>
        <w:jc w:val="left"/>
        <w:rPr>
          <w:rFonts w:hint="eastAsia" w:ascii="宋体" w:hAnsi="宋体"/>
          <w:color w:val="000000"/>
          <w:szCs w:val="21"/>
        </w:rPr>
      </w:pPr>
    </w:p>
    <w:p>
      <w:pPr>
        <w:spacing w:line="360" w:lineRule="auto"/>
        <w:jc w:val="left"/>
        <w:rPr>
          <w:rFonts w:hint="eastAsia" w:ascii="宋体" w:hAnsi="宋体"/>
          <w:color w:val="000000"/>
          <w:szCs w:val="21"/>
        </w:rPr>
      </w:pPr>
    </w:p>
    <w:p>
      <w:pPr>
        <w:spacing w:line="360" w:lineRule="auto"/>
        <w:jc w:val="left"/>
        <w:rPr>
          <w:rFonts w:hint="eastAsia" w:ascii="宋体" w:hAnsi="宋体"/>
          <w:color w:val="000000"/>
          <w:szCs w:val="21"/>
        </w:rPr>
      </w:pPr>
    </w:p>
    <w:p>
      <w:pPr>
        <w:spacing w:line="360" w:lineRule="auto"/>
        <w:jc w:val="left"/>
        <w:rPr>
          <w:rFonts w:ascii="宋体" w:hAnsi="宋体"/>
          <w:color w:val="000000"/>
          <w:szCs w:val="21"/>
        </w:rPr>
      </w:pPr>
      <w:r>
        <w:rPr>
          <w:rFonts w:hint="eastAsia" w:ascii="宋体" w:hAnsi="宋体"/>
          <w:color w:val="000000"/>
          <w:szCs w:val="21"/>
        </w:rPr>
        <w:t>表1</w:t>
      </w:r>
      <w:r>
        <w:rPr>
          <w:rFonts w:ascii="宋体" w:hAnsi="宋体"/>
          <w:color w:val="000000"/>
          <w:szCs w:val="21"/>
        </w:rPr>
        <w:t xml:space="preserve"> </w:t>
      </w:r>
      <w:r>
        <w:rPr>
          <w:rFonts w:hint="eastAsia" w:ascii="宋体" w:hAnsi="宋体"/>
          <w:color w:val="000000"/>
          <w:szCs w:val="21"/>
        </w:rPr>
        <w:t>招标控制价封面</w:t>
      </w:r>
    </w:p>
    <w:p>
      <w:pPr>
        <w:pStyle w:val="473"/>
        <w:rPr>
          <w:color w:val="000000"/>
        </w:rPr>
      </w:pPr>
    </w:p>
    <w:p>
      <w:pPr>
        <w:pStyle w:val="473"/>
        <w:rPr>
          <w:color w:val="000000"/>
        </w:rPr>
      </w:pPr>
    </w:p>
    <w:p>
      <w:pPr>
        <w:pStyle w:val="473"/>
        <w:rPr>
          <w:color w:val="000000"/>
        </w:rPr>
      </w:pPr>
    </w:p>
    <w:p>
      <w:pPr>
        <w:pStyle w:val="473"/>
        <w:jc w:val="center"/>
        <w:rPr>
          <w:color w:val="000000"/>
        </w:rPr>
      </w:pPr>
      <w:r>
        <w:rPr>
          <w:b/>
          <w:color w:val="000000"/>
          <w:sz w:val="52"/>
          <w:szCs w:val="52"/>
        </w:rPr>
        <w:t>招标控制价</w:t>
      </w:r>
    </w:p>
    <w:p>
      <w:pPr>
        <w:pStyle w:val="473"/>
        <w:rPr>
          <w:color w:val="000000"/>
        </w:rPr>
      </w:pPr>
    </w:p>
    <w:p>
      <w:pPr>
        <w:pStyle w:val="473"/>
        <w:rPr>
          <w:color w:val="000000"/>
        </w:rPr>
      </w:pPr>
    </w:p>
    <w:p>
      <w:pPr>
        <w:pStyle w:val="473"/>
        <w:rPr>
          <w:color w:val="000000"/>
        </w:rPr>
      </w:pPr>
    </w:p>
    <w:p>
      <w:pPr>
        <w:pStyle w:val="473"/>
        <w:rPr>
          <w:color w:val="000000"/>
        </w:rPr>
      </w:pPr>
    </w:p>
    <w:p>
      <w:pPr>
        <w:pStyle w:val="473"/>
        <w:rPr>
          <w:color w:val="000000"/>
        </w:rPr>
      </w:pPr>
    </w:p>
    <w:p>
      <w:pPr>
        <w:pStyle w:val="473"/>
        <w:rPr>
          <w:color w:val="000000"/>
        </w:rPr>
      </w:pPr>
    </w:p>
    <w:p>
      <w:pPr>
        <w:pStyle w:val="473"/>
        <w:rPr>
          <w:color w:val="000000"/>
        </w:rPr>
      </w:pPr>
    </w:p>
    <w:p>
      <w:pPr>
        <w:pStyle w:val="473"/>
        <w:jc w:val="center"/>
        <w:rPr>
          <w:color w:val="000000"/>
        </w:rPr>
      </w:pPr>
      <w:r>
        <w:rPr>
          <w:color w:val="000000"/>
          <w:sz w:val="32"/>
          <w:szCs w:val="32"/>
        </w:rPr>
        <w:t>招  标  人：</w:t>
      </w:r>
      <w:r>
        <w:rPr>
          <w:color w:val="000000"/>
        </w:rPr>
        <w:t>_____________________</w:t>
      </w:r>
    </w:p>
    <w:p>
      <w:pPr>
        <w:pStyle w:val="473"/>
        <w:jc w:val="center"/>
        <w:rPr>
          <w:color w:val="000000"/>
        </w:rPr>
      </w:pPr>
      <w:r>
        <w:rPr>
          <w:color w:val="000000"/>
        </w:rPr>
        <w:t xml:space="preserve">           </w:t>
      </w:r>
      <w:r>
        <w:rPr>
          <w:color w:val="000000"/>
          <w:szCs w:val="21"/>
        </w:rPr>
        <w:t>(单位盖章)</w:t>
      </w:r>
    </w:p>
    <w:p>
      <w:pPr>
        <w:pStyle w:val="473"/>
        <w:jc w:val="center"/>
        <w:rPr>
          <w:color w:val="000000"/>
        </w:rPr>
      </w:pPr>
    </w:p>
    <w:p>
      <w:pPr>
        <w:pStyle w:val="473"/>
        <w:jc w:val="center"/>
        <w:rPr>
          <w:color w:val="000000"/>
        </w:rPr>
      </w:pPr>
    </w:p>
    <w:p>
      <w:pPr>
        <w:pStyle w:val="473"/>
        <w:jc w:val="center"/>
        <w:rPr>
          <w:color w:val="000000"/>
        </w:rPr>
      </w:pPr>
      <w:r>
        <w:rPr>
          <w:color w:val="000000"/>
          <w:sz w:val="32"/>
          <w:szCs w:val="32"/>
        </w:rPr>
        <w:t>造价咨询人：</w:t>
      </w:r>
      <w:r>
        <w:rPr>
          <w:color w:val="000000"/>
        </w:rPr>
        <w:t>_____________________</w:t>
      </w:r>
    </w:p>
    <w:p>
      <w:pPr>
        <w:pStyle w:val="473"/>
        <w:jc w:val="center"/>
        <w:rPr>
          <w:color w:val="000000"/>
        </w:rPr>
      </w:pPr>
      <w:r>
        <w:rPr>
          <w:color w:val="000000"/>
        </w:rPr>
        <w:t xml:space="preserve">            </w:t>
      </w:r>
      <w:r>
        <w:rPr>
          <w:color w:val="000000"/>
          <w:szCs w:val="21"/>
        </w:rPr>
        <w:t>（单位盖章）</w:t>
      </w:r>
    </w:p>
    <w:p>
      <w:pPr>
        <w:pStyle w:val="473"/>
        <w:rPr>
          <w:color w:val="000000"/>
        </w:rPr>
      </w:pPr>
    </w:p>
    <w:p>
      <w:pPr>
        <w:pStyle w:val="473"/>
        <w:rPr>
          <w:color w:val="000000"/>
        </w:rPr>
      </w:pPr>
    </w:p>
    <w:p>
      <w:pPr>
        <w:pStyle w:val="473"/>
        <w:rPr>
          <w:color w:val="000000"/>
        </w:rPr>
      </w:pPr>
    </w:p>
    <w:p>
      <w:pPr>
        <w:pStyle w:val="473"/>
        <w:rPr>
          <w:color w:val="000000"/>
        </w:rPr>
      </w:pPr>
    </w:p>
    <w:p>
      <w:pPr>
        <w:pStyle w:val="473"/>
        <w:rPr>
          <w:color w:val="000000"/>
        </w:rPr>
      </w:pPr>
    </w:p>
    <w:p>
      <w:pPr>
        <w:pStyle w:val="473"/>
        <w:rPr>
          <w:color w:val="000000"/>
        </w:rPr>
      </w:pPr>
    </w:p>
    <w:p>
      <w:pPr>
        <w:pStyle w:val="473"/>
        <w:jc w:val="center"/>
        <w:rPr>
          <w:color w:val="000000"/>
        </w:rPr>
      </w:pPr>
      <w:r>
        <w:rPr>
          <w:color w:val="000000"/>
          <w:sz w:val="32"/>
          <w:szCs w:val="32"/>
        </w:rPr>
        <w:t>年  月  日</w:t>
      </w:r>
    </w:p>
    <w:p>
      <w:pPr>
        <w:pStyle w:val="473"/>
        <w:rPr>
          <w:color w:val="000000"/>
        </w:rPr>
      </w:pPr>
    </w:p>
    <w:p>
      <w:pPr>
        <w:pStyle w:val="473"/>
        <w:rPr>
          <w:color w:val="000000"/>
        </w:rPr>
      </w:pPr>
    </w:p>
    <w:p>
      <w:pPr>
        <w:pStyle w:val="473"/>
        <w:rPr>
          <w:color w:val="000000"/>
        </w:rPr>
      </w:pPr>
    </w:p>
    <w:p>
      <w:pPr>
        <w:pStyle w:val="473"/>
        <w:rPr>
          <w:rFonts w:hint="eastAsia"/>
          <w:color w:val="000000"/>
        </w:rPr>
      </w:pPr>
    </w:p>
    <w:p>
      <w:pPr>
        <w:pStyle w:val="473"/>
        <w:rPr>
          <w:rFonts w:hint="eastAsia"/>
          <w:color w:val="000000"/>
        </w:rPr>
      </w:pPr>
    </w:p>
    <w:p>
      <w:pPr>
        <w:pStyle w:val="473"/>
        <w:rPr>
          <w:rFonts w:hint="eastAsia"/>
          <w:color w:val="000000"/>
        </w:rPr>
      </w:pPr>
    </w:p>
    <w:p>
      <w:pPr>
        <w:pStyle w:val="473"/>
        <w:rPr>
          <w:rFonts w:hint="eastAsia"/>
          <w:color w:val="000000"/>
        </w:rPr>
      </w:pPr>
    </w:p>
    <w:p>
      <w:pPr>
        <w:pStyle w:val="473"/>
        <w:rPr>
          <w:rFonts w:hint="eastAsia"/>
          <w:color w:val="000000"/>
          <w:sz w:val="21"/>
          <w:szCs w:val="21"/>
        </w:rPr>
      </w:pPr>
      <w:r>
        <w:rPr>
          <w:rFonts w:hint="eastAsia" w:ascii="宋体" w:hAnsi="宋体"/>
          <w:color w:val="000000"/>
          <w:sz w:val="21"/>
          <w:szCs w:val="21"/>
        </w:rPr>
        <w:t>表2</w:t>
      </w:r>
      <w:r>
        <w:rPr>
          <w:rFonts w:ascii="宋体" w:hAnsi="宋体"/>
          <w:color w:val="000000"/>
          <w:sz w:val="21"/>
          <w:szCs w:val="21"/>
        </w:rPr>
        <w:t xml:space="preserve"> </w:t>
      </w:r>
      <w:r>
        <w:rPr>
          <w:rFonts w:hint="eastAsia" w:ascii="宋体" w:hAnsi="宋体"/>
          <w:color w:val="000000"/>
          <w:sz w:val="21"/>
          <w:szCs w:val="21"/>
        </w:rPr>
        <w:t>招标控制价扉页</w:t>
      </w:r>
    </w:p>
    <w:p>
      <w:pPr>
        <w:pStyle w:val="473"/>
        <w:rPr>
          <w:rFonts w:hint="eastAsia"/>
          <w:color w:val="000000"/>
        </w:rPr>
      </w:pPr>
    </w:p>
    <w:p>
      <w:pPr>
        <w:pStyle w:val="473"/>
        <w:rPr>
          <w:color w:val="000000"/>
        </w:rPr>
      </w:pPr>
    </w:p>
    <w:p>
      <w:pPr>
        <w:spacing w:line="360" w:lineRule="exact"/>
        <w:jc w:val="center"/>
        <w:rPr>
          <w:rFonts w:hint="eastAsia"/>
          <w:b/>
          <w:color w:val="000000"/>
          <w:sz w:val="36"/>
          <w:szCs w:val="36"/>
        </w:rPr>
      </w:pPr>
      <w:r>
        <w:rPr>
          <w:rFonts w:hint="eastAsia"/>
          <w:b/>
          <w:color w:val="000000"/>
          <w:sz w:val="28"/>
          <w:szCs w:val="28"/>
        </w:rPr>
        <w:t>____________________________</w:t>
      </w:r>
      <w:r>
        <w:rPr>
          <w:rFonts w:hint="eastAsia"/>
          <w:b/>
          <w:color w:val="000000"/>
          <w:sz w:val="36"/>
          <w:szCs w:val="36"/>
        </w:rPr>
        <w:t>工程</w:t>
      </w:r>
    </w:p>
    <w:p>
      <w:pPr>
        <w:spacing w:line="360" w:lineRule="exact"/>
        <w:rPr>
          <w:rFonts w:hint="eastAsia"/>
          <w:color w:val="000000"/>
        </w:rPr>
      </w:pPr>
      <w:r>
        <w:rPr>
          <w:rFonts w:hint="eastAsia"/>
          <w:color w:val="000000"/>
        </w:rPr>
        <w:t xml:space="preserve">   </w:t>
      </w:r>
    </w:p>
    <w:p>
      <w:pPr>
        <w:spacing w:line="360" w:lineRule="exact"/>
        <w:rPr>
          <w:rFonts w:hint="eastAsia"/>
          <w:color w:val="000000"/>
        </w:rPr>
      </w:pPr>
    </w:p>
    <w:p>
      <w:pPr>
        <w:spacing w:line="360" w:lineRule="exact"/>
        <w:rPr>
          <w:rFonts w:hint="eastAsia"/>
          <w:color w:val="000000"/>
        </w:rPr>
      </w:pPr>
    </w:p>
    <w:p>
      <w:pPr>
        <w:spacing w:line="360" w:lineRule="exact"/>
        <w:rPr>
          <w:rFonts w:hint="eastAsia"/>
          <w:color w:val="000000"/>
        </w:rPr>
      </w:pPr>
    </w:p>
    <w:p>
      <w:pPr>
        <w:jc w:val="center"/>
        <w:rPr>
          <w:rFonts w:hint="eastAsia"/>
          <w:b/>
          <w:color w:val="000000"/>
          <w:sz w:val="52"/>
          <w:szCs w:val="52"/>
        </w:rPr>
      </w:pPr>
      <w:r>
        <w:rPr>
          <w:rFonts w:hint="eastAsia"/>
          <w:b/>
          <w:color w:val="000000"/>
          <w:sz w:val="52"/>
          <w:szCs w:val="52"/>
        </w:rPr>
        <w:t>招标控制价</w:t>
      </w:r>
    </w:p>
    <w:p>
      <w:pPr>
        <w:spacing w:line="360" w:lineRule="exact"/>
        <w:rPr>
          <w:rFonts w:hint="eastAsia"/>
          <w:color w:val="000000"/>
        </w:rPr>
      </w:pPr>
    </w:p>
    <w:p>
      <w:pPr>
        <w:spacing w:line="360" w:lineRule="exact"/>
        <w:rPr>
          <w:rFonts w:hint="eastAsia"/>
          <w:color w:val="000000"/>
          <w:sz w:val="24"/>
        </w:rPr>
      </w:pPr>
    </w:p>
    <w:p>
      <w:pPr>
        <w:spacing w:line="360" w:lineRule="exact"/>
        <w:rPr>
          <w:rFonts w:hint="eastAsia"/>
          <w:color w:val="000000"/>
          <w:sz w:val="24"/>
        </w:rPr>
      </w:pPr>
      <w:r>
        <w:rPr>
          <w:rFonts w:hint="eastAsia"/>
          <w:color w:val="000000"/>
          <w:sz w:val="32"/>
          <w:szCs w:val="32"/>
        </w:rPr>
        <w:t>招标控制价（小写）：</w:t>
      </w:r>
      <w:r>
        <w:rPr>
          <w:rFonts w:hint="eastAsia"/>
          <w:color w:val="000000"/>
          <w:sz w:val="24"/>
        </w:rPr>
        <w:t>_______________________</w:t>
      </w:r>
    </w:p>
    <w:p>
      <w:pPr>
        <w:spacing w:line="360" w:lineRule="exact"/>
        <w:rPr>
          <w:rFonts w:hint="eastAsia"/>
          <w:color w:val="000000"/>
          <w:sz w:val="24"/>
        </w:rPr>
      </w:pPr>
      <w:r>
        <w:rPr>
          <w:rFonts w:hint="eastAsia"/>
          <w:color w:val="000000"/>
          <w:sz w:val="24"/>
        </w:rPr>
        <w:t xml:space="preserve">          </w:t>
      </w:r>
    </w:p>
    <w:p>
      <w:pPr>
        <w:spacing w:line="360" w:lineRule="exact"/>
        <w:ind w:firstLine="1600" w:firstLineChars="500"/>
        <w:rPr>
          <w:rFonts w:hint="eastAsia"/>
          <w:color w:val="000000"/>
          <w:sz w:val="24"/>
        </w:rPr>
      </w:pPr>
      <w:r>
        <w:rPr>
          <w:rFonts w:hint="eastAsia"/>
          <w:color w:val="000000"/>
          <w:sz w:val="32"/>
          <w:szCs w:val="32"/>
        </w:rPr>
        <w:t>（大写）：</w:t>
      </w:r>
      <w:r>
        <w:rPr>
          <w:rFonts w:hint="eastAsia"/>
          <w:color w:val="000000"/>
          <w:sz w:val="24"/>
        </w:rPr>
        <w:t>________________________</w:t>
      </w:r>
    </w:p>
    <w:p>
      <w:pPr>
        <w:spacing w:line="360" w:lineRule="exact"/>
        <w:rPr>
          <w:rFonts w:hint="eastAsia"/>
          <w:color w:val="000000"/>
        </w:rPr>
      </w:pPr>
    </w:p>
    <w:p>
      <w:pPr>
        <w:spacing w:line="360" w:lineRule="exact"/>
        <w:rPr>
          <w:rFonts w:hint="eastAsia"/>
          <w:color w:val="000000"/>
        </w:rPr>
      </w:pPr>
    </w:p>
    <w:p>
      <w:pPr>
        <w:spacing w:line="360" w:lineRule="exact"/>
        <w:rPr>
          <w:rFonts w:hint="eastAsia"/>
          <w:color w:val="000000"/>
        </w:rPr>
      </w:pPr>
    </w:p>
    <w:p>
      <w:pPr>
        <w:spacing w:line="360" w:lineRule="exact"/>
        <w:rPr>
          <w:rFonts w:hint="eastAsia"/>
          <w:color w:val="000000"/>
          <w:sz w:val="24"/>
        </w:rPr>
      </w:pPr>
      <w:r>
        <w:rPr>
          <w:rFonts w:hint="eastAsia"/>
          <w:color w:val="000000"/>
          <w:sz w:val="32"/>
          <w:szCs w:val="32"/>
        </w:rPr>
        <w:t>招  标  人：</w:t>
      </w:r>
      <w:r>
        <w:rPr>
          <w:rFonts w:hint="eastAsia"/>
          <w:color w:val="000000"/>
          <w:sz w:val="24"/>
        </w:rPr>
        <w:t>_________________    　</w:t>
      </w:r>
      <w:r>
        <w:rPr>
          <w:rFonts w:hint="eastAsia"/>
          <w:color w:val="000000"/>
          <w:sz w:val="32"/>
          <w:szCs w:val="32"/>
        </w:rPr>
        <w:t>造价咨询人：</w:t>
      </w:r>
      <w:r>
        <w:rPr>
          <w:rFonts w:hint="eastAsia"/>
          <w:color w:val="000000"/>
          <w:sz w:val="24"/>
        </w:rPr>
        <w:t>__________________</w:t>
      </w:r>
    </w:p>
    <w:p>
      <w:pPr>
        <w:spacing w:line="360" w:lineRule="exact"/>
        <w:rPr>
          <w:rFonts w:hint="eastAsia"/>
          <w:color w:val="000000"/>
          <w:szCs w:val="21"/>
        </w:rPr>
      </w:pPr>
      <w:r>
        <w:rPr>
          <w:rFonts w:hint="eastAsia"/>
          <w:color w:val="000000"/>
          <w:sz w:val="24"/>
        </w:rPr>
        <w:t xml:space="preserve">       </w:t>
      </w:r>
      <w:r>
        <w:rPr>
          <w:rFonts w:hint="eastAsia"/>
          <w:color w:val="000000"/>
          <w:szCs w:val="21"/>
        </w:rPr>
        <w:t xml:space="preserve">              （单位盖章）                        　    （单位资质专用章）</w:t>
      </w:r>
    </w:p>
    <w:p>
      <w:pPr>
        <w:spacing w:line="360" w:lineRule="exact"/>
        <w:rPr>
          <w:rFonts w:hint="eastAsia"/>
          <w:color w:val="000000"/>
          <w:sz w:val="24"/>
        </w:rPr>
      </w:pPr>
    </w:p>
    <w:p>
      <w:pPr>
        <w:spacing w:line="360" w:lineRule="exact"/>
        <w:rPr>
          <w:rFonts w:hint="eastAsia"/>
          <w:color w:val="000000"/>
          <w:sz w:val="24"/>
        </w:rPr>
      </w:pPr>
    </w:p>
    <w:p>
      <w:pPr>
        <w:spacing w:line="360" w:lineRule="exact"/>
        <w:rPr>
          <w:rFonts w:hint="eastAsia"/>
          <w:color w:val="000000"/>
          <w:sz w:val="32"/>
          <w:szCs w:val="32"/>
        </w:rPr>
      </w:pPr>
      <w:r>
        <w:rPr>
          <w:rFonts w:hint="eastAsia"/>
          <w:color w:val="000000"/>
          <w:sz w:val="32"/>
          <w:szCs w:val="32"/>
        </w:rPr>
        <w:t xml:space="preserve">法定代表人  </w:t>
      </w:r>
      <w:r>
        <w:rPr>
          <w:rFonts w:hint="eastAsia"/>
          <w:color w:val="000000"/>
          <w:sz w:val="24"/>
        </w:rPr>
        <w:t xml:space="preserve">                   　</w:t>
      </w:r>
      <w:r>
        <w:rPr>
          <w:rFonts w:hint="eastAsia"/>
          <w:color w:val="000000"/>
          <w:sz w:val="32"/>
          <w:szCs w:val="32"/>
        </w:rPr>
        <w:t>法定代表人</w:t>
      </w:r>
    </w:p>
    <w:p>
      <w:pPr>
        <w:spacing w:line="360" w:lineRule="exact"/>
        <w:rPr>
          <w:rFonts w:hint="eastAsia"/>
          <w:color w:val="000000"/>
          <w:sz w:val="24"/>
        </w:rPr>
      </w:pPr>
      <w:r>
        <w:rPr>
          <w:rFonts w:hint="eastAsia"/>
          <w:color w:val="000000"/>
          <w:sz w:val="32"/>
          <w:szCs w:val="32"/>
        </w:rPr>
        <w:t>或其授权人：</w:t>
      </w:r>
      <w:r>
        <w:rPr>
          <w:rFonts w:hint="eastAsia"/>
          <w:color w:val="000000"/>
          <w:sz w:val="24"/>
        </w:rPr>
        <w:t>__________________ 　</w:t>
      </w:r>
      <w:r>
        <w:rPr>
          <w:rFonts w:hint="eastAsia"/>
          <w:color w:val="000000"/>
          <w:sz w:val="32"/>
          <w:szCs w:val="32"/>
        </w:rPr>
        <w:t>或其授权人：</w:t>
      </w:r>
      <w:r>
        <w:rPr>
          <w:rFonts w:hint="eastAsia"/>
          <w:color w:val="000000"/>
          <w:sz w:val="24"/>
        </w:rPr>
        <w:t>___________________</w:t>
      </w:r>
    </w:p>
    <w:p>
      <w:pPr>
        <w:spacing w:line="360" w:lineRule="exact"/>
        <w:rPr>
          <w:rFonts w:hint="eastAsia"/>
          <w:color w:val="000000"/>
          <w:szCs w:val="21"/>
        </w:rPr>
      </w:pPr>
      <w:r>
        <w:rPr>
          <w:rFonts w:hint="eastAsia"/>
          <w:color w:val="000000"/>
          <w:sz w:val="24"/>
        </w:rPr>
        <w:t xml:space="preserve">          </w:t>
      </w:r>
      <w:r>
        <w:rPr>
          <w:rFonts w:hint="eastAsia"/>
          <w:color w:val="000000"/>
          <w:szCs w:val="21"/>
        </w:rPr>
        <w:t xml:space="preserve">          （签字或盖章）       </w:t>
      </w:r>
      <w:r>
        <w:rPr>
          <w:rFonts w:hint="eastAsia"/>
          <w:color w:val="000000"/>
          <w:sz w:val="24"/>
        </w:rPr>
        <w:t xml:space="preserve">               　  </w:t>
      </w:r>
      <w:r>
        <w:rPr>
          <w:rFonts w:hint="eastAsia"/>
          <w:color w:val="000000"/>
          <w:szCs w:val="21"/>
        </w:rPr>
        <w:t>（签字或盖章）</w:t>
      </w:r>
    </w:p>
    <w:p>
      <w:pPr>
        <w:spacing w:line="360" w:lineRule="exact"/>
        <w:rPr>
          <w:rFonts w:hint="eastAsia"/>
          <w:color w:val="000000"/>
          <w:sz w:val="24"/>
        </w:rPr>
      </w:pPr>
    </w:p>
    <w:p>
      <w:pPr>
        <w:spacing w:line="360" w:lineRule="exact"/>
        <w:rPr>
          <w:rFonts w:hint="eastAsia"/>
          <w:color w:val="000000"/>
          <w:sz w:val="24"/>
        </w:rPr>
      </w:pPr>
    </w:p>
    <w:p>
      <w:pPr>
        <w:spacing w:line="360" w:lineRule="exact"/>
        <w:rPr>
          <w:rFonts w:hint="eastAsia"/>
          <w:color w:val="000000"/>
          <w:sz w:val="24"/>
        </w:rPr>
      </w:pPr>
      <w:r>
        <w:rPr>
          <w:rFonts w:hint="eastAsia"/>
          <w:color w:val="000000"/>
          <w:sz w:val="32"/>
          <w:szCs w:val="32"/>
        </w:rPr>
        <w:t>编  制  人：</w:t>
      </w:r>
      <w:r>
        <w:rPr>
          <w:rFonts w:hint="eastAsia"/>
          <w:color w:val="000000"/>
          <w:sz w:val="24"/>
        </w:rPr>
        <w:t>___________________　</w:t>
      </w:r>
      <w:r>
        <w:rPr>
          <w:rFonts w:hint="eastAsia"/>
          <w:color w:val="000000"/>
          <w:sz w:val="32"/>
          <w:szCs w:val="32"/>
        </w:rPr>
        <w:t>复  核  人：</w:t>
      </w:r>
      <w:r>
        <w:rPr>
          <w:rFonts w:hint="eastAsia"/>
          <w:color w:val="000000"/>
          <w:sz w:val="24"/>
        </w:rPr>
        <w:t>___________________</w:t>
      </w:r>
    </w:p>
    <w:p>
      <w:pPr>
        <w:spacing w:line="360" w:lineRule="exact"/>
        <w:rPr>
          <w:rFonts w:hint="eastAsia"/>
          <w:color w:val="000000"/>
          <w:szCs w:val="21"/>
        </w:rPr>
      </w:pPr>
      <w:r>
        <w:rPr>
          <w:rFonts w:hint="eastAsia"/>
          <w:color w:val="000000"/>
          <w:sz w:val="24"/>
        </w:rPr>
        <w:t xml:space="preserve">         </w:t>
      </w:r>
      <w:r>
        <w:rPr>
          <w:rFonts w:hint="eastAsia"/>
          <w:color w:val="000000"/>
          <w:szCs w:val="21"/>
        </w:rPr>
        <w:t xml:space="preserve">          （造价人员签字）                  　  （造价工程师签字盖专用章）</w:t>
      </w:r>
    </w:p>
    <w:p>
      <w:pPr>
        <w:spacing w:line="360" w:lineRule="exact"/>
        <w:rPr>
          <w:rFonts w:hint="eastAsia"/>
          <w:color w:val="000000"/>
          <w:sz w:val="24"/>
        </w:rPr>
      </w:pPr>
    </w:p>
    <w:p>
      <w:pPr>
        <w:spacing w:line="360" w:lineRule="exact"/>
        <w:rPr>
          <w:rFonts w:hint="eastAsia"/>
          <w:color w:val="000000"/>
          <w:sz w:val="24"/>
        </w:rPr>
      </w:pPr>
    </w:p>
    <w:p>
      <w:pPr>
        <w:spacing w:line="360" w:lineRule="exact"/>
        <w:rPr>
          <w:rFonts w:hint="eastAsia"/>
          <w:color w:val="000000"/>
          <w:sz w:val="24"/>
        </w:rPr>
      </w:pPr>
    </w:p>
    <w:p>
      <w:pPr>
        <w:spacing w:line="360" w:lineRule="exact"/>
        <w:rPr>
          <w:rFonts w:hint="eastAsia"/>
          <w:color w:val="000000"/>
          <w:sz w:val="32"/>
          <w:szCs w:val="32"/>
        </w:rPr>
      </w:pPr>
      <w:r>
        <w:rPr>
          <w:rFonts w:hint="eastAsia"/>
          <w:color w:val="000000"/>
          <w:sz w:val="32"/>
          <w:szCs w:val="32"/>
        </w:rPr>
        <w:t>编制时间：  年  月  日       复核时间：  年  月  日</w:t>
      </w:r>
    </w:p>
    <w:p>
      <w:pPr>
        <w:spacing w:line="360" w:lineRule="exact"/>
        <w:rPr>
          <w:rFonts w:hint="eastAsia"/>
          <w:color w:val="000000"/>
        </w:rPr>
      </w:pPr>
    </w:p>
    <w:p>
      <w:pPr>
        <w:pStyle w:val="473"/>
        <w:ind w:left="0" w:firstLine="0"/>
        <w:jc w:val="left"/>
        <w:rPr>
          <w:rFonts w:hint="eastAsia"/>
          <w:b/>
          <w:color w:val="000000"/>
          <w:sz w:val="36"/>
          <w:szCs w:val="36"/>
        </w:rPr>
      </w:pPr>
    </w:p>
    <w:p>
      <w:pPr>
        <w:pStyle w:val="473"/>
        <w:ind w:left="0" w:firstLine="0"/>
        <w:jc w:val="left"/>
        <w:rPr>
          <w:rFonts w:hint="eastAsia"/>
          <w:b/>
          <w:color w:val="000000"/>
          <w:sz w:val="36"/>
          <w:szCs w:val="36"/>
        </w:rPr>
      </w:pPr>
    </w:p>
    <w:p>
      <w:pPr>
        <w:pStyle w:val="473"/>
        <w:ind w:left="0" w:firstLine="0"/>
        <w:jc w:val="left"/>
        <w:rPr>
          <w:rFonts w:hint="eastAsia"/>
          <w:b/>
          <w:color w:val="000000"/>
          <w:sz w:val="36"/>
          <w:szCs w:val="36"/>
        </w:rPr>
      </w:pPr>
    </w:p>
    <w:p>
      <w:pPr>
        <w:pStyle w:val="473"/>
        <w:ind w:left="0" w:firstLine="0"/>
        <w:jc w:val="left"/>
        <w:rPr>
          <w:rFonts w:hint="eastAsia"/>
          <w:b/>
          <w:color w:val="000000"/>
          <w:sz w:val="36"/>
          <w:szCs w:val="36"/>
        </w:rPr>
      </w:pPr>
      <w:r>
        <w:rPr>
          <w:rFonts w:ascii="宋体" w:hAnsi="宋体"/>
          <w:color w:val="000000"/>
          <w:sz w:val="21"/>
          <w:szCs w:val="21"/>
        </w:rPr>
        <w:t>表3  编制说明</w:t>
      </w:r>
    </w:p>
    <w:p>
      <w:pPr>
        <w:pStyle w:val="473"/>
        <w:ind w:left="0" w:firstLine="0"/>
        <w:jc w:val="center"/>
        <w:rPr>
          <w:color w:val="000000"/>
        </w:rPr>
      </w:pPr>
      <w:r>
        <w:rPr>
          <w:b/>
          <w:color w:val="000000"/>
          <w:sz w:val="36"/>
          <w:szCs w:val="36"/>
        </w:rPr>
        <w:t>编  制  说  明</w:t>
      </w:r>
    </w:p>
    <w:p>
      <w:pPr>
        <w:pStyle w:val="473"/>
        <w:rPr>
          <w:color w:val="000000"/>
        </w:rPr>
      </w:pPr>
      <w:r>
        <w:rPr>
          <w:color w:val="000000"/>
        </w:rPr>
        <w:t>工程名称：                                               第  页 共  页</w:t>
      </w:r>
    </w:p>
    <w:tbl>
      <w:tblPr>
        <w:tblStyle w:val="83"/>
        <w:tblW w:w="0" w:type="auto"/>
        <w:tblInd w:w="0" w:type="dxa"/>
        <w:tblLayout w:type="autofit"/>
        <w:tblCellMar>
          <w:top w:w="0" w:type="dxa"/>
          <w:left w:w="108" w:type="dxa"/>
          <w:bottom w:w="0" w:type="dxa"/>
          <w:right w:w="108" w:type="dxa"/>
        </w:tblCellMar>
      </w:tblPr>
      <w:tblGrid>
        <w:gridCol w:w="8660"/>
      </w:tblGrid>
      <w:tr>
        <w:tblPrEx>
          <w:tblCellMar>
            <w:top w:w="0" w:type="dxa"/>
            <w:left w:w="108" w:type="dxa"/>
            <w:bottom w:w="0" w:type="dxa"/>
            <w:right w:w="108" w:type="dxa"/>
          </w:tblCellMar>
        </w:tblPrEx>
        <w:trPr>
          <w:trHeight w:val="12294" w:hRule="atLeast"/>
        </w:trPr>
        <w:tc>
          <w:tcPr>
            <w:tcW w:w="8660" w:type="dxa"/>
            <w:tcBorders>
              <w:top w:val="single" w:color="auto" w:sz="4" w:space="0"/>
              <w:left w:val="single" w:color="auto" w:sz="4" w:space="0"/>
              <w:bottom w:val="single" w:color="auto" w:sz="4" w:space="0"/>
              <w:right w:val="single" w:color="auto" w:sz="4" w:space="0"/>
            </w:tcBorders>
            <w:noWrap w:val="0"/>
            <w:vAlign w:val="top"/>
          </w:tcPr>
          <w:p>
            <w:pPr>
              <w:pStyle w:val="473"/>
              <w:rPr>
                <w:color w:val="000000"/>
              </w:rPr>
            </w:pPr>
          </w:p>
          <w:p>
            <w:pPr>
              <w:pStyle w:val="473"/>
              <w:rPr>
                <w:color w:val="000000"/>
              </w:rPr>
            </w:pPr>
          </w:p>
        </w:tc>
      </w:tr>
    </w:tbl>
    <w:p>
      <w:pPr>
        <w:spacing w:line="360" w:lineRule="auto"/>
        <w:ind w:firstLine="420" w:firstLineChars="200"/>
        <w:rPr>
          <w:rFonts w:hint="eastAsia" w:ascii="宋体" w:hAnsi="宋体" w:cs="方正小标宋_GBK"/>
          <w:color w:val="000000"/>
          <w:szCs w:val="21"/>
        </w:rPr>
      </w:pPr>
    </w:p>
    <w:p>
      <w:pPr>
        <w:spacing w:line="360" w:lineRule="auto"/>
        <w:ind w:firstLine="420" w:firstLineChars="200"/>
        <w:rPr>
          <w:rFonts w:hint="eastAsia" w:ascii="宋体" w:hAnsi="宋体"/>
          <w:color w:val="000000"/>
          <w:szCs w:val="21"/>
        </w:rPr>
      </w:pPr>
      <w:r>
        <w:rPr>
          <w:rFonts w:hint="eastAsia" w:ascii="宋体" w:hAnsi="宋体" w:cs="方正小标宋_GBK"/>
          <w:color w:val="000000"/>
          <w:szCs w:val="21"/>
        </w:rPr>
        <w:t>表4 工程总承包项目费用</w:t>
      </w:r>
      <w:r>
        <w:rPr>
          <w:rFonts w:hint="eastAsia" w:ascii="宋体" w:hAnsi="宋体"/>
          <w:color w:val="000000"/>
          <w:szCs w:val="21"/>
        </w:rPr>
        <w:t>汇总表</w:t>
      </w:r>
    </w:p>
    <w:p>
      <w:pPr>
        <w:spacing w:line="360" w:lineRule="auto"/>
        <w:jc w:val="center"/>
        <w:rPr>
          <w:rFonts w:hint="eastAsia" w:ascii="宋体" w:hAnsi="宋体" w:cs="方正小标宋_GBK"/>
          <w:color w:val="000000"/>
          <w:szCs w:val="21"/>
        </w:rPr>
      </w:pPr>
    </w:p>
    <w:p>
      <w:pPr>
        <w:spacing w:line="360" w:lineRule="auto"/>
        <w:jc w:val="center"/>
        <w:rPr>
          <w:rFonts w:hint="eastAsia" w:ascii="宋体" w:hAnsi="宋体" w:cs="方正小标宋_GBK"/>
          <w:color w:val="000000"/>
          <w:szCs w:val="21"/>
        </w:rPr>
      </w:pPr>
    </w:p>
    <w:p>
      <w:pPr>
        <w:spacing w:line="360" w:lineRule="auto"/>
        <w:jc w:val="center"/>
        <w:rPr>
          <w:rFonts w:hint="eastAsia" w:ascii="Arial" w:hAnsi="Arial"/>
          <w:b/>
          <w:color w:val="000000"/>
          <w:kern w:val="0"/>
          <w:sz w:val="36"/>
          <w:szCs w:val="36"/>
        </w:rPr>
      </w:pPr>
      <w:r>
        <w:rPr>
          <w:rFonts w:hint="eastAsia" w:ascii="Arial" w:hAnsi="Arial"/>
          <w:b/>
          <w:color w:val="000000"/>
          <w:kern w:val="0"/>
          <w:sz w:val="36"/>
          <w:szCs w:val="36"/>
        </w:rPr>
        <w:t>工程总承包项目费用汇总表</w:t>
      </w:r>
    </w:p>
    <w:p>
      <w:pPr>
        <w:pStyle w:val="473"/>
        <w:rPr>
          <w:color w:val="000000"/>
        </w:rPr>
      </w:pPr>
      <w:r>
        <w:rPr>
          <w:color w:val="000000"/>
        </w:rPr>
        <w:t>工程名称：                                               第  页 共  页</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97"/>
        <w:gridCol w:w="2957"/>
        <w:gridCol w:w="1997"/>
        <w:gridCol w:w="2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97" w:type="dxa"/>
            <w:noWrap w:val="0"/>
            <w:tcMar>
              <w:top w:w="0" w:type="dxa"/>
              <w:left w:w="108" w:type="dxa"/>
              <w:bottom w:w="0" w:type="dxa"/>
              <w:right w:w="108" w:type="dxa"/>
            </w:tcMar>
            <w:vAlign w:val="center"/>
          </w:tcPr>
          <w:p>
            <w:pPr>
              <w:widowControl/>
              <w:jc w:val="center"/>
              <w:rPr>
                <w:rFonts w:ascii="宋体" w:hAnsi="宋体"/>
                <w:bCs/>
                <w:color w:val="000000"/>
                <w:szCs w:val="21"/>
              </w:rPr>
            </w:pPr>
            <w:r>
              <w:rPr>
                <w:rFonts w:hint="eastAsia" w:ascii="宋体" w:hAnsi="宋体" w:cs="黑体"/>
                <w:bCs/>
                <w:color w:val="000000"/>
                <w:szCs w:val="21"/>
              </w:rPr>
              <w:t>序号</w:t>
            </w:r>
          </w:p>
        </w:tc>
        <w:tc>
          <w:tcPr>
            <w:tcW w:w="2957" w:type="dxa"/>
            <w:noWrap w:val="0"/>
            <w:tcMar>
              <w:top w:w="0" w:type="dxa"/>
              <w:left w:w="108" w:type="dxa"/>
              <w:bottom w:w="0" w:type="dxa"/>
              <w:right w:w="108" w:type="dxa"/>
            </w:tcMar>
            <w:vAlign w:val="center"/>
          </w:tcPr>
          <w:p>
            <w:pPr>
              <w:widowControl/>
              <w:jc w:val="center"/>
              <w:rPr>
                <w:rFonts w:ascii="宋体" w:hAnsi="宋体"/>
                <w:bCs/>
                <w:color w:val="000000"/>
                <w:szCs w:val="21"/>
              </w:rPr>
            </w:pPr>
            <w:r>
              <w:rPr>
                <w:rFonts w:hint="eastAsia" w:ascii="宋体" w:hAnsi="宋体" w:cs="黑体"/>
                <w:bCs/>
                <w:color w:val="000000"/>
                <w:szCs w:val="21"/>
              </w:rPr>
              <w:t>项目名称</w:t>
            </w:r>
          </w:p>
        </w:tc>
        <w:tc>
          <w:tcPr>
            <w:tcW w:w="1997" w:type="dxa"/>
            <w:noWrap w:val="0"/>
            <w:tcMar>
              <w:top w:w="0" w:type="dxa"/>
              <w:left w:w="108" w:type="dxa"/>
              <w:bottom w:w="0" w:type="dxa"/>
              <w:right w:w="108" w:type="dxa"/>
            </w:tcMar>
            <w:vAlign w:val="center"/>
          </w:tcPr>
          <w:p>
            <w:pPr>
              <w:widowControl/>
              <w:jc w:val="center"/>
              <w:rPr>
                <w:rFonts w:ascii="宋体" w:hAnsi="宋体"/>
                <w:bCs/>
                <w:color w:val="000000"/>
                <w:szCs w:val="21"/>
              </w:rPr>
            </w:pPr>
            <w:r>
              <w:rPr>
                <w:rFonts w:hint="eastAsia" w:ascii="宋体" w:hAnsi="宋体" w:cs="黑体"/>
                <w:bCs/>
                <w:color w:val="000000"/>
                <w:szCs w:val="21"/>
              </w:rPr>
              <w:t>金额（元）</w:t>
            </w:r>
          </w:p>
        </w:tc>
        <w:tc>
          <w:tcPr>
            <w:tcW w:w="2516" w:type="dxa"/>
            <w:noWrap w:val="0"/>
            <w:tcMar>
              <w:top w:w="0" w:type="dxa"/>
              <w:left w:w="108" w:type="dxa"/>
              <w:bottom w:w="0" w:type="dxa"/>
              <w:right w:w="108" w:type="dxa"/>
            </w:tcMar>
            <w:vAlign w:val="center"/>
          </w:tcPr>
          <w:p>
            <w:pPr>
              <w:widowControl/>
              <w:jc w:val="center"/>
              <w:rPr>
                <w:rFonts w:ascii="宋体" w:hAnsi="宋体"/>
                <w:bCs/>
                <w:color w:val="000000"/>
                <w:szCs w:val="21"/>
              </w:rPr>
            </w:pPr>
            <w:r>
              <w:rPr>
                <w:rFonts w:hint="eastAsia" w:ascii="宋体" w:hAnsi="宋体" w:cs="黑体"/>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97" w:type="dxa"/>
            <w:noWrap w:val="0"/>
            <w:tcMar>
              <w:top w:w="0" w:type="dxa"/>
              <w:left w:w="108" w:type="dxa"/>
              <w:bottom w:w="0" w:type="dxa"/>
              <w:right w:w="108" w:type="dxa"/>
            </w:tcMar>
            <w:vAlign w:val="center"/>
          </w:tcPr>
          <w:p>
            <w:pPr>
              <w:widowControl/>
              <w:jc w:val="center"/>
              <w:rPr>
                <w:rFonts w:ascii="宋体" w:hAnsi="宋体"/>
                <w:bCs/>
                <w:color w:val="000000"/>
                <w:szCs w:val="21"/>
              </w:rPr>
            </w:pPr>
            <w:r>
              <w:rPr>
                <w:rFonts w:ascii="宋体" w:hAnsi="宋体"/>
                <w:bCs/>
                <w:color w:val="000000"/>
                <w:szCs w:val="21"/>
              </w:rPr>
              <w:t>1</w:t>
            </w:r>
          </w:p>
        </w:tc>
        <w:tc>
          <w:tcPr>
            <w:tcW w:w="2957" w:type="dxa"/>
            <w:noWrap w:val="0"/>
            <w:tcMar>
              <w:top w:w="0" w:type="dxa"/>
              <w:left w:w="108" w:type="dxa"/>
              <w:bottom w:w="0" w:type="dxa"/>
              <w:right w:w="108" w:type="dxa"/>
            </w:tcMar>
            <w:vAlign w:val="center"/>
          </w:tcPr>
          <w:p>
            <w:pPr>
              <w:widowControl/>
              <w:jc w:val="center"/>
              <w:rPr>
                <w:rFonts w:ascii="宋体" w:hAnsi="宋体"/>
                <w:bCs/>
                <w:color w:val="000000"/>
                <w:szCs w:val="21"/>
              </w:rPr>
            </w:pPr>
            <w:r>
              <w:rPr>
                <w:rFonts w:hint="eastAsia" w:ascii="宋体" w:hAnsi="宋体" w:cs="黑体"/>
                <w:bCs/>
                <w:color w:val="000000"/>
                <w:szCs w:val="21"/>
              </w:rPr>
              <w:t>设计费</w:t>
            </w:r>
          </w:p>
        </w:tc>
        <w:tc>
          <w:tcPr>
            <w:tcW w:w="1997" w:type="dxa"/>
            <w:noWrap w:val="0"/>
            <w:tcMar>
              <w:top w:w="0" w:type="dxa"/>
              <w:left w:w="108" w:type="dxa"/>
              <w:bottom w:w="0" w:type="dxa"/>
              <w:right w:w="108" w:type="dxa"/>
            </w:tcMar>
            <w:vAlign w:val="center"/>
          </w:tcPr>
          <w:p>
            <w:pPr>
              <w:widowControl/>
              <w:jc w:val="right"/>
              <w:rPr>
                <w:rFonts w:ascii="宋体" w:hAnsi="宋体"/>
                <w:color w:val="000000"/>
                <w:szCs w:val="21"/>
              </w:rPr>
            </w:pPr>
          </w:p>
        </w:tc>
        <w:tc>
          <w:tcPr>
            <w:tcW w:w="2516" w:type="dxa"/>
            <w:noWrap w:val="0"/>
            <w:tcMar>
              <w:top w:w="0" w:type="dxa"/>
              <w:left w:w="108" w:type="dxa"/>
              <w:bottom w:w="0" w:type="dxa"/>
              <w:right w:w="108" w:type="dxa"/>
            </w:tcMar>
            <w:vAlign w:val="center"/>
          </w:tcPr>
          <w:p>
            <w:pPr>
              <w:widowControl/>
              <w:ind w:right="840"/>
              <w:rPr>
                <w:rFonts w:ascii="宋体" w:hAnsi="宋体"/>
                <w:color w:val="000000"/>
                <w:szCs w:val="21"/>
              </w:rPr>
            </w:pPr>
            <w:r>
              <w:rPr>
                <w:rFonts w:hint="eastAsia" w:ascii="宋体" w:hAnsi="宋体" w:cs="黑体"/>
                <w:color w:val="000000"/>
                <w:szCs w:val="21"/>
              </w:rPr>
              <w:t>如要求提供</w:t>
            </w:r>
            <w:r>
              <w:rPr>
                <w:rFonts w:ascii="宋体" w:hAnsi="宋体" w:cs="黑体"/>
                <w:color w:val="000000"/>
                <w:szCs w:val="21"/>
              </w:rPr>
              <w:t>BIM</w:t>
            </w:r>
            <w:r>
              <w:rPr>
                <w:rFonts w:hint="eastAsia" w:ascii="宋体" w:hAnsi="宋体" w:cs="黑体"/>
                <w:color w:val="000000"/>
                <w:szCs w:val="21"/>
              </w:rPr>
              <w:t>模型，包含</w:t>
            </w:r>
            <w:r>
              <w:rPr>
                <w:rFonts w:ascii="宋体" w:hAnsi="宋体" w:cs="黑体"/>
                <w:color w:val="000000"/>
                <w:szCs w:val="21"/>
              </w:rPr>
              <w:t>BIM</w:t>
            </w:r>
            <w:r>
              <w:rPr>
                <w:rFonts w:hint="eastAsia" w:ascii="宋体" w:hAnsi="宋体" w:cs="黑体"/>
                <w:color w:val="000000"/>
                <w:szCs w:val="21"/>
              </w:rPr>
              <w:t>建模费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97" w:type="dxa"/>
            <w:noWrap w:val="0"/>
            <w:tcMar>
              <w:top w:w="0" w:type="dxa"/>
              <w:left w:w="108" w:type="dxa"/>
              <w:bottom w:w="0" w:type="dxa"/>
              <w:right w:w="108" w:type="dxa"/>
            </w:tcMar>
            <w:vAlign w:val="center"/>
          </w:tcPr>
          <w:p>
            <w:pPr>
              <w:widowControl/>
              <w:jc w:val="center"/>
              <w:rPr>
                <w:rFonts w:ascii="宋体" w:hAnsi="宋体"/>
                <w:bCs/>
                <w:color w:val="000000"/>
                <w:szCs w:val="21"/>
              </w:rPr>
            </w:pPr>
            <w:r>
              <w:rPr>
                <w:rFonts w:ascii="宋体" w:hAnsi="宋体"/>
                <w:bCs/>
                <w:color w:val="000000"/>
                <w:szCs w:val="21"/>
              </w:rPr>
              <w:t>2</w:t>
            </w:r>
          </w:p>
        </w:tc>
        <w:tc>
          <w:tcPr>
            <w:tcW w:w="2957" w:type="dxa"/>
            <w:noWrap w:val="0"/>
            <w:tcMar>
              <w:top w:w="0" w:type="dxa"/>
              <w:left w:w="108" w:type="dxa"/>
              <w:bottom w:w="0" w:type="dxa"/>
              <w:right w:w="108" w:type="dxa"/>
            </w:tcMar>
            <w:vAlign w:val="center"/>
          </w:tcPr>
          <w:p>
            <w:pPr>
              <w:widowControl/>
              <w:jc w:val="center"/>
              <w:rPr>
                <w:rFonts w:ascii="宋体" w:hAnsi="宋体"/>
                <w:bCs/>
                <w:color w:val="000000"/>
                <w:szCs w:val="21"/>
              </w:rPr>
            </w:pPr>
            <w:r>
              <w:rPr>
                <w:rFonts w:hint="eastAsia" w:ascii="宋体" w:hAnsi="宋体" w:cs="黑体"/>
                <w:bCs/>
                <w:color w:val="000000"/>
                <w:szCs w:val="21"/>
              </w:rPr>
              <w:t>建筑安装工程费</w:t>
            </w:r>
          </w:p>
        </w:tc>
        <w:tc>
          <w:tcPr>
            <w:tcW w:w="1997" w:type="dxa"/>
            <w:noWrap w:val="0"/>
            <w:tcMar>
              <w:top w:w="0" w:type="dxa"/>
              <w:left w:w="108" w:type="dxa"/>
              <w:bottom w:w="0" w:type="dxa"/>
              <w:right w:w="108" w:type="dxa"/>
            </w:tcMar>
            <w:vAlign w:val="center"/>
          </w:tcPr>
          <w:p>
            <w:pPr>
              <w:widowControl/>
              <w:ind w:right="210"/>
              <w:jc w:val="right"/>
              <w:rPr>
                <w:rFonts w:ascii="宋体" w:hAnsi="宋体"/>
                <w:color w:val="000000"/>
                <w:szCs w:val="21"/>
              </w:rPr>
            </w:pPr>
            <w:r>
              <w:rPr>
                <w:rFonts w:hint="eastAsia" w:ascii="宋体" w:hAnsi="宋体"/>
                <w:color w:val="000000"/>
                <w:szCs w:val="21"/>
              </w:rPr>
              <w:t>2.1+2.2+2.3</w:t>
            </w:r>
          </w:p>
        </w:tc>
        <w:tc>
          <w:tcPr>
            <w:tcW w:w="2516" w:type="dxa"/>
            <w:noWrap w:val="0"/>
            <w:tcMar>
              <w:top w:w="0" w:type="dxa"/>
              <w:left w:w="108" w:type="dxa"/>
              <w:bottom w:w="0" w:type="dxa"/>
              <w:right w:w="108" w:type="dxa"/>
            </w:tcMar>
            <w:vAlign w:val="center"/>
          </w:tcPr>
          <w:p>
            <w:pPr>
              <w:widowControl/>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97" w:type="dxa"/>
            <w:noWrap w:val="0"/>
            <w:tcMar>
              <w:top w:w="0" w:type="dxa"/>
              <w:left w:w="108" w:type="dxa"/>
              <w:bottom w:w="0" w:type="dxa"/>
              <w:right w:w="108" w:type="dxa"/>
            </w:tcMar>
            <w:vAlign w:val="center"/>
          </w:tcPr>
          <w:p>
            <w:pPr>
              <w:widowControl/>
              <w:jc w:val="center"/>
              <w:rPr>
                <w:rFonts w:ascii="宋体" w:hAnsi="宋体"/>
                <w:bCs/>
                <w:color w:val="000000"/>
                <w:szCs w:val="21"/>
              </w:rPr>
            </w:pPr>
            <w:r>
              <w:rPr>
                <w:rFonts w:hint="eastAsia" w:ascii="宋体" w:hAnsi="宋体"/>
                <w:bCs/>
                <w:color w:val="000000"/>
                <w:szCs w:val="21"/>
              </w:rPr>
              <w:t>2.1</w:t>
            </w:r>
          </w:p>
        </w:tc>
        <w:tc>
          <w:tcPr>
            <w:tcW w:w="2957" w:type="dxa"/>
            <w:noWrap w:val="0"/>
            <w:tcMar>
              <w:top w:w="0" w:type="dxa"/>
              <w:left w:w="108" w:type="dxa"/>
              <w:bottom w:w="0" w:type="dxa"/>
              <w:right w:w="108" w:type="dxa"/>
            </w:tcMar>
            <w:vAlign w:val="center"/>
          </w:tcPr>
          <w:p>
            <w:pPr>
              <w:widowControl/>
              <w:ind w:firstLine="630" w:firstLineChars="300"/>
              <w:rPr>
                <w:rFonts w:ascii="宋体" w:hAnsi="宋体" w:cs="黑体"/>
                <w:bCs/>
                <w:color w:val="000000"/>
                <w:szCs w:val="21"/>
              </w:rPr>
            </w:pPr>
            <w:r>
              <w:rPr>
                <w:rFonts w:hint="eastAsia" w:ascii="宋体" w:hAnsi="宋体" w:cs="黑体"/>
                <w:bCs/>
                <w:color w:val="000000"/>
                <w:szCs w:val="21"/>
              </w:rPr>
              <w:t>固定总价</w:t>
            </w:r>
          </w:p>
        </w:tc>
        <w:tc>
          <w:tcPr>
            <w:tcW w:w="1997" w:type="dxa"/>
            <w:noWrap w:val="0"/>
            <w:tcMar>
              <w:top w:w="0" w:type="dxa"/>
              <w:left w:w="108" w:type="dxa"/>
              <w:bottom w:w="0" w:type="dxa"/>
              <w:right w:w="108" w:type="dxa"/>
            </w:tcMar>
            <w:vAlign w:val="center"/>
          </w:tcPr>
          <w:p>
            <w:pPr>
              <w:widowControl/>
              <w:jc w:val="right"/>
              <w:rPr>
                <w:rFonts w:ascii="宋体" w:hAnsi="宋体"/>
                <w:color w:val="000000"/>
                <w:szCs w:val="21"/>
              </w:rPr>
            </w:pPr>
          </w:p>
        </w:tc>
        <w:tc>
          <w:tcPr>
            <w:tcW w:w="2516" w:type="dxa"/>
            <w:noWrap w:val="0"/>
            <w:tcMar>
              <w:top w:w="0" w:type="dxa"/>
              <w:left w:w="108" w:type="dxa"/>
              <w:bottom w:w="0" w:type="dxa"/>
              <w:right w:w="108" w:type="dxa"/>
            </w:tcMar>
            <w:vAlign w:val="center"/>
          </w:tcPr>
          <w:p>
            <w:pPr>
              <w:widowControl/>
              <w:jc w:val="left"/>
              <w:rPr>
                <w:rFonts w:ascii="宋体" w:hAnsi="宋体" w:cs="黑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97" w:type="dxa"/>
            <w:noWrap w:val="0"/>
            <w:tcMar>
              <w:top w:w="0" w:type="dxa"/>
              <w:left w:w="108" w:type="dxa"/>
              <w:bottom w:w="0" w:type="dxa"/>
              <w:right w:w="108" w:type="dxa"/>
            </w:tcMar>
            <w:vAlign w:val="center"/>
          </w:tcPr>
          <w:p>
            <w:pPr>
              <w:widowControl/>
              <w:rPr>
                <w:rFonts w:ascii="宋体" w:hAnsi="宋体"/>
                <w:bCs/>
                <w:color w:val="000000"/>
                <w:szCs w:val="21"/>
              </w:rPr>
            </w:pPr>
            <w:r>
              <w:rPr>
                <w:rFonts w:hint="eastAsia" w:ascii="宋体" w:hAnsi="宋体"/>
                <w:bCs/>
                <w:color w:val="000000"/>
                <w:szCs w:val="21"/>
              </w:rPr>
              <w:t>2.1.1</w:t>
            </w:r>
          </w:p>
        </w:tc>
        <w:tc>
          <w:tcPr>
            <w:tcW w:w="2957" w:type="dxa"/>
            <w:noWrap w:val="0"/>
            <w:tcMar>
              <w:top w:w="0" w:type="dxa"/>
              <w:left w:w="108" w:type="dxa"/>
              <w:bottom w:w="0" w:type="dxa"/>
              <w:right w:w="108" w:type="dxa"/>
            </w:tcMar>
            <w:vAlign w:val="center"/>
          </w:tcPr>
          <w:p>
            <w:pPr>
              <w:widowControl/>
              <w:rPr>
                <w:rFonts w:ascii="宋体" w:hAnsi="宋体" w:cs="黑体"/>
                <w:bCs/>
                <w:color w:val="000000"/>
                <w:szCs w:val="21"/>
              </w:rPr>
            </w:pPr>
            <w:r>
              <w:rPr>
                <w:rFonts w:hint="eastAsia" w:ascii="宋体" w:hAnsi="宋体" w:cs="黑体"/>
                <w:bCs/>
                <w:color w:val="000000"/>
                <w:szCs w:val="21"/>
              </w:rPr>
              <w:t>其中：安全文明施工费</w:t>
            </w:r>
          </w:p>
        </w:tc>
        <w:tc>
          <w:tcPr>
            <w:tcW w:w="1997" w:type="dxa"/>
            <w:noWrap w:val="0"/>
            <w:tcMar>
              <w:top w:w="0" w:type="dxa"/>
              <w:left w:w="108" w:type="dxa"/>
              <w:bottom w:w="0" w:type="dxa"/>
              <w:right w:w="108" w:type="dxa"/>
            </w:tcMar>
            <w:vAlign w:val="center"/>
          </w:tcPr>
          <w:p>
            <w:pPr>
              <w:widowControl/>
              <w:jc w:val="right"/>
              <w:rPr>
                <w:rFonts w:ascii="宋体" w:hAnsi="宋体"/>
                <w:color w:val="000000"/>
                <w:szCs w:val="21"/>
              </w:rPr>
            </w:pPr>
          </w:p>
        </w:tc>
        <w:tc>
          <w:tcPr>
            <w:tcW w:w="2516" w:type="dxa"/>
            <w:noWrap w:val="0"/>
            <w:tcMar>
              <w:top w:w="0" w:type="dxa"/>
              <w:left w:w="108" w:type="dxa"/>
              <w:bottom w:w="0" w:type="dxa"/>
              <w:right w:w="108" w:type="dxa"/>
            </w:tcMar>
            <w:vAlign w:val="center"/>
          </w:tcPr>
          <w:p>
            <w:pPr>
              <w:widowControl/>
              <w:jc w:val="left"/>
              <w:rPr>
                <w:rFonts w:ascii="宋体" w:hAnsi="宋体" w:cs="黑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97" w:type="dxa"/>
            <w:noWrap w:val="0"/>
            <w:tcMar>
              <w:top w:w="0" w:type="dxa"/>
              <w:left w:w="108" w:type="dxa"/>
              <w:bottom w:w="0" w:type="dxa"/>
              <w:right w:w="108" w:type="dxa"/>
            </w:tcMar>
            <w:vAlign w:val="center"/>
          </w:tcPr>
          <w:p>
            <w:pPr>
              <w:widowControl/>
              <w:jc w:val="center"/>
              <w:rPr>
                <w:rFonts w:ascii="宋体" w:hAnsi="宋体"/>
                <w:bCs/>
                <w:color w:val="000000"/>
                <w:szCs w:val="21"/>
              </w:rPr>
            </w:pPr>
          </w:p>
          <w:p>
            <w:pPr>
              <w:widowControl/>
              <w:jc w:val="center"/>
              <w:rPr>
                <w:rFonts w:ascii="宋体" w:hAnsi="宋体"/>
                <w:bCs/>
                <w:color w:val="000000"/>
                <w:szCs w:val="21"/>
              </w:rPr>
            </w:pPr>
            <w:r>
              <w:rPr>
                <w:rFonts w:ascii="宋体" w:hAnsi="宋体"/>
                <w:bCs/>
                <w:color w:val="000000"/>
                <w:szCs w:val="21"/>
              </w:rPr>
              <w:t>2.</w:t>
            </w:r>
            <w:r>
              <w:rPr>
                <w:rFonts w:hint="eastAsia" w:ascii="宋体" w:hAnsi="宋体"/>
                <w:bCs/>
                <w:color w:val="000000"/>
                <w:szCs w:val="21"/>
              </w:rPr>
              <w:t>2</w:t>
            </w:r>
          </w:p>
          <w:p>
            <w:pPr>
              <w:widowControl/>
              <w:jc w:val="center"/>
              <w:rPr>
                <w:rFonts w:ascii="宋体" w:hAnsi="宋体"/>
                <w:bCs/>
                <w:color w:val="000000"/>
                <w:szCs w:val="21"/>
              </w:rPr>
            </w:pPr>
          </w:p>
        </w:tc>
        <w:tc>
          <w:tcPr>
            <w:tcW w:w="2957" w:type="dxa"/>
            <w:noWrap w:val="0"/>
            <w:tcMar>
              <w:top w:w="0" w:type="dxa"/>
              <w:left w:w="108" w:type="dxa"/>
              <w:bottom w:w="0" w:type="dxa"/>
              <w:right w:w="108" w:type="dxa"/>
            </w:tcMar>
            <w:vAlign w:val="center"/>
          </w:tcPr>
          <w:p>
            <w:pPr>
              <w:widowControl/>
              <w:ind w:firstLine="621" w:firstLineChars="296"/>
              <w:rPr>
                <w:rFonts w:ascii="宋体" w:hAnsi="宋体" w:cs="黑体"/>
                <w:bCs/>
                <w:color w:val="000000"/>
                <w:szCs w:val="21"/>
              </w:rPr>
            </w:pPr>
            <w:r>
              <w:rPr>
                <w:rFonts w:hint="eastAsia" w:ascii="宋体" w:hAnsi="宋体"/>
                <w:bCs/>
                <w:color w:val="000000"/>
                <w:szCs w:val="21"/>
              </w:rPr>
              <w:t>暂估价</w:t>
            </w:r>
          </w:p>
        </w:tc>
        <w:tc>
          <w:tcPr>
            <w:tcW w:w="1997" w:type="dxa"/>
            <w:noWrap w:val="0"/>
            <w:tcMar>
              <w:top w:w="0" w:type="dxa"/>
              <w:left w:w="108" w:type="dxa"/>
              <w:bottom w:w="0" w:type="dxa"/>
              <w:right w:w="108" w:type="dxa"/>
            </w:tcMar>
            <w:vAlign w:val="center"/>
          </w:tcPr>
          <w:p>
            <w:pPr>
              <w:widowControl/>
              <w:jc w:val="right"/>
              <w:rPr>
                <w:rFonts w:ascii="宋体" w:hAnsi="宋体"/>
                <w:color w:val="000000"/>
                <w:szCs w:val="21"/>
              </w:rPr>
            </w:pPr>
          </w:p>
        </w:tc>
        <w:tc>
          <w:tcPr>
            <w:tcW w:w="2516" w:type="dxa"/>
            <w:noWrap w:val="0"/>
            <w:tcMar>
              <w:top w:w="0" w:type="dxa"/>
              <w:left w:w="108" w:type="dxa"/>
              <w:bottom w:w="0" w:type="dxa"/>
              <w:right w:w="108" w:type="dxa"/>
            </w:tcMar>
            <w:vAlign w:val="center"/>
          </w:tcPr>
          <w:p>
            <w:pPr>
              <w:widowControl/>
              <w:jc w:val="left"/>
              <w:rPr>
                <w:rFonts w:ascii="宋体" w:hAnsi="宋体" w:cs="黑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97" w:type="dxa"/>
            <w:noWrap w:val="0"/>
            <w:tcMar>
              <w:top w:w="0" w:type="dxa"/>
              <w:left w:w="108" w:type="dxa"/>
              <w:bottom w:w="0" w:type="dxa"/>
              <w:right w:w="108" w:type="dxa"/>
            </w:tcMar>
            <w:vAlign w:val="center"/>
          </w:tcPr>
          <w:p>
            <w:pPr>
              <w:widowControl/>
              <w:jc w:val="center"/>
              <w:rPr>
                <w:rFonts w:ascii="宋体" w:hAnsi="宋体"/>
                <w:bCs/>
                <w:color w:val="000000"/>
                <w:szCs w:val="21"/>
              </w:rPr>
            </w:pPr>
            <w:r>
              <w:rPr>
                <w:rFonts w:ascii="宋体" w:hAnsi="宋体"/>
                <w:bCs/>
                <w:color w:val="000000"/>
                <w:szCs w:val="21"/>
              </w:rPr>
              <w:t>2.</w:t>
            </w:r>
            <w:r>
              <w:rPr>
                <w:rFonts w:hint="eastAsia" w:ascii="宋体" w:hAnsi="宋体"/>
                <w:bCs/>
                <w:color w:val="000000"/>
                <w:szCs w:val="21"/>
              </w:rPr>
              <w:t>3</w:t>
            </w:r>
          </w:p>
        </w:tc>
        <w:tc>
          <w:tcPr>
            <w:tcW w:w="2957" w:type="dxa"/>
            <w:noWrap w:val="0"/>
            <w:tcMar>
              <w:top w:w="0" w:type="dxa"/>
              <w:left w:w="108" w:type="dxa"/>
              <w:bottom w:w="0" w:type="dxa"/>
              <w:right w:w="108" w:type="dxa"/>
            </w:tcMar>
            <w:vAlign w:val="center"/>
          </w:tcPr>
          <w:p>
            <w:pPr>
              <w:widowControl/>
              <w:ind w:firstLine="630" w:firstLineChars="300"/>
              <w:rPr>
                <w:rFonts w:ascii="宋体" w:hAnsi="宋体"/>
                <w:bCs/>
                <w:color w:val="000000"/>
                <w:szCs w:val="21"/>
              </w:rPr>
            </w:pPr>
            <w:r>
              <w:rPr>
                <w:rFonts w:hint="eastAsia" w:ascii="宋体" w:hAnsi="宋体" w:cs="黑体"/>
                <w:bCs/>
                <w:color w:val="000000"/>
                <w:szCs w:val="21"/>
              </w:rPr>
              <w:t>暂列金额</w:t>
            </w:r>
          </w:p>
        </w:tc>
        <w:tc>
          <w:tcPr>
            <w:tcW w:w="1997" w:type="dxa"/>
            <w:noWrap w:val="0"/>
            <w:tcMar>
              <w:top w:w="0" w:type="dxa"/>
              <w:left w:w="108" w:type="dxa"/>
              <w:bottom w:w="0" w:type="dxa"/>
              <w:right w:w="108" w:type="dxa"/>
            </w:tcMar>
            <w:vAlign w:val="center"/>
          </w:tcPr>
          <w:p>
            <w:pPr>
              <w:widowControl/>
              <w:jc w:val="right"/>
              <w:rPr>
                <w:rFonts w:ascii="宋体" w:hAnsi="宋体"/>
                <w:color w:val="000000"/>
                <w:szCs w:val="21"/>
              </w:rPr>
            </w:pPr>
          </w:p>
        </w:tc>
        <w:tc>
          <w:tcPr>
            <w:tcW w:w="2516" w:type="dxa"/>
            <w:noWrap w:val="0"/>
            <w:tcMar>
              <w:top w:w="0" w:type="dxa"/>
              <w:left w:w="108" w:type="dxa"/>
              <w:bottom w:w="0" w:type="dxa"/>
              <w:right w:w="108" w:type="dxa"/>
            </w:tcMar>
            <w:vAlign w:val="center"/>
          </w:tcPr>
          <w:p>
            <w:pPr>
              <w:widowControl/>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97" w:type="dxa"/>
            <w:noWrap w:val="0"/>
            <w:tcMar>
              <w:top w:w="0" w:type="dxa"/>
              <w:left w:w="108" w:type="dxa"/>
              <w:bottom w:w="0" w:type="dxa"/>
              <w:right w:w="108" w:type="dxa"/>
            </w:tcMar>
            <w:vAlign w:val="center"/>
          </w:tcPr>
          <w:p>
            <w:pPr>
              <w:widowControl/>
              <w:jc w:val="center"/>
              <w:rPr>
                <w:rFonts w:ascii="宋体" w:hAnsi="宋体"/>
                <w:color w:val="000000"/>
                <w:szCs w:val="21"/>
              </w:rPr>
            </w:pPr>
          </w:p>
        </w:tc>
        <w:tc>
          <w:tcPr>
            <w:tcW w:w="2957" w:type="dxa"/>
            <w:noWrap w:val="0"/>
            <w:tcMar>
              <w:top w:w="0" w:type="dxa"/>
              <w:left w:w="108" w:type="dxa"/>
              <w:bottom w:w="0" w:type="dxa"/>
              <w:right w:w="108" w:type="dxa"/>
            </w:tcMar>
            <w:vAlign w:val="center"/>
          </w:tcPr>
          <w:p>
            <w:pPr>
              <w:widowControl/>
              <w:jc w:val="center"/>
              <w:rPr>
                <w:rFonts w:ascii="宋体" w:hAnsi="宋体"/>
                <w:color w:val="000000"/>
                <w:szCs w:val="21"/>
              </w:rPr>
            </w:pPr>
          </w:p>
        </w:tc>
        <w:tc>
          <w:tcPr>
            <w:tcW w:w="1997" w:type="dxa"/>
            <w:noWrap w:val="0"/>
            <w:tcMar>
              <w:top w:w="0" w:type="dxa"/>
              <w:left w:w="108" w:type="dxa"/>
              <w:bottom w:w="0" w:type="dxa"/>
              <w:right w:w="108" w:type="dxa"/>
            </w:tcMar>
            <w:vAlign w:val="center"/>
          </w:tcPr>
          <w:p>
            <w:pPr>
              <w:widowControl/>
              <w:jc w:val="right"/>
              <w:rPr>
                <w:rFonts w:ascii="宋体" w:hAnsi="宋体"/>
                <w:color w:val="000000"/>
                <w:szCs w:val="21"/>
              </w:rPr>
            </w:pPr>
          </w:p>
        </w:tc>
        <w:tc>
          <w:tcPr>
            <w:tcW w:w="2516" w:type="dxa"/>
            <w:noWrap w:val="0"/>
            <w:tcMar>
              <w:top w:w="0" w:type="dxa"/>
              <w:left w:w="108" w:type="dxa"/>
              <w:bottom w:w="0" w:type="dxa"/>
              <w:right w:w="108" w:type="dxa"/>
            </w:tcMar>
            <w:vAlign w:val="center"/>
          </w:tcPr>
          <w:p>
            <w:pPr>
              <w:widowControl/>
              <w:jc w:val="righ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97" w:type="dxa"/>
            <w:noWrap w:val="0"/>
            <w:tcMar>
              <w:top w:w="0" w:type="dxa"/>
              <w:left w:w="108" w:type="dxa"/>
              <w:bottom w:w="0" w:type="dxa"/>
              <w:right w:w="108" w:type="dxa"/>
            </w:tcMar>
            <w:vAlign w:val="center"/>
          </w:tcPr>
          <w:p>
            <w:pPr>
              <w:widowControl/>
              <w:jc w:val="center"/>
              <w:rPr>
                <w:rFonts w:ascii="宋体" w:hAnsi="宋体"/>
                <w:color w:val="000000"/>
                <w:szCs w:val="21"/>
              </w:rPr>
            </w:pPr>
          </w:p>
        </w:tc>
        <w:tc>
          <w:tcPr>
            <w:tcW w:w="2957" w:type="dxa"/>
            <w:noWrap w:val="0"/>
            <w:tcMar>
              <w:top w:w="0" w:type="dxa"/>
              <w:left w:w="108" w:type="dxa"/>
              <w:bottom w:w="0" w:type="dxa"/>
              <w:right w:w="108" w:type="dxa"/>
            </w:tcMar>
            <w:vAlign w:val="center"/>
          </w:tcPr>
          <w:p>
            <w:pPr>
              <w:widowControl/>
              <w:jc w:val="center"/>
              <w:rPr>
                <w:rFonts w:ascii="宋体" w:hAnsi="宋体"/>
                <w:color w:val="000000"/>
                <w:szCs w:val="21"/>
              </w:rPr>
            </w:pPr>
          </w:p>
        </w:tc>
        <w:tc>
          <w:tcPr>
            <w:tcW w:w="1997" w:type="dxa"/>
            <w:noWrap w:val="0"/>
            <w:tcMar>
              <w:top w:w="0" w:type="dxa"/>
              <w:left w:w="108" w:type="dxa"/>
              <w:bottom w:w="0" w:type="dxa"/>
              <w:right w:w="108" w:type="dxa"/>
            </w:tcMar>
            <w:vAlign w:val="center"/>
          </w:tcPr>
          <w:p>
            <w:pPr>
              <w:widowControl/>
              <w:jc w:val="center"/>
              <w:rPr>
                <w:rFonts w:ascii="宋体" w:hAnsi="宋体"/>
                <w:color w:val="000000"/>
                <w:szCs w:val="21"/>
              </w:rPr>
            </w:pPr>
          </w:p>
        </w:tc>
        <w:tc>
          <w:tcPr>
            <w:tcW w:w="2516" w:type="dxa"/>
            <w:noWrap w:val="0"/>
            <w:tcMar>
              <w:top w:w="0" w:type="dxa"/>
              <w:left w:w="108" w:type="dxa"/>
              <w:bottom w:w="0" w:type="dxa"/>
              <w:right w:w="108" w:type="dxa"/>
            </w:tcMar>
            <w:vAlign w:val="center"/>
          </w:tcPr>
          <w:p>
            <w:pPr>
              <w:widowControl/>
              <w:jc w:val="righ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97" w:type="dxa"/>
            <w:noWrap w:val="0"/>
            <w:tcMar>
              <w:top w:w="0" w:type="dxa"/>
              <w:left w:w="108" w:type="dxa"/>
              <w:bottom w:w="0" w:type="dxa"/>
              <w:right w:w="108" w:type="dxa"/>
            </w:tcMar>
            <w:vAlign w:val="center"/>
          </w:tcPr>
          <w:p>
            <w:pPr>
              <w:widowControl/>
              <w:jc w:val="center"/>
              <w:rPr>
                <w:rFonts w:ascii="宋体" w:hAnsi="宋体"/>
                <w:color w:val="000000"/>
                <w:szCs w:val="21"/>
              </w:rPr>
            </w:pPr>
          </w:p>
        </w:tc>
        <w:tc>
          <w:tcPr>
            <w:tcW w:w="2957" w:type="dxa"/>
            <w:noWrap w:val="0"/>
            <w:tcMar>
              <w:top w:w="0" w:type="dxa"/>
              <w:left w:w="108" w:type="dxa"/>
              <w:bottom w:w="0" w:type="dxa"/>
              <w:right w:w="108" w:type="dxa"/>
            </w:tcMar>
            <w:vAlign w:val="center"/>
          </w:tcPr>
          <w:p>
            <w:pPr>
              <w:widowControl/>
              <w:jc w:val="center"/>
              <w:rPr>
                <w:rFonts w:ascii="宋体" w:hAnsi="宋体"/>
                <w:color w:val="000000"/>
                <w:szCs w:val="21"/>
              </w:rPr>
            </w:pPr>
          </w:p>
        </w:tc>
        <w:tc>
          <w:tcPr>
            <w:tcW w:w="1997" w:type="dxa"/>
            <w:noWrap w:val="0"/>
            <w:tcMar>
              <w:top w:w="0" w:type="dxa"/>
              <w:left w:w="108" w:type="dxa"/>
              <w:bottom w:w="0" w:type="dxa"/>
              <w:right w:w="108" w:type="dxa"/>
            </w:tcMar>
            <w:vAlign w:val="center"/>
          </w:tcPr>
          <w:p>
            <w:pPr>
              <w:widowControl/>
              <w:jc w:val="center"/>
              <w:rPr>
                <w:rFonts w:ascii="宋体" w:hAnsi="宋体"/>
                <w:color w:val="000000"/>
                <w:szCs w:val="21"/>
              </w:rPr>
            </w:pPr>
          </w:p>
        </w:tc>
        <w:tc>
          <w:tcPr>
            <w:tcW w:w="2516" w:type="dxa"/>
            <w:noWrap w:val="0"/>
            <w:tcMar>
              <w:top w:w="0" w:type="dxa"/>
              <w:left w:w="108" w:type="dxa"/>
              <w:bottom w:w="0" w:type="dxa"/>
              <w:right w:w="108" w:type="dxa"/>
            </w:tcMar>
            <w:vAlign w:val="center"/>
          </w:tcPr>
          <w:p>
            <w:pPr>
              <w:widowControl/>
              <w:jc w:val="righ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97" w:type="dxa"/>
            <w:noWrap w:val="0"/>
            <w:tcMar>
              <w:top w:w="0" w:type="dxa"/>
              <w:left w:w="108" w:type="dxa"/>
              <w:bottom w:w="0" w:type="dxa"/>
              <w:right w:w="108" w:type="dxa"/>
            </w:tcMar>
            <w:vAlign w:val="center"/>
          </w:tcPr>
          <w:p>
            <w:pPr>
              <w:widowControl/>
              <w:jc w:val="center"/>
              <w:rPr>
                <w:rFonts w:ascii="宋体" w:hAnsi="宋体"/>
                <w:color w:val="000000"/>
                <w:szCs w:val="21"/>
              </w:rPr>
            </w:pPr>
          </w:p>
        </w:tc>
        <w:tc>
          <w:tcPr>
            <w:tcW w:w="2957" w:type="dxa"/>
            <w:noWrap w:val="0"/>
            <w:tcMar>
              <w:top w:w="0" w:type="dxa"/>
              <w:left w:w="108" w:type="dxa"/>
              <w:bottom w:w="0" w:type="dxa"/>
              <w:right w:w="108" w:type="dxa"/>
            </w:tcMar>
            <w:vAlign w:val="center"/>
          </w:tcPr>
          <w:p>
            <w:pPr>
              <w:widowControl/>
              <w:jc w:val="center"/>
              <w:rPr>
                <w:rFonts w:ascii="宋体" w:hAnsi="宋体"/>
                <w:color w:val="000000"/>
                <w:szCs w:val="21"/>
              </w:rPr>
            </w:pPr>
            <w:r>
              <w:rPr>
                <w:rFonts w:hint="eastAsia" w:ascii="宋体" w:hAnsi="宋体" w:cs="黑体"/>
                <w:bCs/>
                <w:color w:val="000000"/>
                <w:szCs w:val="21"/>
              </w:rPr>
              <w:t>合计</w:t>
            </w:r>
          </w:p>
        </w:tc>
        <w:tc>
          <w:tcPr>
            <w:tcW w:w="1997" w:type="dxa"/>
            <w:noWrap w:val="0"/>
            <w:tcMar>
              <w:top w:w="0" w:type="dxa"/>
              <w:left w:w="108" w:type="dxa"/>
              <w:bottom w:w="0" w:type="dxa"/>
              <w:right w:w="108" w:type="dxa"/>
            </w:tcMar>
            <w:vAlign w:val="center"/>
          </w:tcPr>
          <w:p>
            <w:pPr>
              <w:widowControl/>
              <w:jc w:val="center"/>
              <w:rPr>
                <w:rFonts w:ascii="宋体" w:hAnsi="宋体"/>
                <w:color w:val="000000"/>
                <w:szCs w:val="21"/>
              </w:rPr>
            </w:pPr>
            <w:r>
              <w:rPr>
                <w:rFonts w:hint="eastAsia" w:ascii="宋体" w:hAnsi="宋体"/>
                <w:color w:val="000000"/>
                <w:szCs w:val="21"/>
              </w:rPr>
              <w:t>1+2</w:t>
            </w:r>
          </w:p>
        </w:tc>
        <w:tc>
          <w:tcPr>
            <w:tcW w:w="2516" w:type="dxa"/>
            <w:noWrap w:val="0"/>
            <w:tcMar>
              <w:top w:w="0" w:type="dxa"/>
              <w:left w:w="108" w:type="dxa"/>
              <w:bottom w:w="0" w:type="dxa"/>
              <w:right w:w="108" w:type="dxa"/>
            </w:tcMar>
            <w:vAlign w:val="center"/>
          </w:tcPr>
          <w:p>
            <w:pPr>
              <w:widowControl/>
              <w:jc w:val="right"/>
              <w:rPr>
                <w:rFonts w:ascii="宋体" w:hAnsi="宋体"/>
                <w:color w:val="000000"/>
                <w:szCs w:val="21"/>
              </w:rPr>
            </w:pPr>
          </w:p>
        </w:tc>
      </w:tr>
    </w:tbl>
    <w:p>
      <w:pPr>
        <w:spacing w:line="360" w:lineRule="auto"/>
        <w:ind w:firstLine="630" w:firstLineChars="300"/>
        <w:jc w:val="left"/>
        <w:rPr>
          <w:rFonts w:ascii="宋体" w:hAnsi="宋体" w:cs="黑体"/>
          <w:bCs/>
          <w:color w:val="000000"/>
          <w:szCs w:val="21"/>
        </w:rPr>
      </w:pPr>
    </w:p>
    <w:p>
      <w:pPr>
        <w:spacing w:line="360" w:lineRule="auto"/>
        <w:ind w:firstLine="630" w:firstLineChars="300"/>
        <w:jc w:val="left"/>
        <w:rPr>
          <w:rFonts w:ascii="宋体" w:hAnsi="宋体" w:cs="黑体"/>
          <w:bCs/>
          <w:color w:val="000000"/>
          <w:szCs w:val="21"/>
        </w:rPr>
      </w:pPr>
    </w:p>
    <w:p>
      <w:pPr>
        <w:spacing w:line="360" w:lineRule="auto"/>
        <w:ind w:firstLine="630" w:firstLineChars="300"/>
        <w:jc w:val="left"/>
        <w:rPr>
          <w:rFonts w:ascii="宋体" w:hAnsi="宋体" w:cs="黑体"/>
          <w:bCs/>
          <w:color w:val="000000"/>
          <w:szCs w:val="21"/>
        </w:rPr>
      </w:pPr>
    </w:p>
    <w:p>
      <w:pPr>
        <w:spacing w:line="360" w:lineRule="auto"/>
        <w:ind w:firstLine="630" w:firstLineChars="300"/>
        <w:jc w:val="left"/>
        <w:rPr>
          <w:rFonts w:ascii="宋体" w:hAnsi="宋体" w:cs="黑体"/>
          <w:bCs/>
          <w:color w:val="000000"/>
          <w:szCs w:val="21"/>
        </w:rPr>
      </w:pPr>
    </w:p>
    <w:p>
      <w:pPr>
        <w:spacing w:line="360" w:lineRule="auto"/>
        <w:ind w:firstLine="630" w:firstLineChars="300"/>
        <w:jc w:val="left"/>
        <w:rPr>
          <w:rFonts w:hint="eastAsia" w:ascii="宋体" w:hAnsi="宋体" w:cs="黑体"/>
          <w:bCs/>
          <w:color w:val="000000"/>
          <w:szCs w:val="21"/>
        </w:rPr>
      </w:pPr>
    </w:p>
    <w:p>
      <w:pPr>
        <w:spacing w:line="360" w:lineRule="auto"/>
        <w:ind w:firstLine="630" w:firstLineChars="300"/>
        <w:jc w:val="left"/>
        <w:rPr>
          <w:rFonts w:hint="eastAsia" w:ascii="宋体" w:hAnsi="宋体" w:cs="黑体"/>
          <w:bCs/>
          <w:color w:val="000000"/>
          <w:szCs w:val="21"/>
        </w:rPr>
      </w:pPr>
    </w:p>
    <w:p>
      <w:pPr>
        <w:spacing w:line="360" w:lineRule="auto"/>
        <w:ind w:firstLine="630" w:firstLineChars="300"/>
        <w:jc w:val="left"/>
        <w:rPr>
          <w:rFonts w:hint="eastAsia" w:ascii="宋体" w:hAnsi="宋体" w:cs="黑体"/>
          <w:bCs/>
          <w:color w:val="000000"/>
          <w:szCs w:val="21"/>
        </w:rPr>
      </w:pPr>
    </w:p>
    <w:p>
      <w:pPr>
        <w:spacing w:line="360" w:lineRule="auto"/>
        <w:ind w:firstLine="630" w:firstLineChars="300"/>
        <w:jc w:val="left"/>
        <w:rPr>
          <w:rFonts w:ascii="宋体" w:hAnsi="宋体" w:cs="黑体"/>
          <w:bCs/>
          <w:color w:val="000000"/>
          <w:szCs w:val="21"/>
        </w:rPr>
      </w:pPr>
    </w:p>
    <w:p>
      <w:pPr>
        <w:spacing w:line="360" w:lineRule="auto"/>
        <w:ind w:firstLine="630" w:firstLineChars="300"/>
        <w:jc w:val="left"/>
        <w:rPr>
          <w:rFonts w:ascii="宋体" w:hAnsi="宋体" w:cs="黑体"/>
          <w:bCs/>
          <w:color w:val="000000"/>
          <w:szCs w:val="21"/>
        </w:rPr>
      </w:pPr>
    </w:p>
    <w:p>
      <w:pPr>
        <w:spacing w:line="360" w:lineRule="auto"/>
        <w:ind w:firstLine="630" w:firstLineChars="300"/>
        <w:jc w:val="left"/>
        <w:rPr>
          <w:rFonts w:ascii="宋体" w:hAnsi="宋体" w:cs="黑体"/>
          <w:bCs/>
          <w:color w:val="000000"/>
          <w:szCs w:val="21"/>
        </w:rPr>
      </w:pPr>
    </w:p>
    <w:p>
      <w:pPr>
        <w:spacing w:line="360" w:lineRule="auto"/>
        <w:jc w:val="left"/>
        <w:rPr>
          <w:rFonts w:ascii="宋体" w:hAnsi="宋体" w:cs="宋体"/>
          <w:color w:val="000000"/>
          <w:szCs w:val="21"/>
        </w:rPr>
      </w:pPr>
      <w:r>
        <w:rPr>
          <w:rFonts w:hint="eastAsia" w:ascii="宋体" w:hAnsi="宋体"/>
          <w:color w:val="000000"/>
          <w:szCs w:val="21"/>
        </w:rPr>
        <w:t>表5</w:t>
      </w:r>
      <w:r>
        <w:rPr>
          <w:rFonts w:ascii="宋体" w:hAnsi="宋体"/>
          <w:color w:val="000000"/>
          <w:szCs w:val="21"/>
        </w:rPr>
        <w:t xml:space="preserve"> </w:t>
      </w:r>
      <w:r>
        <w:rPr>
          <w:rFonts w:hint="eastAsia" w:ascii="宋体" w:hAnsi="宋体" w:cs="宋体"/>
          <w:color w:val="000000"/>
          <w:szCs w:val="21"/>
        </w:rPr>
        <w:t>建设项目建筑安装工程费汇总表（表</w:t>
      </w:r>
      <w:r>
        <w:rPr>
          <w:rFonts w:ascii="宋体" w:hAnsi="宋体"/>
          <w:color w:val="000000"/>
          <w:szCs w:val="21"/>
        </w:rPr>
        <w:t>-02</w:t>
      </w:r>
      <w:r>
        <w:rPr>
          <w:rFonts w:hint="eastAsia" w:ascii="宋体" w:hAnsi="宋体" w:cs="宋体"/>
          <w:color w:val="000000"/>
          <w:szCs w:val="21"/>
        </w:rPr>
        <w:t>）</w:t>
      </w:r>
    </w:p>
    <w:p>
      <w:pPr>
        <w:jc w:val="center"/>
        <w:rPr>
          <w:rFonts w:hint="eastAsia"/>
          <w:b/>
          <w:color w:val="000000"/>
          <w:sz w:val="36"/>
          <w:szCs w:val="36"/>
        </w:rPr>
      </w:pPr>
      <w:r>
        <w:rPr>
          <w:rFonts w:hint="eastAsia"/>
          <w:b/>
          <w:color w:val="000000"/>
          <w:sz w:val="36"/>
          <w:szCs w:val="36"/>
        </w:rPr>
        <w:t>建设项目建筑安装工程费汇总表</w:t>
      </w:r>
    </w:p>
    <w:p>
      <w:pPr>
        <w:rPr>
          <w:rFonts w:hint="eastAsia"/>
          <w:b/>
          <w:color w:val="000000"/>
          <w:sz w:val="24"/>
        </w:rPr>
      </w:pPr>
    </w:p>
    <w:p>
      <w:pPr>
        <w:rPr>
          <w:rFonts w:hint="eastAsia"/>
          <w:color w:val="000000"/>
          <w:sz w:val="24"/>
        </w:rPr>
      </w:pPr>
      <w:r>
        <w:rPr>
          <w:rFonts w:hint="eastAsia"/>
          <w:color w:val="000000"/>
          <w:sz w:val="24"/>
        </w:rPr>
        <w:t>工程名称：                                              第  页 共  页</w:t>
      </w:r>
    </w:p>
    <w:tbl>
      <w:tblPr>
        <w:tblStyle w:val="83"/>
        <w:tblW w:w="80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2888"/>
        <w:gridCol w:w="963"/>
        <w:gridCol w:w="1190"/>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976" w:type="dxa"/>
            <w:vMerge w:val="restart"/>
            <w:noWrap w:val="0"/>
            <w:vAlign w:val="center"/>
          </w:tcPr>
          <w:p>
            <w:pPr>
              <w:jc w:val="center"/>
              <w:rPr>
                <w:rFonts w:hint="eastAsia"/>
                <w:color w:val="000000"/>
                <w:szCs w:val="21"/>
              </w:rPr>
            </w:pPr>
            <w:r>
              <w:rPr>
                <w:rFonts w:hint="eastAsia"/>
                <w:color w:val="000000"/>
                <w:szCs w:val="21"/>
              </w:rPr>
              <w:t>序号</w:t>
            </w:r>
          </w:p>
        </w:tc>
        <w:tc>
          <w:tcPr>
            <w:tcW w:w="2888" w:type="dxa"/>
            <w:vMerge w:val="restart"/>
            <w:noWrap w:val="0"/>
            <w:vAlign w:val="center"/>
          </w:tcPr>
          <w:p>
            <w:pPr>
              <w:jc w:val="center"/>
              <w:rPr>
                <w:rFonts w:hint="eastAsia"/>
                <w:color w:val="000000"/>
                <w:szCs w:val="21"/>
              </w:rPr>
            </w:pPr>
            <w:r>
              <w:rPr>
                <w:rFonts w:hint="eastAsia"/>
                <w:color w:val="000000"/>
                <w:szCs w:val="21"/>
              </w:rPr>
              <w:t>单项工程名称</w:t>
            </w:r>
          </w:p>
        </w:tc>
        <w:tc>
          <w:tcPr>
            <w:tcW w:w="963" w:type="dxa"/>
            <w:vMerge w:val="restart"/>
            <w:noWrap w:val="0"/>
            <w:vAlign w:val="center"/>
          </w:tcPr>
          <w:p>
            <w:pPr>
              <w:jc w:val="center"/>
              <w:rPr>
                <w:rFonts w:hint="eastAsia"/>
                <w:color w:val="000000"/>
                <w:szCs w:val="21"/>
              </w:rPr>
            </w:pPr>
            <w:r>
              <w:rPr>
                <w:rFonts w:hint="eastAsia"/>
                <w:color w:val="000000"/>
                <w:szCs w:val="21"/>
              </w:rPr>
              <w:t>金额（元）</w:t>
            </w:r>
          </w:p>
        </w:tc>
        <w:tc>
          <w:tcPr>
            <w:tcW w:w="3183" w:type="dxa"/>
            <w:gridSpan w:val="2"/>
            <w:noWrap w:val="0"/>
            <w:vAlign w:val="center"/>
          </w:tcPr>
          <w:p>
            <w:pPr>
              <w:jc w:val="center"/>
              <w:rPr>
                <w:rFonts w:hint="eastAsia"/>
                <w:color w:val="000000"/>
                <w:szCs w:val="21"/>
              </w:rPr>
            </w:pPr>
            <w:r>
              <w:rPr>
                <w:rFonts w:hint="eastAsia"/>
                <w:color w:val="000000"/>
                <w:szCs w:val="21"/>
              </w:rPr>
              <w:t>其中：（元）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976" w:type="dxa"/>
            <w:vMerge w:val="continue"/>
            <w:noWrap w:val="0"/>
            <w:vAlign w:val="center"/>
          </w:tcPr>
          <w:p>
            <w:pPr>
              <w:jc w:val="center"/>
              <w:rPr>
                <w:rFonts w:hint="eastAsia"/>
                <w:color w:val="000000"/>
                <w:szCs w:val="21"/>
              </w:rPr>
            </w:pPr>
          </w:p>
        </w:tc>
        <w:tc>
          <w:tcPr>
            <w:tcW w:w="2888" w:type="dxa"/>
            <w:vMerge w:val="continue"/>
            <w:noWrap w:val="0"/>
            <w:vAlign w:val="center"/>
          </w:tcPr>
          <w:p>
            <w:pPr>
              <w:jc w:val="center"/>
              <w:rPr>
                <w:rFonts w:hint="eastAsia"/>
                <w:color w:val="000000"/>
                <w:szCs w:val="21"/>
              </w:rPr>
            </w:pPr>
          </w:p>
        </w:tc>
        <w:tc>
          <w:tcPr>
            <w:tcW w:w="963" w:type="dxa"/>
            <w:vMerge w:val="continue"/>
            <w:noWrap w:val="0"/>
            <w:vAlign w:val="center"/>
          </w:tcPr>
          <w:p>
            <w:pPr>
              <w:jc w:val="center"/>
              <w:rPr>
                <w:rFonts w:hint="eastAsia"/>
                <w:color w:val="000000"/>
                <w:szCs w:val="21"/>
              </w:rPr>
            </w:pPr>
          </w:p>
        </w:tc>
        <w:tc>
          <w:tcPr>
            <w:tcW w:w="1190" w:type="dxa"/>
            <w:noWrap w:val="0"/>
            <w:vAlign w:val="center"/>
          </w:tcPr>
          <w:p>
            <w:pPr>
              <w:jc w:val="center"/>
              <w:rPr>
                <w:rFonts w:hint="eastAsia"/>
                <w:color w:val="000000"/>
                <w:szCs w:val="21"/>
              </w:rPr>
            </w:pPr>
            <w:r>
              <w:rPr>
                <w:rFonts w:hint="eastAsia"/>
                <w:color w:val="000000"/>
                <w:szCs w:val="21"/>
              </w:rPr>
              <w:t>暂估价</w:t>
            </w:r>
          </w:p>
        </w:tc>
        <w:tc>
          <w:tcPr>
            <w:tcW w:w="1993" w:type="dxa"/>
            <w:noWrap w:val="0"/>
            <w:vAlign w:val="center"/>
          </w:tcPr>
          <w:p>
            <w:pPr>
              <w:jc w:val="center"/>
              <w:rPr>
                <w:rFonts w:hint="eastAsia"/>
                <w:color w:val="000000"/>
                <w:szCs w:val="21"/>
              </w:rPr>
            </w:pPr>
            <w:r>
              <w:rPr>
                <w:rFonts w:hint="eastAsia"/>
                <w:color w:val="000000"/>
                <w:szCs w:val="21"/>
              </w:rPr>
              <w:t>安全文明施工费</w:t>
            </w:r>
          </w:p>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8" w:hRule="atLeast"/>
        </w:trPr>
        <w:tc>
          <w:tcPr>
            <w:tcW w:w="976" w:type="dxa"/>
            <w:noWrap w:val="0"/>
            <w:vAlign w:val="center"/>
          </w:tcPr>
          <w:p>
            <w:pPr>
              <w:jc w:val="center"/>
              <w:rPr>
                <w:rFonts w:hint="eastAsia"/>
                <w:color w:val="000000"/>
                <w:szCs w:val="21"/>
              </w:rPr>
            </w:pPr>
          </w:p>
        </w:tc>
        <w:tc>
          <w:tcPr>
            <w:tcW w:w="2888" w:type="dxa"/>
            <w:noWrap w:val="0"/>
            <w:vAlign w:val="center"/>
          </w:tcPr>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color w:val="000000"/>
                <w:szCs w:val="21"/>
              </w:rPr>
            </w:pPr>
          </w:p>
          <w:p>
            <w:pPr>
              <w:jc w:val="center"/>
              <w:rPr>
                <w:color w:val="000000"/>
                <w:szCs w:val="21"/>
              </w:rPr>
            </w:pPr>
          </w:p>
          <w:p>
            <w:pPr>
              <w:jc w:val="center"/>
              <w:rPr>
                <w:color w:val="000000"/>
                <w:szCs w:val="21"/>
              </w:rPr>
            </w:pPr>
          </w:p>
          <w:p>
            <w:pPr>
              <w:jc w:val="center"/>
              <w:rPr>
                <w:color w:val="000000"/>
                <w:szCs w:val="21"/>
              </w:rPr>
            </w:pPr>
          </w:p>
          <w:p>
            <w:pPr>
              <w:jc w:val="center"/>
              <w:rPr>
                <w:color w:val="000000"/>
                <w:szCs w:val="21"/>
              </w:rPr>
            </w:pPr>
          </w:p>
          <w:p>
            <w:pPr>
              <w:jc w:val="center"/>
              <w:rPr>
                <w:color w:val="000000"/>
                <w:szCs w:val="21"/>
              </w:rPr>
            </w:pPr>
          </w:p>
          <w:p>
            <w:pPr>
              <w:jc w:val="center"/>
              <w:rPr>
                <w:rFonts w:hint="eastAsia"/>
                <w:color w:val="000000"/>
                <w:szCs w:val="21"/>
              </w:rPr>
            </w:pPr>
          </w:p>
          <w:p>
            <w:pPr>
              <w:jc w:val="center"/>
              <w:rPr>
                <w:rFonts w:hint="eastAsia"/>
                <w:color w:val="000000"/>
                <w:szCs w:val="21"/>
              </w:rPr>
            </w:pPr>
          </w:p>
        </w:tc>
        <w:tc>
          <w:tcPr>
            <w:tcW w:w="963" w:type="dxa"/>
            <w:noWrap w:val="0"/>
            <w:vAlign w:val="center"/>
          </w:tcPr>
          <w:p>
            <w:pPr>
              <w:jc w:val="center"/>
              <w:rPr>
                <w:rFonts w:hint="eastAsia"/>
                <w:color w:val="000000"/>
                <w:szCs w:val="21"/>
              </w:rPr>
            </w:pPr>
          </w:p>
        </w:tc>
        <w:tc>
          <w:tcPr>
            <w:tcW w:w="1190" w:type="dxa"/>
            <w:noWrap w:val="0"/>
            <w:vAlign w:val="center"/>
          </w:tcPr>
          <w:p>
            <w:pPr>
              <w:jc w:val="center"/>
              <w:rPr>
                <w:rFonts w:hint="eastAsia"/>
                <w:color w:val="000000"/>
                <w:szCs w:val="21"/>
              </w:rPr>
            </w:pPr>
          </w:p>
        </w:tc>
        <w:tc>
          <w:tcPr>
            <w:tcW w:w="1993"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976" w:type="dxa"/>
            <w:noWrap w:val="0"/>
            <w:vAlign w:val="center"/>
          </w:tcPr>
          <w:p>
            <w:pPr>
              <w:jc w:val="center"/>
              <w:rPr>
                <w:rFonts w:hint="eastAsia"/>
                <w:color w:val="000000"/>
                <w:szCs w:val="21"/>
              </w:rPr>
            </w:pPr>
          </w:p>
        </w:tc>
        <w:tc>
          <w:tcPr>
            <w:tcW w:w="2888" w:type="dxa"/>
            <w:noWrap w:val="0"/>
            <w:vAlign w:val="center"/>
          </w:tcPr>
          <w:p>
            <w:pPr>
              <w:jc w:val="center"/>
              <w:rPr>
                <w:rFonts w:hint="eastAsia"/>
                <w:color w:val="000000"/>
                <w:szCs w:val="21"/>
              </w:rPr>
            </w:pPr>
            <w:r>
              <w:rPr>
                <w:rFonts w:hint="eastAsia"/>
                <w:color w:val="000000"/>
                <w:szCs w:val="21"/>
              </w:rPr>
              <w:t>建筑安装工程费合计</w:t>
            </w:r>
          </w:p>
        </w:tc>
        <w:tc>
          <w:tcPr>
            <w:tcW w:w="963" w:type="dxa"/>
            <w:noWrap w:val="0"/>
            <w:vAlign w:val="center"/>
          </w:tcPr>
          <w:p>
            <w:pPr>
              <w:jc w:val="center"/>
              <w:rPr>
                <w:rFonts w:hint="eastAsia"/>
                <w:color w:val="000000"/>
                <w:szCs w:val="21"/>
              </w:rPr>
            </w:pPr>
          </w:p>
        </w:tc>
        <w:tc>
          <w:tcPr>
            <w:tcW w:w="1190" w:type="dxa"/>
            <w:noWrap w:val="0"/>
            <w:vAlign w:val="center"/>
          </w:tcPr>
          <w:p>
            <w:pPr>
              <w:jc w:val="center"/>
              <w:rPr>
                <w:rFonts w:hint="eastAsia"/>
                <w:color w:val="000000"/>
                <w:szCs w:val="21"/>
              </w:rPr>
            </w:pPr>
          </w:p>
        </w:tc>
        <w:tc>
          <w:tcPr>
            <w:tcW w:w="1993" w:type="dxa"/>
            <w:noWrap w:val="0"/>
            <w:vAlign w:val="center"/>
          </w:tcPr>
          <w:p>
            <w:pPr>
              <w:jc w:val="center"/>
              <w:rPr>
                <w:rFonts w:hint="eastAsia"/>
                <w:color w:val="000000"/>
                <w:szCs w:val="21"/>
              </w:rPr>
            </w:pPr>
          </w:p>
        </w:tc>
      </w:tr>
    </w:tbl>
    <w:p>
      <w:pPr>
        <w:jc w:val="right"/>
        <w:rPr>
          <w:rFonts w:hint="eastAsia"/>
          <w:color w:val="000000"/>
          <w:szCs w:val="21"/>
        </w:rPr>
      </w:pPr>
    </w:p>
    <w:p>
      <w:pPr>
        <w:spacing w:line="360" w:lineRule="auto"/>
        <w:jc w:val="left"/>
        <w:rPr>
          <w:rFonts w:hint="eastAsia" w:ascii="宋体" w:hAnsi="宋体"/>
          <w:color w:val="000000"/>
          <w:szCs w:val="21"/>
        </w:rPr>
      </w:pPr>
    </w:p>
    <w:p>
      <w:pPr>
        <w:spacing w:line="360" w:lineRule="auto"/>
        <w:jc w:val="left"/>
        <w:rPr>
          <w:rFonts w:hint="eastAsia" w:ascii="宋体" w:hAnsi="宋体"/>
          <w:color w:val="000000"/>
          <w:szCs w:val="21"/>
        </w:rPr>
      </w:pPr>
    </w:p>
    <w:p>
      <w:pPr>
        <w:spacing w:line="360" w:lineRule="auto"/>
        <w:jc w:val="left"/>
        <w:rPr>
          <w:rFonts w:ascii="宋体" w:hAnsi="宋体" w:cs="宋体"/>
          <w:color w:val="000000"/>
          <w:szCs w:val="21"/>
        </w:rPr>
      </w:pPr>
      <w:r>
        <w:rPr>
          <w:rFonts w:hint="eastAsia" w:ascii="宋体" w:hAnsi="宋体"/>
          <w:color w:val="000000"/>
          <w:szCs w:val="21"/>
        </w:rPr>
        <w:t>表6</w:t>
      </w:r>
      <w:r>
        <w:rPr>
          <w:rFonts w:ascii="宋体" w:hAnsi="宋体"/>
          <w:color w:val="000000"/>
          <w:szCs w:val="21"/>
        </w:rPr>
        <w:t xml:space="preserve"> </w:t>
      </w:r>
      <w:r>
        <w:rPr>
          <w:rFonts w:hint="eastAsia" w:ascii="宋体" w:hAnsi="宋体" w:cs="宋体"/>
          <w:color w:val="000000"/>
          <w:szCs w:val="21"/>
        </w:rPr>
        <w:t>单项工程建筑安装工程费汇总表</w:t>
      </w:r>
    </w:p>
    <w:p>
      <w:pPr>
        <w:jc w:val="center"/>
        <w:rPr>
          <w:rFonts w:hint="eastAsia"/>
          <w:b/>
          <w:color w:val="000000"/>
          <w:sz w:val="36"/>
          <w:szCs w:val="36"/>
        </w:rPr>
      </w:pPr>
      <w:r>
        <w:rPr>
          <w:rFonts w:hint="eastAsia"/>
          <w:b/>
          <w:color w:val="000000"/>
          <w:sz w:val="36"/>
          <w:szCs w:val="36"/>
        </w:rPr>
        <w:t>单项工程建筑安装工程费汇总表</w:t>
      </w:r>
    </w:p>
    <w:p>
      <w:pPr>
        <w:rPr>
          <w:rFonts w:hint="eastAsia"/>
          <w:b/>
          <w:color w:val="000000"/>
          <w:sz w:val="24"/>
        </w:rPr>
      </w:pPr>
    </w:p>
    <w:p>
      <w:pPr>
        <w:rPr>
          <w:rFonts w:hint="eastAsia"/>
          <w:color w:val="000000"/>
          <w:sz w:val="24"/>
        </w:rPr>
      </w:pPr>
      <w:r>
        <w:rPr>
          <w:rFonts w:hint="eastAsia"/>
          <w:color w:val="000000"/>
          <w:sz w:val="24"/>
        </w:rPr>
        <w:t>工程名称：                                              第  页 共  页</w:t>
      </w:r>
    </w:p>
    <w:tbl>
      <w:tblPr>
        <w:tblStyle w:val="83"/>
        <w:tblW w:w="84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2700"/>
        <w:gridCol w:w="1260"/>
        <w:gridCol w:w="108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260" w:type="dxa"/>
            <w:vMerge w:val="restart"/>
            <w:noWrap w:val="0"/>
            <w:vAlign w:val="center"/>
          </w:tcPr>
          <w:p>
            <w:pPr>
              <w:jc w:val="center"/>
              <w:rPr>
                <w:rFonts w:hint="eastAsia"/>
                <w:color w:val="000000"/>
                <w:szCs w:val="21"/>
              </w:rPr>
            </w:pPr>
            <w:r>
              <w:rPr>
                <w:rFonts w:hint="eastAsia"/>
                <w:color w:val="000000"/>
                <w:szCs w:val="21"/>
              </w:rPr>
              <w:t>序号</w:t>
            </w:r>
          </w:p>
        </w:tc>
        <w:tc>
          <w:tcPr>
            <w:tcW w:w="2700" w:type="dxa"/>
            <w:vMerge w:val="restart"/>
            <w:noWrap w:val="0"/>
            <w:vAlign w:val="center"/>
          </w:tcPr>
          <w:p>
            <w:pPr>
              <w:jc w:val="center"/>
              <w:rPr>
                <w:rFonts w:hint="eastAsia"/>
                <w:color w:val="000000"/>
                <w:szCs w:val="21"/>
              </w:rPr>
            </w:pPr>
            <w:r>
              <w:rPr>
                <w:rFonts w:hint="eastAsia"/>
                <w:color w:val="000000"/>
                <w:szCs w:val="21"/>
              </w:rPr>
              <w:t>单位工程名称</w:t>
            </w:r>
          </w:p>
        </w:tc>
        <w:tc>
          <w:tcPr>
            <w:tcW w:w="1260" w:type="dxa"/>
            <w:vMerge w:val="restart"/>
            <w:noWrap w:val="0"/>
            <w:vAlign w:val="center"/>
          </w:tcPr>
          <w:p>
            <w:pPr>
              <w:jc w:val="center"/>
              <w:rPr>
                <w:rFonts w:hint="eastAsia"/>
                <w:color w:val="000000"/>
                <w:szCs w:val="21"/>
              </w:rPr>
            </w:pPr>
            <w:r>
              <w:rPr>
                <w:rFonts w:hint="eastAsia"/>
                <w:color w:val="000000"/>
                <w:szCs w:val="21"/>
              </w:rPr>
              <w:t>金额（元）</w:t>
            </w:r>
          </w:p>
        </w:tc>
        <w:tc>
          <w:tcPr>
            <w:tcW w:w="3240" w:type="dxa"/>
            <w:gridSpan w:val="2"/>
            <w:noWrap w:val="0"/>
            <w:vAlign w:val="center"/>
          </w:tcPr>
          <w:p>
            <w:pPr>
              <w:jc w:val="center"/>
              <w:rPr>
                <w:rFonts w:hint="eastAsia"/>
                <w:color w:val="000000"/>
                <w:szCs w:val="21"/>
              </w:rPr>
            </w:pPr>
            <w:r>
              <w:rPr>
                <w:rFonts w:hint="eastAsia"/>
                <w:color w:val="000000"/>
                <w:szCs w:val="21"/>
              </w:rPr>
              <w:t>其中：（元）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260" w:type="dxa"/>
            <w:vMerge w:val="continue"/>
            <w:noWrap w:val="0"/>
            <w:vAlign w:val="center"/>
          </w:tcPr>
          <w:p>
            <w:pPr>
              <w:jc w:val="center"/>
              <w:rPr>
                <w:rFonts w:hint="eastAsia"/>
                <w:color w:val="000000"/>
                <w:szCs w:val="21"/>
              </w:rPr>
            </w:pPr>
          </w:p>
        </w:tc>
        <w:tc>
          <w:tcPr>
            <w:tcW w:w="2700" w:type="dxa"/>
            <w:vMerge w:val="continue"/>
            <w:noWrap w:val="0"/>
            <w:vAlign w:val="center"/>
          </w:tcPr>
          <w:p>
            <w:pPr>
              <w:jc w:val="center"/>
              <w:rPr>
                <w:rFonts w:hint="eastAsia"/>
                <w:color w:val="000000"/>
                <w:szCs w:val="21"/>
              </w:rPr>
            </w:pPr>
          </w:p>
        </w:tc>
        <w:tc>
          <w:tcPr>
            <w:tcW w:w="1260" w:type="dxa"/>
            <w:vMerge w:val="continue"/>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r>
              <w:rPr>
                <w:rFonts w:hint="eastAsia"/>
                <w:color w:val="000000"/>
                <w:szCs w:val="21"/>
              </w:rPr>
              <w:t>暂估价</w:t>
            </w:r>
          </w:p>
        </w:tc>
        <w:tc>
          <w:tcPr>
            <w:tcW w:w="2160" w:type="dxa"/>
            <w:noWrap w:val="0"/>
            <w:vAlign w:val="center"/>
          </w:tcPr>
          <w:p>
            <w:pPr>
              <w:jc w:val="center"/>
              <w:rPr>
                <w:rFonts w:hint="eastAsia"/>
                <w:color w:val="000000"/>
                <w:szCs w:val="21"/>
              </w:rPr>
            </w:pPr>
            <w:r>
              <w:rPr>
                <w:rFonts w:hint="eastAsia"/>
                <w:color w:val="000000"/>
                <w:szCs w:val="21"/>
              </w:rPr>
              <w:t>安全文明施工费</w:t>
            </w:r>
          </w:p>
          <w:p>
            <w:pPr>
              <w:jc w:val="left"/>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6" w:hRule="atLeast"/>
        </w:trPr>
        <w:tc>
          <w:tcPr>
            <w:tcW w:w="1260" w:type="dxa"/>
            <w:noWrap w:val="0"/>
            <w:vAlign w:val="center"/>
          </w:tcPr>
          <w:p>
            <w:pPr>
              <w:jc w:val="center"/>
              <w:rPr>
                <w:rFonts w:hint="eastAsia"/>
                <w:color w:val="000000"/>
                <w:szCs w:val="21"/>
              </w:rPr>
            </w:pPr>
          </w:p>
        </w:tc>
        <w:tc>
          <w:tcPr>
            <w:tcW w:w="2700" w:type="dxa"/>
            <w:noWrap w:val="0"/>
            <w:vAlign w:val="center"/>
          </w:tcPr>
          <w:p>
            <w:pPr>
              <w:jc w:val="center"/>
              <w:rPr>
                <w:rFonts w:hint="eastAsia"/>
                <w:color w:val="000000"/>
                <w:szCs w:val="21"/>
              </w:rPr>
            </w:pPr>
          </w:p>
          <w:p>
            <w:pPr>
              <w:jc w:val="center"/>
              <w:rPr>
                <w:rFonts w:hint="eastAsia"/>
                <w:color w:val="000000"/>
                <w:szCs w:val="21"/>
              </w:rPr>
            </w:pPr>
          </w:p>
          <w:p>
            <w:pPr>
              <w:jc w:val="center"/>
              <w:rPr>
                <w:rFonts w:hint="eastAsia"/>
                <w:i/>
                <w:color w:val="000000"/>
                <w:szCs w:val="21"/>
              </w:rPr>
            </w:pPr>
          </w:p>
          <w:p>
            <w:pPr>
              <w:jc w:val="center"/>
              <w:rPr>
                <w:rFonts w:hint="eastAsia"/>
                <w:i/>
                <w:color w:val="000000"/>
                <w:szCs w:val="21"/>
              </w:rPr>
            </w:pPr>
          </w:p>
          <w:p>
            <w:pPr>
              <w:jc w:val="center"/>
              <w:rPr>
                <w:rFonts w:hint="eastAsia"/>
                <w:i/>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rFonts w:hint="eastAsia"/>
                <w:color w:val="000000"/>
                <w:szCs w:val="21"/>
              </w:rPr>
            </w:pPr>
          </w:p>
          <w:p>
            <w:pPr>
              <w:jc w:val="center"/>
              <w:rPr>
                <w:color w:val="000000"/>
                <w:szCs w:val="21"/>
              </w:rPr>
            </w:pPr>
          </w:p>
          <w:p>
            <w:pPr>
              <w:jc w:val="center"/>
              <w:rPr>
                <w:color w:val="000000"/>
                <w:szCs w:val="21"/>
              </w:rPr>
            </w:pPr>
          </w:p>
          <w:p>
            <w:pPr>
              <w:jc w:val="center"/>
              <w:rPr>
                <w:color w:val="000000"/>
                <w:szCs w:val="21"/>
              </w:rPr>
            </w:pPr>
          </w:p>
          <w:p>
            <w:pPr>
              <w:jc w:val="center"/>
              <w:rPr>
                <w:color w:val="000000"/>
                <w:szCs w:val="21"/>
              </w:rPr>
            </w:pPr>
          </w:p>
          <w:p>
            <w:pPr>
              <w:jc w:val="center"/>
              <w:rPr>
                <w:color w:val="000000"/>
                <w:szCs w:val="21"/>
              </w:rPr>
            </w:pPr>
          </w:p>
          <w:p>
            <w:pPr>
              <w:jc w:val="center"/>
              <w:rPr>
                <w:color w:val="000000"/>
                <w:szCs w:val="21"/>
              </w:rPr>
            </w:pPr>
          </w:p>
          <w:p>
            <w:pPr>
              <w:jc w:val="center"/>
              <w:rPr>
                <w:color w:val="000000"/>
                <w:szCs w:val="21"/>
              </w:rPr>
            </w:pPr>
          </w:p>
          <w:p>
            <w:pPr>
              <w:jc w:val="center"/>
              <w:rPr>
                <w:color w:val="000000"/>
                <w:szCs w:val="21"/>
              </w:rPr>
            </w:pPr>
          </w:p>
          <w:p>
            <w:pPr>
              <w:jc w:val="center"/>
              <w:rPr>
                <w:rFonts w:hint="eastAsia"/>
                <w:color w:val="000000"/>
                <w:szCs w:val="21"/>
              </w:rPr>
            </w:pPr>
          </w:p>
        </w:tc>
        <w:tc>
          <w:tcPr>
            <w:tcW w:w="126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260" w:type="dxa"/>
            <w:noWrap w:val="0"/>
            <w:vAlign w:val="center"/>
          </w:tcPr>
          <w:p>
            <w:pPr>
              <w:jc w:val="center"/>
              <w:rPr>
                <w:rFonts w:hint="eastAsia"/>
                <w:color w:val="000000"/>
                <w:szCs w:val="21"/>
              </w:rPr>
            </w:pPr>
          </w:p>
        </w:tc>
        <w:tc>
          <w:tcPr>
            <w:tcW w:w="2700" w:type="dxa"/>
            <w:noWrap w:val="0"/>
            <w:vAlign w:val="center"/>
          </w:tcPr>
          <w:p>
            <w:pPr>
              <w:jc w:val="left"/>
              <w:rPr>
                <w:rFonts w:hint="eastAsia"/>
                <w:color w:val="000000"/>
                <w:szCs w:val="21"/>
              </w:rPr>
            </w:pPr>
            <w:r>
              <w:rPr>
                <w:rFonts w:hint="eastAsia"/>
                <w:color w:val="000000"/>
                <w:szCs w:val="21"/>
              </w:rPr>
              <w:t>建筑安装工程费合计</w:t>
            </w:r>
          </w:p>
        </w:tc>
        <w:tc>
          <w:tcPr>
            <w:tcW w:w="126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r>
    </w:tbl>
    <w:p>
      <w:pPr>
        <w:jc w:val="right"/>
        <w:rPr>
          <w:rFonts w:hint="eastAsia"/>
          <w:color w:val="000000"/>
          <w:szCs w:val="21"/>
        </w:rPr>
      </w:pPr>
    </w:p>
    <w:p>
      <w:pPr>
        <w:jc w:val="right"/>
        <w:rPr>
          <w:rFonts w:hint="eastAsia"/>
          <w:color w:val="000000"/>
          <w:szCs w:val="21"/>
        </w:rPr>
      </w:pPr>
    </w:p>
    <w:p>
      <w:pPr>
        <w:spacing w:line="360" w:lineRule="auto"/>
        <w:ind w:firstLine="630" w:firstLineChars="300"/>
        <w:jc w:val="left"/>
        <w:rPr>
          <w:rFonts w:hint="eastAsia" w:ascii="宋体" w:hAnsi="宋体"/>
          <w:color w:val="000000"/>
          <w:szCs w:val="21"/>
        </w:rPr>
      </w:pPr>
    </w:p>
    <w:p>
      <w:pPr>
        <w:spacing w:line="360" w:lineRule="auto"/>
        <w:ind w:firstLine="630" w:firstLineChars="300"/>
        <w:jc w:val="left"/>
        <w:rPr>
          <w:rFonts w:ascii="宋体" w:hAnsi="宋体" w:cs="宋体"/>
          <w:color w:val="000000"/>
          <w:szCs w:val="21"/>
        </w:rPr>
      </w:pPr>
      <w:r>
        <w:rPr>
          <w:rFonts w:hint="eastAsia" w:ascii="宋体" w:hAnsi="宋体"/>
          <w:color w:val="000000"/>
          <w:szCs w:val="21"/>
        </w:rPr>
        <w:t xml:space="preserve">表7 </w:t>
      </w:r>
      <w:r>
        <w:rPr>
          <w:rFonts w:hint="eastAsia" w:ascii="宋体" w:hAnsi="宋体" w:cs="宋体"/>
          <w:color w:val="000000"/>
          <w:szCs w:val="21"/>
        </w:rPr>
        <w:t>单位工程建筑安装工程费汇总表</w:t>
      </w:r>
    </w:p>
    <w:p>
      <w:pPr>
        <w:jc w:val="center"/>
        <w:rPr>
          <w:rFonts w:hint="eastAsia"/>
          <w:b/>
          <w:color w:val="000000"/>
          <w:sz w:val="36"/>
          <w:szCs w:val="36"/>
        </w:rPr>
      </w:pPr>
      <w:r>
        <w:rPr>
          <w:rFonts w:hint="eastAsia"/>
          <w:b/>
          <w:color w:val="000000"/>
          <w:sz w:val="36"/>
          <w:szCs w:val="36"/>
        </w:rPr>
        <w:t>单位工程建筑安装工程费汇总表</w:t>
      </w:r>
    </w:p>
    <w:p>
      <w:pPr>
        <w:rPr>
          <w:rFonts w:hint="eastAsia"/>
          <w:b/>
          <w:color w:val="000000"/>
          <w:sz w:val="24"/>
        </w:rPr>
      </w:pPr>
    </w:p>
    <w:p>
      <w:pPr>
        <w:rPr>
          <w:rFonts w:hint="eastAsia"/>
          <w:color w:val="000000"/>
          <w:sz w:val="24"/>
        </w:rPr>
      </w:pPr>
      <w:r>
        <w:rPr>
          <w:rFonts w:hint="eastAsia"/>
          <w:color w:val="000000"/>
          <w:sz w:val="24"/>
        </w:rPr>
        <w:t>工程名称：                                            第  页  共  页</w:t>
      </w:r>
    </w:p>
    <w:tbl>
      <w:tblPr>
        <w:tblStyle w:val="8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3420"/>
        <w:gridCol w:w="180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34" w:hRule="atLeast"/>
        </w:trPr>
        <w:tc>
          <w:tcPr>
            <w:tcW w:w="1080" w:type="dxa"/>
            <w:noWrap w:val="0"/>
            <w:vAlign w:val="center"/>
          </w:tcPr>
          <w:p>
            <w:pPr>
              <w:jc w:val="center"/>
              <w:rPr>
                <w:rFonts w:hint="eastAsia"/>
                <w:color w:val="000000"/>
                <w:szCs w:val="21"/>
              </w:rPr>
            </w:pPr>
            <w:r>
              <w:rPr>
                <w:rFonts w:hint="eastAsia"/>
                <w:color w:val="000000"/>
                <w:szCs w:val="21"/>
              </w:rPr>
              <w:t>序号</w:t>
            </w:r>
          </w:p>
        </w:tc>
        <w:tc>
          <w:tcPr>
            <w:tcW w:w="3420" w:type="dxa"/>
            <w:noWrap w:val="0"/>
            <w:vAlign w:val="center"/>
          </w:tcPr>
          <w:p>
            <w:pPr>
              <w:jc w:val="center"/>
              <w:rPr>
                <w:rFonts w:hint="eastAsia"/>
                <w:color w:val="000000"/>
                <w:szCs w:val="21"/>
              </w:rPr>
            </w:pPr>
            <w:r>
              <w:rPr>
                <w:rFonts w:hint="eastAsia"/>
                <w:color w:val="000000"/>
                <w:szCs w:val="21"/>
              </w:rPr>
              <w:t>汇总内容</w:t>
            </w:r>
          </w:p>
        </w:tc>
        <w:tc>
          <w:tcPr>
            <w:tcW w:w="1800" w:type="dxa"/>
            <w:noWrap w:val="0"/>
            <w:vAlign w:val="center"/>
          </w:tcPr>
          <w:p>
            <w:pPr>
              <w:jc w:val="center"/>
              <w:rPr>
                <w:rFonts w:hint="eastAsia"/>
                <w:color w:val="000000"/>
                <w:szCs w:val="21"/>
              </w:rPr>
            </w:pPr>
            <w:r>
              <w:rPr>
                <w:rFonts w:hint="eastAsia"/>
                <w:color w:val="000000"/>
                <w:szCs w:val="21"/>
              </w:rPr>
              <w:t>金额（元）</w:t>
            </w:r>
          </w:p>
        </w:tc>
        <w:tc>
          <w:tcPr>
            <w:tcW w:w="1980" w:type="dxa"/>
            <w:noWrap w:val="0"/>
            <w:vAlign w:val="center"/>
          </w:tcPr>
          <w:p>
            <w:pPr>
              <w:jc w:val="center"/>
              <w:rPr>
                <w:rFonts w:hint="eastAsia"/>
                <w:color w:val="000000"/>
                <w:szCs w:val="21"/>
              </w:rPr>
            </w:pPr>
            <w:r>
              <w:rPr>
                <w:rFonts w:hint="eastAsia"/>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34" w:hRule="atLeast"/>
        </w:trPr>
        <w:tc>
          <w:tcPr>
            <w:tcW w:w="1080" w:type="dxa"/>
            <w:noWrap w:val="0"/>
            <w:vAlign w:val="center"/>
          </w:tcPr>
          <w:p>
            <w:pPr>
              <w:jc w:val="center"/>
              <w:rPr>
                <w:rFonts w:hint="eastAsia"/>
                <w:color w:val="000000"/>
                <w:szCs w:val="21"/>
              </w:rPr>
            </w:pPr>
            <w:r>
              <w:rPr>
                <w:rFonts w:hint="eastAsia"/>
                <w:color w:val="000000"/>
                <w:szCs w:val="21"/>
              </w:rPr>
              <w:t>1</w:t>
            </w:r>
          </w:p>
        </w:tc>
        <w:tc>
          <w:tcPr>
            <w:tcW w:w="3420" w:type="dxa"/>
            <w:noWrap w:val="0"/>
            <w:vAlign w:val="center"/>
          </w:tcPr>
          <w:p>
            <w:pPr>
              <w:rPr>
                <w:rFonts w:hint="eastAsia"/>
                <w:color w:val="000000"/>
                <w:szCs w:val="21"/>
              </w:rPr>
            </w:pPr>
            <w:r>
              <w:rPr>
                <w:rFonts w:hint="eastAsia"/>
                <w:color w:val="000000"/>
                <w:szCs w:val="21"/>
              </w:rPr>
              <w:t>分部分项工程和单价措施项目</w:t>
            </w:r>
          </w:p>
          <w:p>
            <w:pPr>
              <w:rPr>
                <w:rFonts w:hint="eastAsia"/>
                <w:color w:val="000000"/>
                <w:szCs w:val="21"/>
              </w:rPr>
            </w:pPr>
            <w:r>
              <w:rPr>
                <w:rFonts w:hint="eastAsia"/>
                <w:color w:val="000000"/>
                <w:szCs w:val="21"/>
              </w:rPr>
              <w:t>费用合计</w:t>
            </w:r>
          </w:p>
        </w:tc>
        <w:tc>
          <w:tcPr>
            <w:tcW w:w="1800" w:type="dxa"/>
            <w:noWrap w:val="0"/>
            <w:vAlign w:val="center"/>
          </w:tcPr>
          <w:p>
            <w:pPr>
              <w:jc w:val="center"/>
              <w:rPr>
                <w:rFonts w:hint="eastAsia"/>
                <w:color w:val="000000"/>
                <w:szCs w:val="21"/>
              </w:rPr>
            </w:pPr>
          </w:p>
        </w:tc>
        <w:tc>
          <w:tcPr>
            <w:tcW w:w="198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34" w:hRule="atLeast"/>
        </w:trPr>
        <w:tc>
          <w:tcPr>
            <w:tcW w:w="1080" w:type="dxa"/>
            <w:noWrap w:val="0"/>
            <w:vAlign w:val="center"/>
          </w:tcPr>
          <w:p>
            <w:pPr>
              <w:jc w:val="center"/>
              <w:rPr>
                <w:rFonts w:hint="eastAsia"/>
                <w:color w:val="000000"/>
                <w:szCs w:val="21"/>
              </w:rPr>
            </w:pPr>
            <w:r>
              <w:rPr>
                <w:rFonts w:hint="eastAsia"/>
                <w:color w:val="000000"/>
                <w:szCs w:val="21"/>
              </w:rPr>
              <w:t>1.1</w:t>
            </w:r>
          </w:p>
        </w:tc>
        <w:tc>
          <w:tcPr>
            <w:tcW w:w="3420" w:type="dxa"/>
            <w:noWrap w:val="0"/>
            <w:vAlign w:val="center"/>
          </w:tcPr>
          <w:p>
            <w:pPr>
              <w:rPr>
                <w:rFonts w:hint="eastAsia"/>
                <w:color w:val="000000"/>
                <w:szCs w:val="21"/>
              </w:rPr>
            </w:pPr>
            <w:r>
              <w:rPr>
                <w:rFonts w:hint="eastAsia"/>
                <w:color w:val="000000"/>
                <w:szCs w:val="21"/>
              </w:rPr>
              <w:t>其中：暂估价</w:t>
            </w:r>
          </w:p>
        </w:tc>
        <w:tc>
          <w:tcPr>
            <w:tcW w:w="1800" w:type="dxa"/>
            <w:noWrap w:val="0"/>
            <w:vAlign w:val="center"/>
          </w:tcPr>
          <w:p>
            <w:pPr>
              <w:jc w:val="center"/>
              <w:rPr>
                <w:rFonts w:hint="eastAsia"/>
                <w:color w:val="000000"/>
                <w:szCs w:val="21"/>
              </w:rPr>
            </w:pPr>
          </w:p>
        </w:tc>
        <w:tc>
          <w:tcPr>
            <w:tcW w:w="198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34" w:hRule="atLeast"/>
        </w:trPr>
        <w:tc>
          <w:tcPr>
            <w:tcW w:w="1080" w:type="dxa"/>
            <w:noWrap w:val="0"/>
            <w:vAlign w:val="center"/>
          </w:tcPr>
          <w:p>
            <w:pPr>
              <w:jc w:val="center"/>
              <w:rPr>
                <w:rFonts w:hint="eastAsia"/>
                <w:color w:val="000000"/>
                <w:szCs w:val="21"/>
              </w:rPr>
            </w:pPr>
            <w:r>
              <w:rPr>
                <w:rFonts w:hint="eastAsia"/>
                <w:color w:val="000000"/>
                <w:szCs w:val="21"/>
              </w:rPr>
              <w:t>2</w:t>
            </w:r>
          </w:p>
        </w:tc>
        <w:tc>
          <w:tcPr>
            <w:tcW w:w="3420" w:type="dxa"/>
            <w:noWrap w:val="0"/>
            <w:vAlign w:val="center"/>
          </w:tcPr>
          <w:p>
            <w:pPr>
              <w:rPr>
                <w:rFonts w:hint="eastAsia"/>
                <w:color w:val="000000"/>
                <w:szCs w:val="21"/>
              </w:rPr>
            </w:pPr>
            <w:r>
              <w:rPr>
                <w:rFonts w:hint="eastAsia"/>
                <w:color w:val="000000"/>
                <w:szCs w:val="21"/>
              </w:rPr>
              <w:t>总价措施项目费用合计</w:t>
            </w:r>
          </w:p>
        </w:tc>
        <w:tc>
          <w:tcPr>
            <w:tcW w:w="1800" w:type="dxa"/>
            <w:noWrap w:val="0"/>
            <w:vAlign w:val="center"/>
          </w:tcPr>
          <w:p>
            <w:pPr>
              <w:jc w:val="center"/>
              <w:rPr>
                <w:rFonts w:hint="eastAsia"/>
                <w:color w:val="000000"/>
                <w:szCs w:val="21"/>
              </w:rPr>
            </w:pPr>
          </w:p>
        </w:tc>
        <w:tc>
          <w:tcPr>
            <w:tcW w:w="198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34" w:hRule="atLeast"/>
        </w:trPr>
        <w:tc>
          <w:tcPr>
            <w:tcW w:w="1080" w:type="dxa"/>
            <w:noWrap w:val="0"/>
            <w:vAlign w:val="center"/>
          </w:tcPr>
          <w:p>
            <w:pPr>
              <w:jc w:val="center"/>
              <w:rPr>
                <w:rFonts w:hint="eastAsia"/>
                <w:color w:val="000000"/>
                <w:szCs w:val="21"/>
              </w:rPr>
            </w:pPr>
            <w:r>
              <w:rPr>
                <w:rFonts w:hint="eastAsia"/>
                <w:color w:val="000000"/>
                <w:szCs w:val="21"/>
              </w:rPr>
              <w:t>2.1</w:t>
            </w:r>
          </w:p>
        </w:tc>
        <w:tc>
          <w:tcPr>
            <w:tcW w:w="3420" w:type="dxa"/>
            <w:noWrap w:val="0"/>
            <w:vAlign w:val="center"/>
          </w:tcPr>
          <w:p>
            <w:pPr>
              <w:rPr>
                <w:rFonts w:hint="eastAsia"/>
                <w:color w:val="000000"/>
                <w:szCs w:val="21"/>
              </w:rPr>
            </w:pPr>
            <w:r>
              <w:rPr>
                <w:rFonts w:hint="eastAsia"/>
                <w:color w:val="000000"/>
                <w:szCs w:val="21"/>
              </w:rPr>
              <w:t>其中：安全文明施工费</w:t>
            </w:r>
          </w:p>
        </w:tc>
        <w:tc>
          <w:tcPr>
            <w:tcW w:w="1800" w:type="dxa"/>
            <w:noWrap w:val="0"/>
            <w:vAlign w:val="center"/>
          </w:tcPr>
          <w:p>
            <w:pPr>
              <w:jc w:val="center"/>
              <w:rPr>
                <w:rFonts w:hint="eastAsia"/>
                <w:color w:val="000000"/>
                <w:szCs w:val="21"/>
              </w:rPr>
            </w:pPr>
          </w:p>
        </w:tc>
        <w:tc>
          <w:tcPr>
            <w:tcW w:w="198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34" w:hRule="atLeast"/>
        </w:trPr>
        <w:tc>
          <w:tcPr>
            <w:tcW w:w="1080" w:type="dxa"/>
            <w:noWrap w:val="0"/>
            <w:vAlign w:val="center"/>
          </w:tcPr>
          <w:p>
            <w:pPr>
              <w:jc w:val="center"/>
              <w:rPr>
                <w:rFonts w:hint="eastAsia"/>
                <w:color w:val="000000"/>
                <w:szCs w:val="21"/>
              </w:rPr>
            </w:pPr>
            <w:r>
              <w:rPr>
                <w:rFonts w:hint="eastAsia"/>
                <w:color w:val="000000"/>
                <w:szCs w:val="21"/>
              </w:rPr>
              <w:t>3</w:t>
            </w:r>
          </w:p>
        </w:tc>
        <w:tc>
          <w:tcPr>
            <w:tcW w:w="3420" w:type="dxa"/>
            <w:noWrap w:val="0"/>
            <w:vAlign w:val="center"/>
          </w:tcPr>
          <w:p>
            <w:pPr>
              <w:rPr>
                <w:rFonts w:hint="eastAsia"/>
                <w:color w:val="000000"/>
                <w:szCs w:val="21"/>
              </w:rPr>
            </w:pPr>
            <w:r>
              <w:rPr>
                <w:rFonts w:hint="eastAsia"/>
                <w:color w:val="000000"/>
                <w:szCs w:val="21"/>
              </w:rPr>
              <w:t>其他项目费用合计</w:t>
            </w:r>
          </w:p>
        </w:tc>
        <w:tc>
          <w:tcPr>
            <w:tcW w:w="1800" w:type="dxa"/>
            <w:noWrap w:val="0"/>
            <w:vAlign w:val="center"/>
          </w:tcPr>
          <w:p>
            <w:pPr>
              <w:jc w:val="center"/>
              <w:rPr>
                <w:rFonts w:hint="eastAsia"/>
                <w:color w:val="000000"/>
                <w:szCs w:val="21"/>
              </w:rPr>
            </w:pPr>
          </w:p>
        </w:tc>
        <w:tc>
          <w:tcPr>
            <w:tcW w:w="198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38" w:hRule="atLeast"/>
        </w:trPr>
        <w:tc>
          <w:tcPr>
            <w:tcW w:w="1080" w:type="dxa"/>
            <w:noWrap w:val="0"/>
            <w:vAlign w:val="center"/>
          </w:tcPr>
          <w:p>
            <w:pPr>
              <w:jc w:val="center"/>
              <w:rPr>
                <w:rFonts w:hint="eastAsia"/>
                <w:color w:val="000000"/>
                <w:szCs w:val="21"/>
              </w:rPr>
            </w:pPr>
            <w:r>
              <w:rPr>
                <w:rFonts w:hint="eastAsia"/>
                <w:color w:val="000000"/>
                <w:szCs w:val="21"/>
              </w:rPr>
              <w:t>4</w:t>
            </w:r>
          </w:p>
        </w:tc>
        <w:tc>
          <w:tcPr>
            <w:tcW w:w="3420" w:type="dxa"/>
            <w:noWrap w:val="0"/>
            <w:vAlign w:val="center"/>
          </w:tcPr>
          <w:p>
            <w:pPr>
              <w:rPr>
                <w:rFonts w:hint="eastAsia"/>
                <w:color w:val="000000"/>
                <w:szCs w:val="21"/>
              </w:rPr>
            </w:pPr>
            <w:r>
              <w:rPr>
                <w:rFonts w:hint="eastAsia"/>
                <w:color w:val="000000"/>
                <w:szCs w:val="21"/>
              </w:rPr>
              <w:t>规费、税金项目费用合计</w:t>
            </w:r>
          </w:p>
        </w:tc>
        <w:tc>
          <w:tcPr>
            <w:tcW w:w="1800" w:type="dxa"/>
            <w:noWrap w:val="0"/>
            <w:vAlign w:val="center"/>
          </w:tcPr>
          <w:p>
            <w:pPr>
              <w:jc w:val="center"/>
              <w:rPr>
                <w:rFonts w:hint="eastAsia"/>
                <w:color w:val="000000"/>
                <w:szCs w:val="21"/>
              </w:rPr>
            </w:pPr>
          </w:p>
        </w:tc>
        <w:tc>
          <w:tcPr>
            <w:tcW w:w="198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03" w:hRule="atLeast"/>
        </w:trPr>
        <w:tc>
          <w:tcPr>
            <w:tcW w:w="1080" w:type="dxa"/>
            <w:noWrap w:val="0"/>
            <w:vAlign w:val="center"/>
          </w:tcPr>
          <w:p>
            <w:pPr>
              <w:jc w:val="center"/>
              <w:rPr>
                <w:rFonts w:hint="eastAsia"/>
                <w:color w:val="000000"/>
                <w:szCs w:val="21"/>
              </w:rPr>
            </w:pPr>
            <w:r>
              <w:rPr>
                <w:rFonts w:hint="eastAsia"/>
                <w:color w:val="000000"/>
                <w:szCs w:val="21"/>
              </w:rPr>
              <w:t>5</w:t>
            </w:r>
          </w:p>
        </w:tc>
        <w:tc>
          <w:tcPr>
            <w:tcW w:w="3420" w:type="dxa"/>
            <w:noWrap w:val="0"/>
            <w:vAlign w:val="center"/>
          </w:tcPr>
          <w:p>
            <w:pPr>
              <w:rPr>
                <w:rFonts w:hint="eastAsia"/>
                <w:color w:val="000000"/>
                <w:szCs w:val="21"/>
              </w:rPr>
            </w:pPr>
            <w:r>
              <w:rPr>
                <w:rFonts w:hint="eastAsia"/>
                <w:color w:val="000000"/>
                <w:szCs w:val="21"/>
              </w:rPr>
              <w:t>建筑安装工程费合计=1+2+3+4</w:t>
            </w:r>
          </w:p>
        </w:tc>
        <w:tc>
          <w:tcPr>
            <w:tcW w:w="1800" w:type="dxa"/>
            <w:noWrap w:val="0"/>
            <w:vAlign w:val="center"/>
          </w:tcPr>
          <w:p>
            <w:pPr>
              <w:rPr>
                <w:color w:val="000000"/>
              </w:rPr>
            </w:pPr>
          </w:p>
        </w:tc>
        <w:tc>
          <w:tcPr>
            <w:tcW w:w="1980" w:type="dxa"/>
            <w:noWrap w:val="0"/>
            <w:vAlign w:val="center"/>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34" w:hRule="atLeast"/>
        </w:trPr>
        <w:tc>
          <w:tcPr>
            <w:tcW w:w="1080" w:type="dxa"/>
            <w:noWrap w:val="0"/>
            <w:vAlign w:val="center"/>
          </w:tcPr>
          <w:p>
            <w:pPr>
              <w:jc w:val="center"/>
              <w:rPr>
                <w:rFonts w:hint="eastAsia"/>
                <w:color w:val="000000"/>
                <w:szCs w:val="21"/>
              </w:rPr>
            </w:pPr>
          </w:p>
        </w:tc>
        <w:tc>
          <w:tcPr>
            <w:tcW w:w="3420" w:type="dxa"/>
            <w:noWrap w:val="0"/>
            <w:vAlign w:val="center"/>
          </w:tcPr>
          <w:p>
            <w:pPr>
              <w:rPr>
                <w:rFonts w:hint="eastAsia"/>
                <w:color w:val="000000"/>
                <w:szCs w:val="21"/>
              </w:rPr>
            </w:pPr>
          </w:p>
        </w:tc>
        <w:tc>
          <w:tcPr>
            <w:tcW w:w="1800" w:type="dxa"/>
            <w:noWrap w:val="0"/>
            <w:vAlign w:val="center"/>
          </w:tcPr>
          <w:p>
            <w:pPr>
              <w:jc w:val="center"/>
              <w:rPr>
                <w:rFonts w:hint="eastAsia"/>
                <w:color w:val="000000"/>
                <w:szCs w:val="21"/>
              </w:rPr>
            </w:pPr>
          </w:p>
        </w:tc>
        <w:tc>
          <w:tcPr>
            <w:tcW w:w="1980" w:type="dxa"/>
            <w:noWrap w:val="0"/>
            <w:vAlign w:val="center"/>
          </w:tcPr>
          <w:p>
            <w:pPr>
              <w:jc w:val="center"/>
              <w:rPr>
                <w:rFonts w:hint="eastAsia"/>
                <w:color w:val="000000"/>
                <w:szCs w:val="21"/>
              </w:rPr>
            </w:pPr>
          </w:p>
        </w:tc>
      </w:tr>
    </w:tbl>
    <w:p>
      <w:pPr>
        <w:rPr>
          <w:rFonts w:hint="eastAsia"/>
          <w:color w:val="000000"/>
          <w:sz w:val="24"/>
        </w:rPr>
      </w:pPr>
    </w:p>
    <w:p>
      <w:pPr>
        <w:rPr>
          <w:rFonts w:hint="eastAsia"/>
          <w:color w:val="000000"/>
          <w:sz w:val="24"/>
        </w:rPr>
      </w:pPr>
    </w:p>
    <w:p>
      <w:pPr>
        <w:jc w:val="right"/>
        <w:rPr>
          <w:rFonts w:hint="eastAsia"/>
          <w:color w:val="000000"/>
          <w:szCs w:val="21"/>
        </w:rPr>
      </w:pPr>
    </w:p>
    <w:p>
      <w:pPr>
        <w:spacing w:line="360" w:lineRule="auto"/>
        <w:ind w:firstLine="630" w:firstLineChars="300"/>
        <w:jc w:val="left"/>
        <w:rPr>
          <w:rFonts w:hint="eastAsia" w:ascii="宋体" w:hAnsi="宋体"/>
          <w:color w:val="000000"/>
          <w:szCs w:val="21"/>
        </w:rPr>
      </w:pPr>
    </w:p>
    <w:p>
      <w:pPr>
        <w:spacing w:line="360" w:lineRule="auto"/>
        <w:ind w:firstLine="630" w:firstLineChars="300"/>
        <w:jc w:val="left"/>
        <w:rPr>
          <w:rFonts w:hint="eastAsia" w:ascii="宋体" w:hAnsi="宋体"/>
          <w:color w:val="000000"/>
          <w:szCs w:val="21"/>
        </w:rPr>
      </w:pPr>
    </w:p>
    <w:p>
      <w:pPr>
        <w:spacing w:line="360" w:lineRule="auto"/>
        <w:ind w:firstLine="630" w:firstLineChars="300"/>
        <w:jc w:val="left"/>
        <w:rPr>
          <w:rFonts w:hint="eastAsia" w:ascii="宋体" w:hAnsi="宋体"/>
          <w:color w:val="000000"/>
          <w:szCs w:val="21"/>
        </w:rPr>
      </w:pPr>
    </w:p>
    <w:p>
      <w:pPr>
        <w:spacing w:line="360" w:lineRule="auto"/>
        <w:ind w:firstLine="630" w:firstLineChars="300"/>
        <w:jc w:val="left"/>
        <w:rPr>
          <w:rFonts w:ascii="宋体" w:hAnsi="宋体" w:cs="宋体"/>
          <w:color w:val="000000"/>
          <w:szCs w:val="21"/>
        </w:rPr>
      </w:pPr>
      <w:r>
        <w:rPr>
          <w:rFonts w:hint="eastAsia" w:ascii="宋体" w:hAnsi="宋体"/>
          <w:color w:val="000000"/>
          <w:szCs w:val="21"/>
        </w:rPr>
        <w:t xml:space="preserve">表8 </w:t>
      </w:r>
      <w:r>
        <w:rPr>
          <w:rFonts w:hint="eastAsia" w:ascii="宋体" w:hAnsi="宋体" w:cs="宋体"/>
          <w:color w:val="000000"/>
          <w:szCs w:val="21"/>
        </w:rPr>
        <w:t>分部分项工程和单价措施项目费用表</w:t>
      </w:r>
    </w:p>
    <w:p>
      <w:pPr>
        <w:jc w:val="center"/>
        <w:rPr>
          <w:rFonts w:hint="eastAsia"/>
          <w:b/>
          <w:color w:val="000000"/>
          <w:sz w:val="36"/>
          <w:szCs w:val="36"/>
        </w:rPr>
      </w:pPr>
      <w:r>
        <w:rPr>
          <w:rFonts w:hint="eastAsia"/>
          <w:b/>
          <w:color w:val="000000"/>
          <w:sz w:val="36"/>
          <w:szCs w:val="36"/>
        </w:rPr>
        <w:t>分部分项工程和单价措施项目费用表</w:t>
      </w:r>
    </w:p>
    <w:p>
      <w:pPr>
        <w:rPr>
          <w:rFonts w:hint="eastAsia"/>
          <w:color w:val="000000"/>
          <w:sz w:val="24"/>
        </w:rPr>
      </w:pPr>
      <w:r>
        <w:rPr>
          <w:rFonts w:hint="eastAsia"/>
          <w:color w:val="000000"/>
          <w:sz w:val="24"/>
        </w:rPr>
        <w:t>工程名称：                                            第  页  共  页</w:t>
      </w:r>
    </w:p>
    <w:tbl>
      <w:tblPr>
        <w:tblStyle w:val="83"/>
        <w:tblW w:w="86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043"/>
        <w:gridCol w:w="2197"/>
        <w:gridCol w:w="720"/>
        <w:gridCol w:w="1080"/>
        <w:gridCol w:w="1080"/>
        <w:gridCol w:w="1104"/>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40" w:type="dxa"/>
            <w:vMerge w:val="restart"/>
            <w:noWrap w:val="0"/>
            <w:vAlign w:val="center"/>
          </w:tcPr>
          <w:p>
            <w:pPr>
              <w:jc w:val="center"/>
              <w:rPr>
                <w:rFonts w:hint="eastAsia"/>
                <w:color w:val="000000"/>
                <w:szCs w:val="21"/>
              </w:rPr>
            </w:pPr>
            <w:r>
              <w:rPr>
                <w:rFonts w:hint="eastAsia"/>
                <w:color w:val="000000"/>
                <w:szCs w:val="21"/>
              </w:rPr>
              <w:t>序号</w:t>
            </w:r>
          </w:p>
        </w:tc>
        <w:tc>
          <w:tcPr>
            <w:tcW w:w="1043" w:type="dxa"/>
            <w:vMerge w:val="restart"/>
            <w:noWrap w:val="0"/>
            <w:vAlign w:val="center"/>
          </w:tcPr>
          <w:p>
            <w:pPr>
              <w:jc w:val="center"/>
              <w:rPr>
                <w:rFonts w:hint="eastAsia"/>
                <w:color w:val="000000"/>
                <w:szCs w:val="21"/>
              </w:rPr>
            </w:pPr>
            <w:r>
              <w:rPr>
                <w:rFonts w:hint="eastAsia"/>
                <w:color w:val="000000"/>
                <w:szCs w:val="21"/>
              </w:rPr>
              <w:t>项目编码</w:t>
            </w:r>
          </w:p>
        </w:tc>
        <w:tc>
          <w:tcPr>
            <w:tcW w:w="2197" w:type="dxa"/>
            <w:vMerge w:val="restart"/>
            <w:noWrap w:val="0"/>
            <w:vAlign w:val="center"/>
          </w:tcPr>
          <w:p>
            <w:pPr>
              <w:jc w:val="center"/>
              <w:rPr>
                <w:color w:val="000000"/>
                <w:szCs w:val="21"/>
              </w:rPr>
            </w:pPr>
            <w:r>
              <w:rPr>
                <w:rFonts w:hint="eastAsia"/>
                <w:color w:val="000000"/>
                <w:szCs w:val="21"/>
              </w:rPr>
              <w:t>项目名称及</w:t>
            </w:r>
          </w:p>
          <w:p>
            <w:pPr>
              <w:jc w:val="center"/>
              <w:rPr>
                <w:rFonts w:hint="eastAsia"/>
                <w:color w:val="000000"/>
                <w:szCs w:val="21"/>
              </w:rPr>
            </w:pPr>
            <w:r>
              <w:rPr>
                <w:rFonts w:hint="eastAsia"/>
                <w:color w:val="000000"/>
                <w:szCs w:val="21"/>
              </w:rPr>
              <w:t>项目特征描述</w:t>
            </w:r>
          </w:p>
        </w:tc>
        <w:tc>
          <w:tcPr>
            <w:tcW w:w="720" w:type="dxa"/>
            <w:vMerge w:val="restart"/>
            <w:noWrap w:val="0"/>
            <w:vAlign w:val="center"/>
          </w:tcPr>
          <w:p>
            <w:pPr>
              <w:jc w:val="center"/>
              <w:rPr>
                <w:rFonts w:hint="eastAsia"/>
                <w:color w:val="000000"/>
                <w:szCs w:val="21"/>
              </w:rPr>
            </w:pPr>
            <w:r>
              <w:rPr>
                <w:rFonts w:hint="eastAsia"/>
                <w:color w:val="000000"/>
                <w:szCs w:val="21"/>
              </w:rPr>
              <w:t>计量单位</w:t>
            </w:r>
          </w:p>
        </w:tc>
        <w:tc>
          <w:tcPr>
            <w:tcW w:w="1080" w:type="dxa"/>
            <w:vMerge w:val="restart"/>
            <w:noWrap w:val="0"/>
            <w:vAlign w:val="center"/>
          </w:tcPr>
          <w:p>
            <w:pPr>
              <w:jc w:val="center"/>
              <w:rPr>
                <w:rFonts w:hint="eastAsia"/>
                <w:color w:val="000000"/>
                <w:szCs w:val="21"/>
              </w:rPr>
            </w:pPr>
            <w:r>
              <w:rPr>
                <w:rFonts w:hint="eastAsia"/>
                <w:color w:val="000000"/>
                <w:szCs w:val="21"/>
              </w:rPr>
              <w:t>工程量</w:t>
            </w:r>
          </w:p>
        </w:tc>
        <w:tc>
          <w:tcPr>
            <w:tcW w:w="3084" w:type="dxa"/>
            <w:gridSpan w:val="3"/>
            <w:noWrap w:val="0"/>
            <w:vAlign w:val="center"/>
          </w:tcPr>
          <w:p>
            <w:pPr>
              <w:jc w:val="center"/>
              <w:rPr>
                <w:rFonts w:hint="eastAsia"/>
                <w:color w:val="000000"/>
                <w:szCs w:val="21"/>
              </w:rPr>
            </w:pPr>
            <w:r>
              <w:rPr>
                <w:rFonts w:hint="eastAsia"/>
                <w:color w:val="000000"/>
                <w:szCs w:val="21"/>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40" w:type="dxa"/>
            <w:vMerge w:val="continue"/>
            <w:noWrap w:val="0"/>
            <w:vAlign w:val="center"/>
          </w:tcPr>
          <w:p>
            <w:pPr>
              <w:jc w:val="center"/>
              <w:rPr>
                <w:rFonts w:hint="eastAsia"/>
                <w:color w:val="000000"/>
                <w:szCs w:val="21"/>
              </w:rPr>
            </w:pPr>
          </w:p>
        </w:tc>
        <w:tc>
          <w:tcPr>
            <w:tcW w:w="1043" w:type="dxa"/>
            <w:vMerge w:val="continue"/>
            <w:noWrap w:val="0"/>
            <w:vAlign w:val="center"/>
          </w:tcPr>
          <w:p>
            <w:pPr>
              <w:jc w:val="center"/>
              <w:rPr>
                <w:rFonts w:hint="eastAsia"/>
                <w:color w:val="000000"/>
                <w:szCs w:val="21"/>
              </w:rPr>
            </w:pPr>
          </w:p>
        </w:tc>
        <w:tc>
          <w:tcPr>
            <w:tcW w:w="2197" w:type="dxa"/>
            <w:vMerge w:val="continue"/>
            <w:noWrap w:val="0"/>
            <w:vAlign w:val="center"/>
          </w:tcPr>
          <w:p>
            <w:pPr>
              <w:jc w:val="center"/>
              <w:rPr>
                <w:rFonts w:hint="eastAsia"/>
                <w:color w:val="000000"/>
                <w:szCs w:val="21"/>
              </w:rPr>
            </w:pPr>
          </w:p>
        </w:tc>
        <w:tc>
          <w:tcPr>
            <w:tcW w:w="720" w:type="dxa"/>
            <w:vMerge w:val="continue"/>
            <w:noWrap w:val="0"/>
            <w:vAlign w:val="center"/>
          </w:tcPr>
          <w:p>
            <w:pPr>
              <w:jc w:val="center"/>
              <w:rPr>
                <w:rFonts w:hint="eastAsia"/>
                <w:color w:val="000000"/>
                <w:szCs w:val="21"/>
              </w:rPr>
            </w:pPr>
          </w:p>
        </w:tc>
        <w:tc>
          <w:tcPr>
            <w:tcW w:w="1080" w:type="dxa"/>
            <w:vMerge w:val="continue"/>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r>
              <w:rPr>
                <w:rFonts w:hint="eastAsia"/>
                <w:color w:val="000000"/>
                <w:szCs w:val="21"/>
              </w:rPr>
              <w:t>综合单价</w:t>
            </w:r>
          </w:p>
        </w:tc>
        <w:tc>
          <w:tcPr>
            <w:tcW w:w="1104" w:type="dxa"/>
            <w:noWrap w:val="0"/>
            <w:vAlign w:val="center"/>
          </w:tcPr>
          <w:p>
            <w:pPr>
              <w:jc w:val="center"/>
              <w:rPr>
                <w:rFonts w:hint="eastAsia"/>
                <w:color w:val="000000"/>
                <w:szCs w:val="21"/>
              </w:rPr>
            </w:pPr>
            <w:r>
              <w:rPr>
                <w:rFonts w:hint="eastAsia"/>
                <w:color w:val="000000"/>
                <w:szCs w:val="21"/>
              </w:rPr>
              <w:t>合价</w:t>
            </w:r>
          </w:p>
        </w:tc>
        <w:tc>
          <w:tcPr>
            <w:tcW w:w="900" w:type="dxa"/>
            <w:noWrap w:val="0"/>
            <w:vAlign w:val="center"/>
          </w:tcPr>
          <w:p>
            <w:pPr>
              <w:jc w:val="center"/>
              <w:rPr>
                <w:rFonts w:hint="eastAsia"/>
                <w:color w:val="000000"/>
                <w:szCs w:val="21"/>
              </w:rPr>
            </w:pPr>
            <w:r>
              <w:rPr>
                <w:rFonts w:hint="eastAsia"/>
                <w:color w:val="000000"/>
                <w:szCs w:val="21"/>
              </w:rPr>
              <w:t>其中：暂估价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0" w:type="dxa"/>
            <w:noWrap w:val="0"/>
            <w:vAlign w:val="center"/>
          </w:tcPr>
          <w:p>
            <w:pPr>
              <w:jc w:val="center"/>
              <w:rPr>
                <w:rFonts w:hint="eastAsia"/>
                <w:color w:val="000000"/>
                <w:szCs w:val="21"/>
              </w:rPr>
            </w:pPr>
          </w:p>
        </w:tc>
        <w:tc>
          <w:tcPr>
            <w:tcW w:w="1043" w:type="dxa"/>
            <w:noWrap w:val="0"/>
            <w:vAlign w:val="center"/>
          </w:tcPr>
          <w:p>
            <w:pPr>
              <w:jc w:val="center"/>
              <w:rPr>
                <w:rFonts w:hint="eastAsia"/>
                <w:color w:val="000000"/>
                <w:szCs w:val="21"/>
              </w:rPr>
            </w:pPr>
          </w:p>
        </w:tc>
        <w:tc>
          <w:tcPr>
            <w:tcW w:w="2197" w:type="dxa"/>
            <w:noWrap w:val="0"/>
            <w:vAlign w:val="center"/>
          </w:tcPr>
          <w:p>
            <w:pPr>
              <w:jc w:val="center"/>
              <w:rPr>
                <w:rFonts w:hint="eastAsia"/>
                <w:color w:val="000000"/>
                <w:szCs w:val="21"/>
              </w:rPr>
            </w:pPr>
          </w:p>
        </w:tc>
        <w:tc>
          <w:tcPr>
            <w:tcW w:w="72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104"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0" w:type="dxa"/>
            <w:noWrap w:val="0"/>
            <w:vAlign w:val="center"/>
          </w:tcPr>
          <w:p>
            <w:pPr>
              <w:jc w:val="center"/>
              <w:rPr>
                <w:rFonts w:hint="eastAsia"/>
                <w:color w:val="000000"/>
                <w:szCs w:val="21"/>
              </w:rPr>
            </w:pPr>
          </w:p>
        </w:tc>
        <w:tc>
          <w:tcPr>
            <w:tcW w:w="1043" w:type="dxa"/>
            <w:noWrap w:val="0"/>
            <w:vAlign w:val="center"/>
          </w:tcPr>
          <w:p>
            <w:pPr>
              <w:jc w:val="center"/>
              <w:rPr>
                <w:rFonts w:hint="eastAsia"/>
                <w:color w:val="000000"/>
                <w:szCs w:val="21"/>
              </w:rPr>
            </w:pPr>
          </w:p>
        </w:tc>
        <w:tc>
          <w:tcPr>
            <w:tcW w:w="2197" w:type="dxa"/>
            <w:noWrap w:val="0"/>
            <w:vAlign w:val="center"/>
          </w:tcPr>
          <w:p>
            <w:pPr>
              <w:jc w:val="center"/>
              <w:rPr>
                <w:rFonts w:hint="eastAsia"/>
                <w:color w:val="000000"/>
                <w:szCs w:val="21"/>
              </w:rPr>
            </w:pPr>
          </w:p>
        </w:tc>
        <w:tc>
          <w:tcPr>
            <w:tcW w:w="72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104"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0" w:type="dxa"/>
            <w:noWrap w:val="0"/>
            <w:vAlign w:val="center"/>
          </w:tcPr>
          <w:p>
            <w:pPr>
              <w:jc w:val="center"/>
              <w:rPr>
                <w:rFonts w:hint="eastAsia"/>
                <w:color w:val="000000"/>
                <w:szCs w:val="21"/>
              </w:rPr>
            </w:pPr>
          </w:p>
        </w:tc>
        <w:tc>
          <w:tcPr>
            <w:tcW w:w="1043" w:type="dxa"/>
            <w:noWrap w:val="0"/>
            <w:vAlign w:val="center"/>
          </w:tcPr>
          <w:p>
            <w:pPr>
              <w:jc w:val="center"/>
              <w:rPr>
                <w:rFonts w:hint="eastAsia"/>
                <w:color w:val="000000"/>
                <w:szCs w:val="21"/>
              </w:rPr>
            </w:pPr>
          </w:p>
        </w:tc>
        <w:tc>
          <w:tcPr>
            <w:tcW w:w="2197" w:type="dxa"/>
            <w:noWrap w:val="0"/>
            <w:vAlign w:val="center"/>
          </w:tcPr>
          <w:p>
            <w:pPr>
              <w:jc w:val="center"/>
              <w:rPr>
                <w:rFonts w:hint="eastAsia"/>
                <w:color w:val="000000"/>
                <w:szCs w:val="21"/>
              </w:rPr>
            </w:pPr>
          </w:p>
        </w:tc>
        <w:tc>
          <w:tcPr>
            <w:tcW w:w="72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104"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0" w:type="dxa"/>
            <w:noWrap w:val="0"/>
            <w:vAlign w:val="center"/>
          </w:tcPr>
          <w:p>
            <w:pPr>
              <w:jc w:val="center"/>
              <w:rPr>
                <w:rFonts w:hint="eastAsia"/>
                <w:color w:val="000000"/>
                <w:szCs w:val="21"/>
              </w:rPr>
            </w:pPr>
          </w:p>
        </w:tc>
        <w:tc>
          <w:tcPr>
            <w:tcW w:w="1043" w:type="dxa"/>
            <w:noWrap w:val="0"/>
            <w:vAlign w:val="center"/>
          </w:tcPr>
          <w:p>
            <w:pPr>
              <w:jc w:val="center"/>
              <w:rPr>
                <w:rFonts w:hint="eastAsia"/>
                <w:color w:val="000000"/>
                <w:szCs w:val="21"/>
              </w:rPr>
            </w:pPr>
          </w:p>
        </w:tc>
        <w:tc>
          <w:tcPr>
            <w:tcW w:w="2197" w:type="dxa"/>
            <w:noWrap w:val="0"/>
            <w:vAlign w:val="center"/>
          </w:tcPr>
          <w:p>
            <w:pPr>
              <w:jc w:val="center"/>
              <w:rPr>
                <w:rFonts w:hint="eastAsia"/>
                <w:color w:val="000000"/>
                <w:szCs w:val="21"/>
              </w:rPr>
            </w:pPr>
          </w:p>
        </w:tc>
        <w:tc>
          <w:tcPr>
            <w:tcW w:w="72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104"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0" w:type="dxa"/>
            <w:noWrap w:val="0"/>
            <w:vAlign w:val="center"/>
          </w:tcPr>
          <w:p>
            <w:pPr>
              <w:jc w:val="center"/>
              <w:rPr>
                <w:rFonts w:hint="eastAsia"/>
                <w:color w:val="000000"/>
                <w:szCs w:val="21"/>
              </w:rPr>
            </w:pPr>
          </w:p>
        </w:tc>
        <w:tc>
          <w:tcPr>
            <w:tcW w:w="1043" w:type="dxa"/>
            <w:noWrap w:val="0"/>
            <w:vAlign w:val="center"/>
          </w:tcPr>
          <w:p>
            <w:pPr>
              <w:jc w:val="center"/>
              <w:rPr>
                <w:rFonts w:hint="eastAsia"/>
                <w:color w:val="000000"/>
                <w:szCs w:val="21"/>
              </w:rPr>
            </w:pPr>
          </w:p>
        </w:tc>
        <w:tc>
          <w:tcPr>
            <w:tcW w:w="2197" w:type="dxa"/>
            <w:noWrap w:val="0"/>
            <w:vAlign w:val="center"/>
          </w:tcPr>
          <w:p>
            <w:pPr>
              <w:jc w:val="center"/>
              <w:rPr>
                <w:rFonts w:hint="eastAsia"/>
                <w:color w:val="000000"/>
                <w:szCs w:val="21"/>
              </w:rPr>
            </w:pPr>
          </w:p>
        </w:tc>
        <w:tc>
          <w:tcPr>
            <w:tcW w:w="72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104"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0" w:type="dxa"/>
            <w:noWrap w:val="0"/>
            <w:vAlign w:val="center"/>
          </w:tcPr>
          <w:p>
            <w:pPr>
              <w:jc w:val="center"/>
              <w:rPr>
                <w:rFonts w:hint="eastAsia"/>
                <w:color w:val="000000"/>
                <w:szCs w:val="21"/>
              </w:rPr>
            </w:pPr>
          </w:p>
        </w:tc>
        <w:tc>
          <w:tcPr>
            <w:tcW w:w="1043" w:type="dxa"/>
            <w:noWrap w:val="0"/>
            <w:vAlign w:val="center"/>
          </w:tcPr>
          <w:p>
            <w:pPr>
              <w:jc w:val="center"/>
              <w:rPr>
                <w:rFonts w:hint="eastAsia"/>
                <w:color w:val="000000"/>
                <w:szCs w:val="21"/>
              </w:rPr>
            </w:pPr>
          </w:p>
        </w:tc>
        <w:tc>
          <w:tcPr>
            <w:tcW w:w="2197" w:type="dxa"/>
            <w:noWrap w:val="0"/>
            <w:vAlign w:val="center"/>
          </w:tcPr>
          <w:p>
            <w:pPr>
              <w:jc w:val="center"/>
              <w:rPr>
                <w:rFonts w:hint="eastAsia"/>
                <w:color w:val="000000"/>
                <w:szCs w:val="21"/>
              </w:rPr>
            </w:pPr>
          </w:p>
        </w:tc>
        <w:tc>
          <w:tcPr>
            <w:tcW w:w="72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104"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0" w:type="dxa"/>
            <w:noWrap w:val="0"/>
            <w:vAlign w:val="center"/>
          </w:tcPr>
          <w:p>
            <w:pPr>
              <w:jc w:val="center"/>
              <w:rPr>
                <w:rFonts w:hint="eastAsia"/>
                <w:color w:val="000000"/>
                <w:szCs w:val="21"/>
              </w:rPr>
            </w:pPr>
          </w:p>
        </w:tc>
        <w:tc>
          <w:tcPr>
            <w:tcW w:w="1043" w:type="dxa"/>
            <w:noWrap w:val="0"/>
            <w:vAlign w:val="center"/>
          </w:tcPr>
          <w:p>
            <w:pPr>
              <w:jc w:val="center"/>
              <w:rPr>
                <w:rFonts w:hint="eastAsia"/>
                <w:color w:val="000000"/>
                <w:szCs w:val="21"/>
              </w:rPr>
            </w:pPr>
          </w:p>
        </w:tc>
        <w:tc>
          <w:tcPr>
            <w:tcW w:w="2197" w:type="dxa"/>
            <w:noWrap w:val="0"/>
            <w:vAlign w:val="center"/>
          </w:tcPr>
          <w:p>
            <w:pPr>
              <w:jc w:val="center"/>
              <w:rPr>
                <w:rFonts w:hint="eastAsia"/>
                <w:color w:val="000000"/>
                <w:szCs w:val="21"/>
              </w:rPr>
            </w:pPr>
          </w:p>
        </w:tc>
        <w:tc>
          <w:tcPr>
            <w:tcW w:w="72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104"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0" w:type="dxa"/>
            <w:noWrap w:val="0"/>
            <w:vAlign w:val="center"/>
          </w:tcPr>
          <w:p>
            <w:pPr>
              <w:jc w:val="center"/>
              <w:rPr>
                <w:rFonts w:hint="eastAsia"/>
                <w:color w:val="000000"/>
                <w:szCs w:val="21"/>
              </w:rPr>
            </w:pPr>
          </w:p>
        </w:tc>
        <w:tc>
          <w:tcPr>
            <w:tcW w:w="1043" w:type="dxa"/>
            <w:noWrap w:val="0"/>
            <w:vAlign w:val="center"/>
          </w:tcPr>
          <w:p>
            <w:pPr>
              <w:jc w:val="center"/>
              <w:rPr>
                <w:rFonts w:hint="eastAsia"/>
                <w:color w:val="000000"/>
                <w:szCs w:val="21"/>
              </w:rPr>
            </w:pPr>
          </w:p>
        </w:tc>
        <w:tc>
          <w:tcPr>
            <w:tcW w:w="2197" w:type="dxa"/>
            <w:noWrap w:val="0"/>
            <w:vAlign w:val="center"/>
          </w:tcPr>
          <w:p>
            <w:pPr>
              <w:jc w:val="center"/>
              <w:rPr>
                <w:rFonts w:hint="eastAsia"/>
                <w:color w:val="000000"/>
                <w:szCs w:val="21"/>
              </w:rPr>
            </w:pPr>
          </w:p>
        </w:tc>
        <w:tc>
          <w:tcPr>
            <w:tcW w:w="72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104"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0" w:type="dxa"/>
            <w:noWrap w:val="0"/>
            <w:vAlign w:val="center"/>
          </w:tcPr>
          <w:p>
            <w:pPr>
              <w:jc w:val="center"/>
              <w:rPr>
                <w:rFonts w:hint="eastAsia"/>
                <w:color w:val="000000"/>
                <w:szCs w:val="21"/>
              </w:rPr>
            </w:pPr>
          </w:p>
        </w:tc>
        <w:tc>
          <w:tcPr>
            <w:tcW w:w="1043" w:type="dxa"/>
            <w:noWrap w:val="0"/>
            <w:vAlign w:val="center"/>
          </w:tcPr>
          <w:p>
            <w:pPr>
              <w:jc w:val="center"/>
              <w:rPr>
                <w:rFonts w:hint="eastAsia"/>
                <w:color w:val="000000"/>
                <w:szCs w:val="21"/>
              </w:rPr>
            </w:pPr>
          </w:p>
        </w:tc>
        <w:tc>
          <w:tcPr>
            <w:tcW w:w="2197" w:type="dxa"/>
            <w:noWrap w:val="0"/>
            <w:vAlign w:val="center"/>
          </w:tcPr>
          <w:p>
            <w:pPr>
              <w:jc w:val="center"/>
              <w:rPr>
                <w:rFonts w:hint="eastAsia"/>
                <w:color w:val="000000"/>
                <w:szCs w:val="21"/>
              </w:rPr>
            </w:pPr>
          </w:p>
        </w:tc>
        <w:tc>
          <w:tcPr>
            <w:tcW w:w="72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104"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0" w:type="dxa"/>
            <w:noWrap w:val="0"/>
            <w:vAlign w:val="center"/>
          </w:tcPr>
          <w:p>
            <w:pPr>
              <w:jc w:val="center"/>
              <w:rPr>
                <w:rFonts w:hint="eastAsia"/>
                <w:color w:val="000000"/>
                <w:szCs w:val="21"/>
              </w:rPr>
            </w:pPr>
          </w:p>
        </w:tc>
        <w:tc>
          <w:tcPr>
            <w:tcW w:w="1043" w:type="dxa"/>
            <w:noWrap w:val="0"/>
            <w:vAlign w:val="center"/>
          </w:tcPr>
          <w:p>
            <w:pPr>
              <w:jc w:val="center"/>
              <w:rPr>
                <w:rFonts w:hint="eastAsia"/>
                <w:color w:val="000000"/>
                <w:szCs w:val="21"/>
              </w:rPr>
            </w:pPr>
          </w:p>
        </w:tc>
        <w:tc>
          <w:tcPr>
            <w:tcW w:w="2197" w:type="dxa"/>
            <w:noWrap w:val="0"/>
            <w:vAlign w:val="center"/>
          </w:tcPr>
          <w:p>
            <w:pPr>
              <w:jc w:val="center"/>
              <w:rPr>
                <w:rFonts w:hint="eastAsia"/>
                <w:color w:val="000000"/>
                <w:szCs w:val="21"/>
              </w:rPr>
            </w:pPr>
          </w:p>
        </w:tc>
        <w:tc>
          <w:tcPr>
            <w:tcW w:w="72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104"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0" w:type="dxa"/>
            <w:noWrap w:val="0"/>
            <w:vAlign w:val="center"/>
          </w:tcPr>
          <w:p>
            <w:pPr>
              <w:jc w:val="center"/>
              <w:rPr>
                <w:rFonts w:hint="eastAsia"/>
                <w:color w:val="000000"/>
                <w:szCs w:val="21"/>
              </w:rPr>
            </w:pPr>
          </w:p>
        </w:tc>
        <w:tc>
          <w:tcPr>
            <w:tcW w:w="1043" w:type="dxa"/>
            <w:noWrap w:val="0"/>
            <w:vAlign w:val="center"/>
          </w:tcPr>
          <w:p>
            <w:pPr>
              <w:jc w:val="center"/>
              <w:rPr>
                <w:rFonts w:hint="eastAsia"/>
                <w:color w:val="000000"/>
                <w:szCs w:val="21"/>
              </w:rPr>
            </w:pPr>
          </w:p>
        </w:tc>
        <w:tc>
          <w:tcPr>
            <w:tcW w:w="2197" w:type="dxa"/>
            <w:noWrap w:val="0"/>
            <w:vAlign w:val="center"/>
          </w:tcPr>
          <w:p>
            <w:pPr>
              <w:jc w:val="center"/>
              <w:rPr>
                <w:rFonts w:hint="eastAsia"/>
                <w:color w:val="000000"/>
                <w:szCs w:val="21"/>
              </w:rPr>
            </w:pPr>
          </w:p>
        </w:tc>
        <w:tc>
          <w:tcPr>
            <w:tcW w:w="72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104"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0" w:type="dxa"/>
            <w:noWrap w:val="0"/>
            <w:vAlign w:val="center"/>
          </w:tcPr>
          <w:p>
            <w:pPr>
              <w:jc w:val="center"/>
              <w:rPr>
                <w:rFonts w:hint="eastAsia"/>
                <w:color w:val="000000"/>
                <w:szCs w:val="21"/>
              </w:rPr>
            </w:pPr>
          </w:p>
        </w:tc>
        <w:tc>
          <w:tcPr>
            <w:tcW w:w="1043" w:type="dxa"/>
            <w:noWrap w:val="0"/>
            <w:vAlign w:val="center"/>
          </w:tcPr>
          <w:p>
            <w:pPr>
              <w:jc w:val="center"/>
              <w:rPr>
                <w:rFonts w:hint="eastAsia"/>
                <w:color w:val="000000"/>
                <w:szCs w:val="21"/>
              </w:rPr>
            </w:pPr>
          </w:p>
        </w:tc>
        <w:tc>
          <w:tcPr>
            <w:tcW w:w="2197" w:type="dxa"/>
            <w:noWrap w:val="0"/>
            <w:vAlign w:val="center"/>
          </w:tcPr>
          <w:p>
            <w:pPr>
              <w:jc w:val="center"/>
              <w:rPr>
                <w:rFonts w:hint="eastAsia"/>
                <w:color w:val="000000"/>
                <w:szCs w:val="21"/>
              </w:rPr>
            </w:pPr>
          </w:p>
        </w:tc>
        <w:tc>
          <w:tcPr>
            <w:tcW w:w="72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104"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0" w:type="dxa"/>
            <w:noWrap w:val="0"/>
            <w:vAlign w:val="center"/>
          </w:tcPr>
          <w:p>
            <w:pPr>
              <w:jc w:val="center"/>
              <w:rPr>
                <w:rFonts w:hint="eastAsia"/>
                <w:color w:val="000000"/>
                <w:szCs w:val="21"/>
              </w:rPr>
            </w:pPr>
          </w:p>
        </w:tc>
        <w:tc>
          <w:tcPr>
            <w:tcW w:w="1043" w:type="dxa"/>
            <w:noWrap w:val="0"/>
            <w:vAlign w:val="center"/>
          </w:tcPr>
          <w:p>
            <w:pPr>
              <w:jc w:val="center"/>
              <w:rPr>
                <w:rFonts w:hint="eastAsia"/>
                <w:color w:val="000000"/>
                <w:szCs w:val="21"/>
              </w:rPr>
            </w:pPr>
          </w:p>
        </w:tc>
        <w:tc>
          <w:tcPr>
            <w:tcW w:w="2197" w:type="dxa"/>
            <w:noWrap w:val="0"/>
            <w:vAlign w:val="center"/>
          </w:tcPr>
          <w:p>
            <w:pPr>
              <w:jc w:val="center"/>
              <w:rPr>
                <w:rFonts w:hint="eastAsia"/>
                <w:color w:val="000000"/>
                <w:szCs w:val="21"/>
              </w:rPr>
            </w:pPr>
            <w:r>
              <w:rPr>
                <w:rFonts w:hint="eastAsia"/>
                <w:color w:val="000000"/>
                <w:szCs w:val="21"/>
              </w:rPr>
              <w:t>合计</w:t>
            </w:r>
          </w:p>
        </w:tc>
        <w:tc>
          <w:tcPr>
            <w:tcW w:w="72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104"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0" w:type="dxa"/>
            <w:noWrap w:val="0"/>
            <w:vAlign w:val="center"/>
          </w:tcPr>
          <w:p>
            <w:pPr>
              <w:jc w:val="center"/>
              <w:rPr>
                <w:rFonts w:hint="eastAsia"/>
                <w:color w:val="000000"/>
                <w:szCs w:val="21"/>
              </w:rPr>
            </w:pPr>
          </w:p>
        </w:tc>
        <w:tc>
          <w:tcPr>
            <w:tcW w:w="1043" w:type="dxa"/>
            <w:noWrap w:val="0"/>
            <w:vAlign w:val="center"/>
          </w:tcPr>
          <w:p>
            <w:pPr>
              <w:jc w:val="center"/>
              <w:rPr>
                <w:rFonts w:hint="eastAsia"/>
                <w:color w:val="000000"/>
                <w:szCs w:val="21"/>
              </w:rPr>
            </w:pPr>
          </w:p>
        </w:tc>
        <w:tc>
          <w:tcPr>
            <w:tcW w:w="2197" w:type="dxa"/>
            <w:noWrap w:val="0"/>
            <w:vAlign w:val="center"/>
          </w:tcPr>
          <w:p>
            <w:pPr>
              <w:jc w:val="center"/>
              <w:rPr>
                <w:rFonts w:hint="eastAsia"/>
                <w:color w:val="000000"/>
                <w:szCs w:val="21"/>
              </w:rPr>
            </w:pPr>
            <w:r>
              <w:rPr>
                <w:rFonts w:hint="eastAsia"/>
                <w:color w:val="000000"/>
                <w:szCs w:val="21"/>
              </w:rPr>
              <w:t>∑人工费</w:t>
            </w:r>
          </w:p>
        </w:tc>
        <w:tc>
          <w:tcPr>
            <w:tcW w:w="72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104"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0" w:type="dxa"/>
            <w:noWrap w:val="0"/>
            <w:vAlign w:val="center"/>
          </w:tcPr>
          <w:p>
            <w:pPr>
              <w:jc w:val="center"/>
              <w:rPr>
                <w:rFonts w:hint="eastAsia"/>
                <w:color w:val="000000"/>
                <w:szCs w:val="21"/>
              </w:rPr>
            </w:pPr>
          </w:p>
        </w:tc>
        <w:tc>
          <w:tcPr>
            <w:tcW w:w="1043" w:type="dxa"/>
            <w:noWrap w:val="0"/>
            <w:vAlign w:val="center"/>
          </w:tcPr>
          <w:p>
            <w:pPr>
              <w:jc w:val="center"/>
              <w:rPr>
                <w:rFonts w:hint="eastAsia"/>
                <w:color w:val="000000"/>
                <w:szCs w:val="21"/>
              </w:rPr>
            </w:pPr>
          </w:p>
        </w:tc>
        <w:tc>
          <w:tcPr>
            <w:tcW w:w="2197" w:type="dxa"/>
            <w:noWrap w:val="0"/>
            <w:vAlign w:val="center"/>
          </w:tcPr>
          <w:p>
            <w:pPr>
              <w:jc w:val="center"/>
              <w:rPr>
                <w:rFonts w:hint="eastAsia"/>
                <w:color w:val="000000"/>
                <w:szCs w:val="21"/>
              </w:rPr>
            </w:pPr>
            <w:r>
              <w:rPr>
                <w:rFonts w:hint="eastAsia"/>
                <w:color w:val="000000"/>
                <w:szCs w:val="21"/>
              </w:rPr>
              <w:t>∑材料费</w:t>
            </w:r>
          </w:p>
        </w:tc>
        <w:tc>
          <w:tcPr>
            <w:tcW w:w="72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104"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0" w:type="dxa"/>
            <w:noWrap w:val="0"/>
            <w:vAlign w:val="center"/>
          </w:tcPr>
          <w:p>
            <w:pPr>
              <w:jc w:val="center"/>
              <w:rPr>
                <w:rFonts w:hint="eastAsia"/>
                <w:color w:val="000000"/>
                <w:szCs w:val="21"/>
              </w:rPr>
            </w:pPr>
          </w:p>
        </w:tc>
        <w:tc>
          <w:tcPr>
            <w:tcW w:w="1043" w:type="dxa"/>
            <w:noWrap w:val="0"/>
            <w:vAlign w:val="center"/>
          </w:tcPr>
          <w:p>
            <w:pPr>
              <w:jc w:val="center"/>
              <w:rPr>
                <w:rFonts w:hint="eastAsia"/>
                <w:color w:val="000000"/>
                <w:szCs w:val="21"/>
              </w:rPr>
            </w:pPr>
          </w:p>
        </w:tc>
        <w:tc>
          <w:tcPr>
            <w:tcW w:w="2197" w:type="dxa"/>
            <w:noWrap w:val="0"/>
            <w:vAlign w:val="center"/>
          </w:tcPr>
          <w:p>
            <w:pPr>
              <w:jc w:val="center"/>
              <w:rPr>
                <w:rFonts w:hint="eastAsia"/>
                <w:color w:val="000000"/>
                <w:szCs w:val="21"/>
              </w:rPr>
            </w:pPr>
            <w:r>
              <w:rPr>
                <w:rFonts w:hint="eastAsia"/>
                <w:color w:val="000000"/>
                <w:szCs w:val="21"/>
              </w:rPr>
              <w:t>∑机械费</w:t>
            </w:r>
          </w:p>
        </w:tc>
        <w:tc>
          <w:tcPr>
            <w:tcW w:w="72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104"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0" w:type="dxa"/>
            <w:noWrap w:val="0"/>
            <w:vAlign w:val="center"/>
          </w:tcPr>
          <w:p>
            <w:pPr>
              <w:jc w:val="center"/>
              <w:rPr>
                <w:rFonts w:hint="eastAsia"/>
                <w:color w:val="000000"/>
                <w:szCs w:val="21"/>
              </w:rPr>
            </w:pPr>
          </w:p>
        </w:tc>
        <w:tc>
          <w:tcPr>
            <w:tcW w:w="1043" w:type="dxa"/>
            <w:noWrap w:val="0"/>
            <w:vAlign w:val="center"/>
          </w:tcPr>
          <w:p>
            <w:pPr>
              <w:jc w:val="center"/>
              <w:rPr>
                <w:rFonts w:hint="eastAsia"/>
                <w:color w:val="000000"/>
                <w:szCs w:val="21"/>
              </w:rPr>
            </w:pPr>
          </w:p>
        </w:tc>
        <w:tc>
          <w:tcPr>
            <w:tcW w:w="2197" w:type="dxa"/>
            <w:noWrap w:val="0"/>
            <w:vAlign w:val="center"/>
          </w:tcPr>
          <w:p>
            <w:pPr>
              <w:jc w:val="center"/>
              <w:rPr>
                <w:rFonts w:hint="eastAsia"/>
                <w:color w:val="000000"/>
                <w:szCs w:val="21"/>
              </w:rPr>
            </w:pPr>
            <w:r>
              <w:rPr>
                <w:rFonts w:hint="eastAsia"/>
                <w:color w:val="000000"/>
                <w:szCs w:val="21"/>
              </w:rPr>
              <w:t>∑管理费</w:t>
            </w:r>
          </w:p>
        </w:tc>
        <w:tc>
          <w:tcPr>
            <w:tcW w:w="72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104"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0" w:type="dxa"/>
            <w:noWrap w:val="0"/>
            <w:vAlign w:val="center"/>
          </w:tcPr>
          <w:p>
            <w:pPr>
              <w:jc w:val="center"/>
              <w:rPr>
                <w:rFonts w:hint="eastAsia"/>
                <w:color w:val="000000"/>
                <w:szCs w:val="21"/>
              </w:rPr>
            </w:pPr>
          </w:p>
        </w:tc>
        <w:tc>
          <w:tcPr>
            <w:tcW w:w="1043" w:type="dxa"/>
            <w:noWrap w:val="0"/>
            <w:vAlign w:val="center"/>
          </w:tcPr>
          <w:p>
            <w:pPr>
              <w:jc w:val="center"/>
              <w:rPr>
                <w:rFonts w:hint="eastAsia"/>
                <w:color w:val="000000"/>
                <w:szCs w:val="21"/>
              </w:rPr>
            </w:pPr>
          </w:p>
        </w:tc>
        <w:tc>
          <w:tcPr>
            <w:tcW w:w="2197" w:type="dxa"/>
            <w:noWrap w:val="0"/>
            <w:vAlign w:val="center"/>
          </w:tcPr>
          <w:p>
            <w:pPr>
              <w:jc w:val="center"/>
              <w:rPr>
                <w:rFonts w:hint="eastAsia"/>
                <w:color w:val="000000"/>
                <w:szCs w:val="21"/>
              </w:rPr>
            </w:pPr>
            <w:r>
              <w:rPr>
                <w:rFonts w:hint="eastAsia"/>
                <w:color w:val="000000"/>
                <w:szCs w:val="21"/>
              </w:rPr>
              <w:t>∑利润</w:t>
            </w:r>
          </w:p>
        </w:tc>
        <w:tc>
          <w:tcPr>
            <w:tcW w:w="72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104"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bl>
    <w:p>
      <w:pPr>
        <w:jc w:val="right"/>
        <w:rPr>
          <w:rFonts w:hint="eastAsia"/>
          <w:color w:val="000000"/>
          <w:szCs w:val="21"/>
        </w:rPr>
      </w:pPr>
    </w:p>
    <w:p>
      <w:pPr>
        <w:spacing w:line="360" w:lineRule="auto"/>
        <w:ind w:firstLine="630" w:firstLineChars="300"/>
        <w:jc w:val="left"/>
        <w:rPr>
          <w:rFonts w:hint="eastAsia" w:ascii="宋体" w:hAnsi="宋体"/>
          <w:color w:val="000000"/>
          <w:szCs w:val="21"/>
        </w:rPr>
      </w:pPr>
    </w:p>
    <w:p>
      <w:pPr>
        <w:spacing w:line="360" w:lineRule="auto"/>
        <w:ind w:firstLine="630" w:firstLineChars="300"/>
        <w:jc w:val="left"/>
        <w:rPr>
          <w:rFonts w:hint="eastAsia" w:ascii="宋体" w:hAnsi="宋体"/>
          <w:color w:val="000000"/>
          <w:szCs w:val="21"/>
        </w:rPr>
      </w:pPr>
    </w:p>
    <w:p>
      <w:pPr>
        <w:spacing w:line="360" w:lineRule="auto"/>
        <w:ind w:firstLine="630" w:firstLineChars="300"/>
        <w:jc w:val="left"/>
        <w:rPr>
          <w:rFonts w:ascii="宋体" w:hAnsi="宋体"/>
          <w:color w:val="000000"/>
          <w:szCs w:val="21"/>
        </w:rPr>
        <w:sectPr>
          <w:pgSz w:w="11906" w:h="16838"/>
          <w:pgMar w:top="1440" w:right="1440" w:bottom="1440" w:left="1797" w:header="851" w:footer="851" w:gutter="0"/>
          <w:cols w:space="720" w:num="1"/>
          <w:docGrid w:linePitch="312" w:charSpace="0"/>
        </w:sectPr>
      </w:pPr>
    </w:p>
    <w:p>
      <w:pPr>
        <w:spacing w:line="360" w:lineRule="auto"/>
        <w:ind w:firstLine="630" w:firstLineChars="300"/>
        <w:jc w:val="left"/>
        <w:rPr>
          <w:rFonts w:hint="eastAsia" w:ascii="宋体" w:hAnsi="宋体"/>
          <w:color w:val="000000"/>
          <w:szCs w:val="21"/>
        </w:rPr>
      </w:pPr>
      <w:r>
        <w:rPr>
          <w:rFonts w:hint="eastAsia" w:ascii="宋体" w:hAnsi="宋体"/>
          <w:color w:val="000000"/>
          <w:szCs w:val="21"/>
        </w:rPr>
        <w:t>表9 综合单价分析表</w:t>
      </w:r>
    </w:p>
    <w:p>
      <w:pPr>
        <w:jc w:val="center"/>
        <w:rPr>
          <w:rFonts w:hint="eastAsia"/>
          <w:b/>
          <w:color w:val="000000"/>
          <w:sz w:val="36"/>
          <w:szCs w:val="36"/>
        </w:rPr>
      </w:pPr>
      <w:r>
        <w:rPr>
          <w:rFonts w:hint="eastAsia"/>
          <w:b/>
          <w:color w:val="000000"/>
          <w:sz w:val="36"/>
          <w:szCs w:val="36"/>
        </w:rPr>
        <w:t>综合单价分析表</w:t>
      </w:r>
    </w:p>
    <w:p>
      <w:pPr>
        <w:rPr>
          <w:rFonts w:hint="eastAsia"/>
          <w:color w:val="000000"/>
          <w:sz w:val="24"/>
        </w:rPr>
      </w:pPr>
      <w:r>
        <w:rPr>
          <w:rFonts w:hint="eastAsia"/>
          <w:color w:val="000000"/>
          <w:sz w:val="24"/>
        </w:rPr>
        <w:t>工程名称：                                                                                          第  页  共  页</w:t>
      </w:r>
    </w:p>
    <w:tbl>
      <w:tblPr>
        <w:tblStyle w:val="83"/>
        <w:tblW w:w="1443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260"/>
        <w:gridCol w:w="2880"/>
        <w:gridCol w:w="720"/>
        <w:gridCol w:w="1080"/>
        <w:gridCol w:w="1260"/>
        <w:gridCol w:w="1080"/>
        <w:gridCol w:w="1116"/>
        <w:gridCol w:w="1080"/>
        <w:gridCol w:w="1044"/>
        <w:gridCol w:w="1080"/>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459" w:hRule="atLeast"/>
        </w:trPr>
        <w:tc>
          <w:tcPr>
            <w:tcW w:w="540" w:type="dxa"/>
            <w:vMerge w:val="restart"/>
            <w:noWrap w:val="0"/>
            <w:vAlign w:val="center"/>
          </w:tcPr>
          <w:p>
            <w:pPr>
              <w:jc w:val="center"/>
              <w:rPr>
                <w:rFonts w:hint="eastAsia"/>
                <w:color w:val="000000"/>
                <w:szCs w:val="21"/>
              </w:rPr>
            </w:pPr>
            <w:r>
              <w:rPr>
                <w:rFonts w:hint="eastAsia"/>
                <w:color w:val="000000"/>
                <w:szCs w:val="21"/>
              </w:rPr>
              <w:t>序号</w:t>
            </w:r>
          </w:p>
        </w:tc>
        <w:tc>
          <w:tcPr>
            <w:tcW w:w="1260" w:type="dxa"/>
            <w:vMerge w:val="restart"/>
            <w:noWrap w:val="0"/>
            <w:vAlign w:val="center"/>
          </w:tcPr>
          <w:p>
            <w:pPr>
              <w:jc w:val="center"/>
              <w:rPr>
                <w:rFonts w:hint="eastAsia"/>
                <w:color w:val="000000"/>
                <w:szCs w:val="21"/>
              </w:rPr>
            </w:pPr>
            <w:r>
              <w:rPr>
                <w:rFonts w:hint="eastAsia"/>
                <w:color w:val="000000"/>
                <w:szCs w:val="21"/>
              </w:rPr>
              <w:t>项目编码</w:t>
            </w:r>
          </w:p>
        </w:tc>
        <w:tc>
          <w:tcPr>
            <w:tcW w:w="2880" w:type="dxa"/>
            <w:vMerge w:val="restart"/>
            <w:noWrap w:val="0"/>
            <w:vAlign w:val="center"/>
          </w:tcPr>
          <w:p>
            <w:pPr>
              <w:jc w:val="center"/>
              <w:rPr>
                <w:rFonts w:hint="eastAsia"/>
                <w:color w:val="000000"/>
                <w:szCs w:val="21"/>
              </w:rPr>
            </w:pPr>
            <w:r>
              <w:rPr>
                <w:rFonts w:hint="eastAsia"/>
                <w:color w:val="000000"/>
                <w:szCs w:val="21"/>
              </w:rPr>
              <w:t>项目名称及项目</w:t>
            </w:r>
          </w:p>
          <w:p>
            <w:pPr>
              <w:jc w:val="center"/>
              <w:rPr>
                <w:rFonts w:hint="eastAsia"/>
                <w:color w:val="000000"/>
                <w:szCs w:val="21"/>
              </w:rPr>
            </w:pPr>
            <w:r>
              <w:rPr>
                <w:rFonts w:hint="eastAsia"/>
                <w:color w:val="000000"/>
                <w:szCs w:val="21"/>
              </w:rPr>
              <w:t>特征描述</w:t>
            </w:r>
          </w:p>
        </w:tc>
        <w:tc>
          <w:tcPr>
            <w:tcW w:w="720" w:type="dxa"/>
            <w:vMerge w:val="restart"/>
            <w:noWrap w:val="0"/>
            <w:vAlign w:val="center"/>
          </w:tcPr>
          <w:p>
            <w:pPr>
              <w:jc w:val="center"/>
              <w:rPr>
                <w:rFonts w:hint="eastAsia"/>
                <w:color w:val="000000"/>
                <w:szCs w:val="21"/>
              </w:rPr>
            </w:pPr>
            <w:r>
              <w:rPr>
                <w:rFonts w:hint="eastAsia"/>
                <w:color w:val="000000"/>
                <w:szCs w:val="21"/>
              </w:rPr>
              <w:t>单位</w:t>
            </w:r>
          </w:p>
        </w:tc>
        <w:tc>
          <w:tcPr>
            <w:tcW w:w="1080" w:type="dxa"/>
            <w:vMerge w:val="restart"/>
            <w:noWrap w:val="0"/>
            <w:vAlign w:val="center"/>
          </w:tcPr>
          <w:p>
            <w:pPr>
              <w:jc w:val="center"/>
              <w:rPr>
                <w:rFonts w:hint="eastAsia"/>
                <w:color w:val="000000"/>
                <w:szCs w:val="21"/>
              </w:rPr>
            </w:pPr>
            <w:r>
              <w:rPr>
                <w:rFonts w:hint="eastAsia"/>
                <w:color w:val="000000"/>
                <w:szCs w:val="21"/>
              </w:rPr>
              <w:t>工程量</w:t>
            </w:r>
          </w:p>
        </w:tc>
        <w:tc>
          <w:tcPr>
            <w:tcW w:w="1260" w:type="dxa"/>
            <w:vMerge w:val="restart"/>
            <w:noWrap w:val="0"/>
            <w:vAlign w:val="center"/>
          </w:tcPr>
          <w:p>
            <w:pPr>
              <w:jc w:val="center"/>
              <w:rPr>
                <w:rFonts w:hint="eastAsia"/>
                <w:color w:val="000000"/>
                <w:szCs w:val="21"/>
              </w:rPr>
            </w:pPr>
            <w:r>
              <w:rPr>
                <w:rFonts w:hint="eastAsia"/>
                <w:color w:val="000000"/>
                <w:szCs w:val="21"/>
              </w:rPr>
              <w:t>综合单价（元）</w:t>
            </w:r>
          </w:p>
        </w:tc>
        <w:tc>
          <w:tcPr>
            <w:tcW w:w="6696" w:type="dxa"/>
            <w:gridSpan w:val="6"/>
            <w:noWrap w:val="0"/>
            <w:vAlign w:val="center"/>
          </w:tcPr>
          <w:p>
            <w:pPr>
              <w:jc w:val="center"/>
              <w:rPr>
                <w:rFonts w:hint="eastAsia"/>
                <w:color w:val="000000"/>
                <w:szCs w:val="21"/>
              </w:rPr>
            </w:pPr>
            <w:r>
              <w:rPr>
                <w:rFonts w:hint="eastAsia"/>
                <w:color w:val="000000"/>
                <w:szCs w:val="21"/>
              </w:rPr>
              <w:t>综合单价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595" w:hRule="atLeast"/>
        </w:trPr>
        <w:tc>
          <w:tcPr>
            <w:tcW w:w="540" w:type="dxa"/>
            <w:vMerge w:val="continue"/>
            <w:noWrap w:val="0"/>
            <w:vAlign w:val="center"/>
          </w:tcPr>
          <w:p>
            <w:pPr>
              <w:jc w:val="center"/>
              <w:rPr>
                <w:rFonts w:hint="eastAsia"/>
                <w:color w:val="000000"/>
                <w:szCs w:val="21"/>
              </w:rPr>
            </w:pPr>
          </w:p>
        </w:tc>
        <w:tc>
          <w:tcPr>
            <w:tcW w:w="1260" w:type="dxa"/>
            <w:vMerge w:val="continue"/>
            <w:noWrap w:val="0"/>
            <w:vAlign w:val="center"/>
          </w:tcPr>
          <w:p>
            <w:pPr>
              <w:widowControl/>
              <w:jc w:val="center"/>
              <w:rPr>
                <w:color w:val="000000"/>
                <w:szCs w:val="21"/>
              </w:rPr>
            </w:pPr>
          </w:p>
        </w:tc>
        <w:tc>
          <w:tcPr>
            <w:tcW w:w="2880" w:type="dxa"/>
            <w:vMerge w:val="continue"/>
            <w:noWrap w:val="0"/>
            <w:vAlign w:val="center"/>
          </w:tcPr>
          <w:p>
            <w:pPr>
              <w:widowControl/>
              <w:jc w:val="center"/>
              <w:rPr>
                <w:color w:val="000000"/>
                <w:szCs w:val="21"/>
              </w:rPr>
            </w:pPr>
          </w:p>
        </w:tc>
        <w:tc>
          <w:tcPr>
            <w:tcW w:w="720" w:type="dxa"/>
            <w:vMerge w:val="continue"/>
            <w:noWrap w:val="0"/>
            <w:vAlign w:val="center"/>
          </w:tcPr>
          <w:p>
            <w:pPr>
              <w:widowControl/>
              <w:jc w:val="center"/>
              <w:rPr>
                <w:color w:val="000000"/>
                <w:szCs w:val="21"/>
              </w:rPr>
            </w:pPr>
          </w:p>
        </w:tc>
        <w:tc>
          <w:tcPr>
            <w:tcW w:w="1080" w:type="dxa"/>
            <w:vMerge w:val="continue"/>
            <w:noWrap w:val="0"/>
            <w:vAlign w:val="center"/>
          </w:tcPr>
          <w:p>
            <w:pPr>
              <w:widowControl/>
              <w:jc w:val="center"/>
              <w:rPr>
                <w:color w:val="000000"/>
                <w:szCs w:val="21"/>
              </w:rPr>
            </w:pPr>
          </w:p>
        </w:tc>
        <w:tc>
          <w:tcPr>
            <w:tcW w:w="1260" w:type="dxa"/>
            <w:vMerge w:val="continue"/>
            <w:noWrap w:val="0"/>
            <w:vAlign w:val="center"/>
          </w:tcPr>
          <w:p>
            <w:pPr>
              <w:widowControl/>
              <w:jc w:val="center"/>
              <w:rPr>
                <w:color w:val="000000"/>
                <w:szCs w:val="21"/>
              </w:rPr>
            </w:pPr>
          </w:p>
        </w:tc>
        <w:tc>
          <w:tcPr>
            <w:tcW w:w="1080" w:type="dxa"/>
            <w:noWrap w:val="0"/>
            <w:vAlign w:val="center"/>
          </w:tcPr>
          <w:p>
            <w:pPr>
              <w:jc w:val="center"/>
              <w:rPr>
                <w:rFonts w:hint="eastAsia"/>
                <w:color w:val="000000"/>
                <w:szCs w:val="21"/>
              </w:rPr>
            </w:pPr>
            <w:r>
              <w:rPr>
                <w:rFonts w:hint="eastAsia"/>
                <w:color w:val="000000"/>
                <w:szCs w:val="21"/>
              </w:rPr>
              <w:t>人工费</w:t>
            </w:r>
          </w:p>
        </w:tc>
        <w:tc>
          <w:tcPr>
            <w:tcW w:w="1116" w:type="dxa"/>
            <w:noWrap w:val="0"/>
            <w:vAlign w:val="center"/>
          </w:tcPr>
          <w:p>
            <w:pPr>
              <w:jc w:val="center"/>
              <w:rPr>
                <w:rFonts w:hint="eastAsia"/>
                <w:color w:val="000000"/>
                <w:szCs w:val="21"/>
              </w:rPr>
            </w:pPr>
            <w:r>
              <w:rPr>
                <w:rFonts w:hint="eastAsia"/>
                <w:color w:val="000000"/>
                <w:szCs w:val="21"/>
              </w:rPr>
              <w:t>材料费</w:t>
            </w:r>
          </w:p>
        </w:tc>
        <w:tc>
          <w:tcPr>
            <w:tcW w:w="1080" w:type="dxa"/>
            <w:noWrap w:val="0"/>
            <w:vAlign w:val="center"/>
          </w:tcPr>
          <w:p>
            <w:pPr>
              <w:jc w:val="center"/>
              <w:rPr>
                <w:rFonts w:hint="eastAsia"/>
                <w:color w:val="000000"/>
                <w:szCs w:val="21"/>
              </w:rPr>
            </w:pPr>
            <w:r>
              <w:rPr>
                <w:rFonts w:hint="eastAsia"/>
                <w:color w:val="000000"/>
                <w:szCs w:val="21"/>
              </w:rPr>
              <w:t>机械费</w:t>
            </w:r>
          </w:p>
        </w:tc>
        <w:tc>
          <w:tcPr>
            <w:tcW w:w="1044" w:type="dxa"/>
            <w:noWrap w:val="0"/>
            <w:vAlign w:val="center"/>
          </w:tcPr>
          <w:p>
            <w:pPr>
              <w:jc w:val="center"/>
              <w:rPr>
                <w:rFonts w:hint="eastAsia"/>
                <w:color w:val="000000"/>
                <w:szCs w:val="21"/>
              </w:rPr>
            </w:pPr>
            <w:r>
              <w:rPr>
                <w:rFonts w:hint="eastAsia"/>
                <w:color w:val="000000"/>
                <w:szCs w:val="21"/>
              </w:rPr>
              <w:t>管理费</w:t>
            </w:r>
          </w:p>
        </w:tc>
        <w:tc>
          <w:tcPr>
            <w:tcW w:w="1080" w:type="dxa"/>
            <w:noWrap w:val="0"/>
            <w:vAlign w:val="center"/>
          </w:tcPr>
          <w:p>
            <w:pPr>
              <w:jc w:val="center"/>
              <w:rPr>
                <w:rFonts w:hint="eastAsia"/>
                <w:color w:val="000000"/>
                <w:szCs w:val="21"/>
              </w:rPr>
            </w:pPr>
            <w:r>
              <w:rPr>
                <w:rFonts w:hint="eastAsia"/>
                <w:color w:val="000000"/>
                <w:szCs w:val="21"/>
              </w:rPr>
              <w:t>利润</w:t>
            </w:r>
          </w:p>
        </w:tc>
        <w:tc>
          <w:tcPr>
            <w:tcW w:w="1296" w:type="dxa"/>
            <w:noWrap w:val="0"/>
            <w:vAlign w:val="center"/>
          </w:tcPr>
          <w:p>
            <w:pPr>
              <w:jc w:val="center"/>
              <w:rPr>
                <w:rFonts w:hint="eastAsia"/>
                <w:color w:val="000000"/>
                <w:szCs w:val="21"/>
              </w:rPr>
            </w:pPr>
            <w:r>
              <w:rPr>
                <w:rFonts w:hint="eastAsia"/>
                <w:color w:val="000000"/>
                <w:szCs w:val="21"/>
              </w:rPr>
              <w:t>其中：</w:t>
            </w:r>
          </w:p>
          <w:p>
            <w:pPr>
              <w:jc w:val="center"/>
              <w:rPr>
                <w:rFonts w:hint="eastAsia"/>
                <w:color w:val="000000"/>
                <w:szCs w:val="21"/>
              </w:rPr>
            </w:pPr>
            <w:r>
              <w:rPr>
                <w:rFonts w:hint="eastAsia"/>
                <w:color w:val="000000"/>
                <w:szCs w:val="21"/>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567" w:hRule="exact"/>
        </w:trPr>
        <w:tc>
          <w:tcPr>
            <w:tcW w:w="540" w:type="dxa"/>
            <w:noWrap w:val="0"/>
            <w:vAlign w:val="top"/>
          </w:tcPr>
          <w:p>
            <w:pPr>
              <w:widowControl/>
              <w:jc w:val="left"/>
              <w:rPr>
                <w:color w:val="000000"/>
                <w:szCs w:val="21"/>
              </w:rPr>
            </w:pPr>
          </w:p>
        </w:tc>
        <w:tc>
          <w:tcPr>
            <w:tcW w:w="1260" w:type="dxa"/>
            <w:noWrap w:val="0"/>
            <w:vAlign w:val="top"/>
          </w:tcPr>
          <w:p>
            <w:pPr>
              <w:widowControl/>
              <w:jc w:val="left"/>
              <w:rPr>
                <w:color w:val="000000"/>
                <w:szCs w:val="21"/>
              </w:rPr>
            </w:pPr>
          </w:p>
        </w:tc>
        <w:tc>
          <w:tcPr>
            <w:tcW w:w="2880" w:type="dxa"/>
            <w:noWrap w:val="0"/>
            <w:vAlign w:val="top"/>
          </w:tcPr>
          <w:p>
            <w:pPr>
              <w:widowControl/>
              <w:jc w:val="left"/>
              <w:rPr>
                <w:color w:val="000000"/>
                <w:szCs w:val="21"/>
              </w:rPr>
            </w:pPr>
          </w:p>
        </w:tc>
        <w:tc>
          <w:tcPr>
            <w:tcW w:w="720"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260"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116"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044"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296" w:type="dxa"/>
            <w:noWrap w:val="0"/>
            <w:vAlign w:val="top"/>
          </w:tcPr>
          <w:p>
            <w:pPr>
              <w:widowControl/>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567" w:hRule="exact"/>
        </w:trPr>
        <w:tc>
          <w:tcPr>
            <w:tcW w:w="540" w:type="dxa"/>
            <w:noWrap w:val="0"/>
            <w:vAlign w:val="top"/>
          </w:tcPr>
          <w:p>
            <w:pPr>
              <w:rPr>
                <w:rFonts w:hint="eastAsia"/>
                <w:color w:val="000000"/>
                <w:szCs w:val="21"/>
              </w:rPr>
            </w:pPr>
          </w:p>
        </w:tc>
        <w:tc>
          <w:tcPr>
            <w:tcW w:w="1260" w:type="dxa"/>
            <w:noWrap w:val="0"/>
            <w:vAlign w:val="top"/>
          </w:tcPr>
          <w:p>
            <w:pPr>
              <w:widowControl/>
              <w:jc w:val="left"/>
              <w:rPr>
                <w:color w:val="000000"/>
                <w:szCs w:val="21"/>
              </w:rPr>
            </w:pPr>
          </w:p>
        </w:tc>
        <w:tc>
          <w:tcPr>
            <w:tcW w:w="2880" w:type="dxa"/>
            <w:noWrap w:val="0"/>
            <w:vAlign w:val="top"/>
          </w:tcPr>
          <w:p>
            <w:pPr>
              <w:widowControl/>
              <w:jc w:val="left"/>
              <w:rPr>
                <w:color w:val="000000"/>
                <w:szCs w:val="21"/>
              </w:rPr>
            </w:pPr>
          </w:p>
        </w:tc>
        <w:tc>
          <w:tcPr>
            <w:tcW w:w="720"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260"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116"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044"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296" w:type="dxa"/>
            <w:noWrap w:val="0"/>
            <w:vAlign w:val="top"/>
          </w:tcPr>
          <w:p>
            <w:pPr>
              <w:widowControl/>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567" w:hRule="exact"/>
        </w:trPr>
        <w:tc>
          <w:tcPr>
            <w:tcW w:w="540" w:type="dxa"/>
            <w:noWrap w:val="0"/>
            <w:vAlign w:val="top"/>
          </w:tcPr>
          <w:p>
            <w:pPr>
              <w:rPr>
                <w:rFonts w:hint="eastAsia"/>
                <w:color w:val="000000"/>
                <w:szCs w:val="21"/>
              </w:rPr>
            </w:pPr>
          </w:p>
        </w:tc>
        <w:tc>
          <w:tcPr>
            <w:tcW w:w="1260" w:type="dxa"/>
            <w:noWrap w:val="0"/>
            <w:vAlign w:val="top"/>
          </w:tcPr>
          <w:p>
            <w:pPr>
              <w:widowControl/>
              <w:jc w:val="left"/>
              <w:rPr>
                <w:color w:val="000000"/>
                <w:szCs w:val="21"/>
              </w:rPr>
            </w:pPr>
          </w:p>
        </w:tc>
        <w:tc>
          <w:tcPr>
            <w:tcW w:w="2880" w:type="dxa"/>
            <w:noWrap w:val="0"/>
            <w:vAlign w:val="top"/>
          </w:tcPr>
          <w:p>
            <w:pPr>
              <w:widowControl/>
              <w:jc w:val="left"/>
              <w:rPr>
                <w:color w:val="000000"/>
                <w:szCs w:val="21"/>
              </w:rPr>
            </w:pPr>
          </w:p>
        </w:tc>
        <w:tc>
          <w:tcPr>
            <w:tcW w:w="720"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260"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116"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044"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296" w:type="dxa"/>
            <w:noWrap w:val="0"/>
            <w:vAlign w:val="top"/>
          </w:tcPr>
          <w:p>
            <w:pPr>
              <w:widowControl/>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567" w:hRule="exact"/>
        </w:trPr>
        <w:tc>
          <w:tcPr>
            <w:tcW w:w="540" w:type="dxa"/>
            <w:noWrap w:val="0"/>
            <w:vAlign w:val="top"/>
          </w:tcPr>
          <w:p>
            <w:pPr>
              <w:rPr>
                <w:rFonts w:hint="eastAsia"/>
                <w:color w:val="000000"/>
                <w:szCs w:val="21"/>
              </w:rPr>
            </w:pPr>
          </w:p>
        </w:tc>
        <w:tc>
          <w:tcPr>
            <w:tcW w:w="1260" w:type="dxa"/>
            <w:noWrap w:val="0"/>
            <w:vAlign w:val="top"/>
          </w:tcPr>
          <w:p>
            <w:pPr>
              <w:widowControl/>
              <w:jc w:val="left"/>
              <w:rPr>
                <w:color w:val="000000"/>
                <w:szCs w:val="21"/>
              </w:rPr>
            </w:pPr>
          </w:p>
        </w:tc>
        <w:tc>
          <w:tcPr>
            <w:tcW w:w="2880" w:type="dxa"/>
            <w:noWrap w:val="0"/>
            <w:vAlign w:val="top"/>
          </w:tcPr>
          <w:p>
            <w:pPr>
              <w:widowControl/>
              <w:jc w:val="left"/>
              <w:rPr>
                <w:color w:val="000000"/>
                <w:szCs w:val="21"/>
              </w:rPr>
            </w:pPr>
          </w:p>
        </w:tc>
        <w:tc>
          <w:tcPr>
            <w:tcW w:w="720"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260"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116"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044"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296" w:type="dxa"/>
            <w:noWrap w:val="0"/>
            <w:vAlign w:val="top"/>
          </w:tcPr>
          <w:p>
            <w:pPr>
              <w:widowControl/>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567" w:hRule="exact"/>
        </w:trPr>
        <w:tc>
          <w:tcPr>
            <w:tcW w:w="540" w:type="dxa"/>
            <w:noWrap w:val="0"/>
            <w:vAlign w:val="top"/>
          </w:tcPr>
          <w:p>
            <w:pPr>
              <w:rPr>
                <w:rFonts w:hint="eastAsia"/>
                <w:color w:val="000000"/>
                <w:szCs w:val="21"/>
              </w:rPr>
            </w:pPr>
          </w:p>
        </w:tc>
        <w:tc>
          <w:tcPr>
            <w:tcW w:w="1260" w:type="dxa"/>
            <w:noWrap w:val="0"/>
            <w:vAlign w:val="top"/>
          </w:tcPr>
          <w:p>
            <w:pPr>
              <w:widowControl/>
              <w:jc w:val="left"/>
              <w:rPr>
                <w:color w:val="000000"/>
                <w:szCs w:val="21"/>
              </w:rPr>
            </w:pPr>
          </w:p>
        </w:tc>
        <w:tc>
          <w:tcPr>
            <w:tcW w:w="2880" w:type="dxa"/>
            <w:noWrap w:val="0"/>
            <w:vAlign w:val="top"/>
          </w:tcPr>
          <w:p>
            <w:pPr>
              <w:widowControl/>
              <w:jc w:val="left"/>
              <w:rPr>
                <w:color w:val="000000"/>
                <w:szCs w:val="21"/>
              </w:rPr>
            </w:pPr>
          </w:p>
        </w:tc>
        <w:tc>
          <w:tcPr>
            <w:tcW w:w="720"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260"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116"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044"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296" w:type="dxa"/>
            <w:noWrap w:val="0"/>
            <w:vAlign w:val="top"/>
          </w:tcPr>
          <w:p>
            <w:pPr>
              <w:widowControl/>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567" w:hRule="exact"/>
        </w:trPr>
        <w:tc>
          <w:tcPr>
            <w:tcW w:w="540" w:type="dxa"/>
            <w:noWrap w:val="0"/>
            <w:vAlign w:val="top"/>
          </w:tcPr>
          <w:p>
            <w:pPr>
              <w:rPr>
                <w:rFonts w:hint="eastAsia"/>
                <w:color w:val="000000"/>
                <w:szCs w:val="21"/>
              </w:rPr>
            </w:pPr>
          </w:p>
        </w:tc>
        <w:tc>
          <w:tcPr>
            <w:tcW w:w="1260" w:type="dxa"/>
            <w:noWrap w:val="0"/>
            <w:vAlign w:val="top"/>
          </w:tcPr>
          <w:p>
            <w:pPr>
              <w:widowControl/>
              <w:jc w:val="left"/>
              <w:rPr>
                <w:color w:val="000000"/>
                <w:szCs w:val="21"/>
              </w:rPr>
            </w:pPr>
          </w:p>
        </w:tc>
        <w:tc>
          <w:tcPr>
            <w:tcW w:w="2880" w:type="dxa"/>
            <w:noWrap w:val="0"/>
            <w:vAlign w:val="top"/>
          </w:tcPr>
          <w:p>
            <w:pPr>
              <w:widowControl/>
              <w:jc w:val="left"/>
              <w:rPr>
                <w:color w:val="000000"/>
                <w:szCs w:val="21"/>
              </w:rPr>
            </w:pPr>
          </w:p>
        </w:tc>
        <w:tc>
          <w:tcPr>
            <w:tcW w:w="720"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260"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116"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044"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296" w:type="dxa"/>
            <w:noWrap w:val="0"/>
            <w:vAlign w:val="top"/>
          </w:tcPr>
          <w:p>
            <w:pPr>
              <w:widowControl/>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567" w:hRule="exact"/>
        </w:trPr>
        <w:tc>
          <w:tcPr>
            <w:tcW w:w="540" w:type="dxa"/>
            <w:noWrap w:val="0"/>
            <w:vAlign w:val="top"/>
          </w:tcPr>
          <w:p>
            <w:pPr>
              <w:rPr>
                <w:rFonts w:hint="eastAsia"/>
                <w:color w:val="000000"/>
                <w:szCs w:val="21"/>
              </w:rPr>
            </w:pPr>
          </w:p>
        </w:tc>
        <w:tc>
          <w:tcPr>
            <w:tcW w:w="1260" w:type="dxa"/>
            <w:noWrap w:val="0"/>
            <w:vAlign w:val="top"/>
          </w:tcPr>
          <w:p>
            <w:pPr>
              <w:widowControl/>
              <w:jc w:val="left"/>
              <w:rPr>
                <w:color w:val="000000"/>
                <w:szCs w:val="21"/>
              </w:rPr>
            </w:pPr>
          </w:p>
        </w:tc>
        <w:tc>
          <w:tcPr>
            <w:tcW w:w="2880" w:type="dxa"/>
            <w:noWrap w:val="0"/>
            <w:vAlign w:val="top"/>
          </w:tcPr>
          <w:p>
            <w:pPr>
              <w:widowControl/>
              <w:jc w:val="left"/>
              <w:rPr>
                <w:color w:val="000000"/>
                <w:szCs w:val="21"/>
              </w:rPr>
            </w:pPr>
          </w:p>
        </w:tc>
        <w:tc>
          <w:tcPr>
            <w:tcW w:w="720"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260"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116"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044"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296" w:type="dxa"/>
            <w:noWrap w:val="0"/>
            <w:vAlign w:val="top"/>
          </w:tcPr>
          <w:p>
            <w:pPr>
              <w:widowControl/>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567" w:hRule="exact"/>
        </w:trPr>
        <w:tc>
          <w:tcPr>
            <w:tcW w:w="540" w:type="dxa"/>
            <w:noWrap w:val="0"/>
            <w:vAlign w:val="top"/>
          </w:tcPr>
          <w:p>
            <w:pPr>
              <w:rPr>
                <w:rFonts w:hint="eastAsia"/>
                <w:color w:val="000000"/>
                <w:szCs w:val="21"/>
              </w:rPr>
            </w:pPr>
          </w:p>
        </w:tc>
        <w:tc>
          <w:tcPr>
            <w:tcW w:w="1260" w:type="dxa"/>
            <w:noWrap w:val="0"/>
            <w:vAlign w:val="top"/>
          </w:tcPr>
          <w:p>
            <w:pPr>
              <w:widowControl/>
              <w:jc w:val="left"/>
              <w:rPr>
                <w:color w:val="000000"/>
                <w:szCs w:val="21"/>
              </w:rPr>
            </w:pPr>
          </w:p>
        </w:tc>
        <w:tc>
          <w:tcPr>
            <w:tcW w:w="2880" w:type="dxa"/>
            <w:noWrap w:val="0"/>
            <w:vAlign w:val="top"/>
          </w:tcPr>
          <w:p>
            <w:pPr>
              <w:widowControl/>
              <w:jc w:val="left"/>
              <w:rPr>
                <w:color w:val="000000"/>
                <w:szCs w:val="21"/>
              </w:rPr>
            </w:pPr>
          </w:p>
        </w:tc>
        <w:tc>
          <w:tcPr>
            <w:tcW w:w="720"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260"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116"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044"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296" w:type="dxa"/>
            <w:noWrap w:val="0"/>
            <w:vAlign w:val="top"/>
          </w:tcPr>
          <w:p>
            <w:pPr>
              <w:widowControl/>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567" w:hRule="exact"/>
        </w:trPr>
        <w:tc>
          <w:tcPr>
            <w:tcW w:w="540" w:type="dxa"/>
            <w:noWrap w:val="0"/>
            <w:vAlign w:val="top"/>
          </w:tcPr>
          <w:p>
            <w:pPr>
              <w:rPr>
                <w:rFonts w:hint="eastAsia"/>
                <w:color w:val="000000"/>
                <w:szCs w:val="21"/>
              </w:rPr>
            </w:pPr>
          </w:p>
        </w:tc>
        <w:tc>
          <w:tcPr>
            <w:tcW w:w="1260" w:type="dxa"/>
            <w:noWrap w:val="0"/>
            <w:vAlign w:val="top"/>
          </w:tcPr>
          <w:p>
            <w:pPr>
              <w:widowControl/>
              <w:jc w:val="left"/>
              <w:rPr>
                <w:color w:val="000000"/>
                <w:szCs w:val="21"/>
              </w:rPr>
            </w:pPr>
          </w:p>
        </w:tc>
        <w:tc>
          <w:tcPr>
            <w:tcW w:w="2880" w:type="dxa"/>
            <w:noWrap w:val="0"/>
            <w:vAlign w:val="top"/>
          </w:tcPr>
          <w:p>
            <w:pPr>
              <w:widowControl/>
              <w:jc w:val="left"/>
              <w:rPr>
                <w:color w:val="000000"/>
                <w:szCs w:val="21"/>
              </w:rPr>
            </w:pPr>
          </w:p>
        </w:tc>
        <w:tc>
          <w:tcPr>
            <w:tcW w:w="720"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260"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116"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044"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296" w:type="dxa"/>
            <w:noWrap w:val="0"/>
            <w:vAlign w:val="top"/>
          </w:tcPr>
          <w:p>
            <w:pPr>
              <w:widowControl/>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567" w:hRule="exact"/>
        </w:trPr>
        <w:tc>
          <w:tcPr>
            <w:tcW w:w="540" w:type="dxa"/>
            <w:noWrap w:val="0"/>
            <w:vAlign w:val="top"/>
          </w:tcPr>
          <w:p>
            <w:pPr>
              <w:rPr>
                <w:rFonts w:hint="eastAsia"/>
                <w:color w:val="000000"/>
                <w:szCs w:val="21"/>
              </w:rPr>
            </w:pPr>
          </w:p>
        </w:tc>
        <w:tc>
          <w:tcPr>
            <w:tcW w:w="1260" w:type="dxa"/>
            <w:noWrap w:val="0"/>
            <w:vAlign w:val="top"/>
          </w:tcPr>
          <w:p>
            <w:pPr>
              <w:widowControl/>
              <w:jc w:val="left"/>
              <w:rPr>
                <w:color w:val="000000"/>
                <w:szCs w:val="21"/>
              </w:rPr>
            </w:pPr>
          </w:p>
        </w:tc>
        <w:tc>
          <w:tcPr>
            <w:tcW w:w="2880" w:type="dxa"/>
            <w:noWrap w:val="0"/>
            <w:vAlign w:val="top"/>
          </w:tcPr>
          <w:p>
            <w:pPr>
              <w:widowControl/>
              <w:jc w:val="left"/>
              <w:rPr>
                <w:color w:val="000000"/>
                <w:szCs w:val="21"/>
              </w:rPr>
            </w:pPr>
          </w:p>
        </w:tc>
        <w:tc>
          <w:tcPr>
            <w:tcW w:w="720"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260"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116"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044" w:type="dxa"/>
            <w:noWrap w:val="0"/>
            <w:vAlign w:val="top"/>
          </w:tcPr>
          <w:p>
            <w:pPr>
              <w:widowControl/>
              <w:jc w:val="left"/>
              <w:rPr>
                <w:color w:val="000000"/>
                <w:szCs w:val="21"/>
              </w:rPr>
            </w:pPr>
          </w:p>
        </w:tc>
        <w:tc>
          <w:tcPr>
            <w:tcW w:w="1080" w:type="dxa"/>
            <w:noWrap w:val="0"/>
            <w:vAlign w:val="top"/>
          </w:tcPr>
          <w:p>
            <w:pPr>
              <w:widowControl/>
              <w:jc w:val="left"/>
              <w:rPr>
                <w:color w:val="000000"/>
                <w:szCs w:val="21"/>
              </w:rPr>
            </w:pPr>
          </w:p>
        </w:tc>
        <w:tc>
          <w:tcPr>
            <w:tcW w:w="1296" w:type="dxa"/>
            <w:noWrap w:val="0"/>
            <w:vAlign w:val="top"/>
          </w:tcPr>
          <w:p>
            <w:pPr>
              <w:widowControl/>
              <w:jc w:val="left"/>
              <w:rPr>
                <w:color w:val="000000"/>
                <w:szCs w:val="21"/>
              </w:rPr>
            </w:pPr>
          </w:p>
        </w:tc>
      </w:tr>
    </w:tbl>
    <w:p>
      <w:pPr>
        <w:jc w:val="right"/>
        <w:rPr>
          <w:rFonts w:hint="eastAsia"/>
          <w:color w:val="000000"/>
          <w:sz w:val="24"/>
        </w:rPr>
      </w:pPr>
      <w:r>
        <w:rPr>
          <w:rFonts w:hint="eastAsia"/>
          <w:color w:val="000000"/>
          <w:szCs w:val="21"/>
        </w:rPr>
        <w:t>表-09</w:t>
      </w:r>
    </w:p>
    <w:p>
      <w:pPr>
        <w:rPr>
          <w:rFonts w:hint="eastAsia"/>
          <w:color w:val="000000"/>
          <w:sz w:val="24"/>
        </w:rPr>
        <w:sectPr>
          <w:pgSz w:w="16838" w:h="11906" w:orient="landscape"/>
          <w:pgMar w:top="1797" w:right="1440" w:bottom="1797" w:left="1440" w:header="851" w:footer="992" w:gutter="0"/>
          <w:cols w:space="720" w:num="1"/>
          <w:docGrid w:linePitch="312" w:charSpace="0"/>
        </w:sectPr>
      </w:pPr>
    </w:p>
    <w:p>
      <w:pPr>
        <w:spacing w:line="360" w:lineRule="auto"/>
        <w:ind w:firstLine="630" w:firstLineChars="300"/>
        <w:jc w:val="left"/>
        <w:rPr>
          <w:rFonts w:ascii="宋体" w:hAnsi="宋体" w:cs="宋体"/>
          <w:color w:val="000000"/>
          <w:szCs w:val="21"/>
        </w:rPr>
      </w:pPr>
      <w:r>
        <w:rPr>
          <w:rFonts w:hint="eastAsia" w:ascii="宋体" w:hAnsi="宋体"/>
          <w:color w:val="000000"/>
          <w:szCs w:val="21"/>
        </w:rPr>
        <w:t>表10</w:t>
      </w:r>
      <w:r>
        <w:rPr>
          <w:rFonts w:hint="eastAsia" w:ascii="宋体" w:hAnsi="宋体" w:cs="宋体"/>
          <w:color w:val="000000"/>
          <w:szCs w:val="21"/>
        </w:rPr>
        <w:t>总价措施项目费用表</w:t>
      </w:r>
    </w:p>
    <w:p>
      <w:pPr>
        <w:jc w:val="center"/>
        <w:rPr>
          <w:rFonts w:hint="eastAsia"/>
          <w:b/>
          <w:color w:val="000000"/>
          <w:sz w:val="36"/>
          <w:szCs w:val="36"/>
        </w:rPr>
      </w:pPr>
      <w:r>
        <w:rPr>
          <w:rFonts w:hint="eastAsia"/>
          <w:b/>
          <w:color w:val="000000"/>
          <w:sz w:val="36"/>
          <w:szCs w:val="36"/>
        </w:rPr>
        <w:t>总价措施项目费用表</w:t>
      </w:r>
    </w:p>
    <w:p>
      <w:pPr>
        <w:rPr>
          <w:rFonts w:hint="eastAsia"/>
          <w:color w:val="000000"/>
          <w:sz w:val="24"/>
        </w:rPr>
      </w:pPr>
      <w:r>
        <w:rPr>
          <w:rFonts w:hint="eastAsia"/>
          <w:color w:val="000000"/>
          <w:sz w:val="24"/>
        </w:rPr>
        <w:t>工程名称：                                            第  页  共  页</w:t>
      </w:r>
    </w:p>
    <w:tbl>
      <w:tblPr>
        <w:tblStyle w:val="83"/>
        <w:tblW w:w="88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137"/>
        <w:gridCol w:w="2284"/>
        <w:gridCol w:w="1080"/>
        <w:gridCol w:w="1496"/>
        <w:gridCol w:w="1508"/>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7" w:type="dxa"/>
            <w:noWrap w:val="0"/>
            <w:vAlign w:val="center"/>
          </w:tcPr>
          <w:p>
            <w:pPr>
              <w:jc w:val="center"/>
              <w:rPr>
                <w:rFonts w:hint="eastAsia"/>
                <w:color w:val="000000"/>
                <w:szCs w:val="21"/>
              </w:rPr>
            </w:pPr>
            <w:r>
              <w:rPr>
                <w:rFonts w:hint="eastAsia"/>
                <w:color w:val="000000"/>
                <w:szCs w:val="21"/>
              </w:rPr>
              <w:t>序号</w:t>
            </w:r>
          </w:p>
        </w:tc>
        <w:tc>
          <w:tcPr>
            <w:tcW w:w="1137" w:type="dxa"/>
            <w:noWrap w:val="0"/>
            <w:vAlign w:val="center"/>
          </w:tcPr>
          <w:p>
            <w:pPr>
              <w:jc w:val="center"/>
              <w:rPr>
                <w:rFonts w:hint="eastAsia"/>
                <w:color w:val="000000"/>
                <w:szCs w:val="21"/>
              </w:rPr>
            </w:pPr>
            <w:r>
              <w:rPr>
                <w:rFonts w:hint="eastAsia"/>
                <w:color w:val="000000"/>
                <w:szCs w:val="21"/>
              </w:rPr>
              <w:t>项目编码</w:t>
            </w:r>
          </w:p>
        </w:tc>
        <w:tc>
          <w:tcPr>
            <w:tcW w:w="2284" w:type="dxa"/>
            <w:noWrap w:val="0"/>
            <w:vAlign w:val="center"/>
          </w:tcPr>
          <w:p>
            <w:pPr>
              <w:jc w:val="center"/>
              <w:rPr>
                <w:rFonts w:hint="eastAsia"/>
                <w:color w:val="000000"/>
                <w:szCs w:val="21"/>
              </w:rPr>
            </w:pPr>
            <w:r>
              <w:rPr>
                <w:rFonts w:hint="eastAsia"/>
                <w:color w:val="000000"/>
                <w:szCs w:val="21"/>
              </w:rPr>
              <w:t>项目名称</w:t>
            </w:r>
          </w:p>
        </w:tc>
        <w:tc>
          <w:tcPr>
            <w:tcW w:w="1080" w:type="dxa"/>
            <w:noWrap w:val="0"/>
            <w:vAlign w:val="center"/>
          </w:tcPr>
          <w:p>
            <w:pPr>
              <w:jc w:val="center"/>
              <w:rPr>
                <w:rFonts w:hint="eastAsia"/>
                <w:color w:val="000000"/>
                <w:szCs w:val="21"/>
              </w:rPr>
            </w:pPr>
            <w:r>
              <w:rPr>
                <w:rFonts w:hint="eastAsia"/>
                <w:color w:val="000000"/>
                <w:szCs w:val="21"/>
              </w:rPr>
              <w:t>计算基础</w:t>
            </w:r>
          </w:p>
        </w:tc>
        <w:tc>
          <w:tcPr>
            <w:tcW w:w="1496" w:type="dxa"/>
            <w:noWrap w:val="0"/>
            <w:vAlign w:val="center"/>
          </w:tcPr>
          <w:p>
            <w:pPr>
              <w:jc w:val="center"/>
              <w:rPr>
                <w:rFonts w:hint="eastAsia"/>
                <w:color w:val="000000"/>
                <w:szCs w:val="21"/>
              </w:rPr>
            </w:pPr>
            <w:r>
              <w:rPr>
                <w:rFonts w:hint="eastAsia"/>
                <w:color w:val="000000"/>
                <w:szCs w:val="21"/>
              </w:rPr>
              <w:t>费 率（%）</w:t>
            </w:r>
          </w:p>
          <w:p>
            <w:pPr>
              <w:jc w:val="center"/>
              <w:rPr>
                <w:rFonts w:hint="eastAsia"/>
                <w:color w:val="000000"/>
                <w:szCs w:val="21"/>
              </w:rPr>
            </w:pPr>
            <w:r>
              <w:rPr>
                <w:rFonts w:hint="eastAsia"/>
                <w:color w:val="000000"/>
                <w:szCs w:val="21"/>
              </w:rPr>
              <w:t>或标准</w:t>
            </w:r>
          </w:p>
        </w:tc>
        <w:tc>
          <w:tcPr>
            <w:tcW w:w="1508" w:type="dxa"/>
            <w:noWrap w:val="0"/>
            <w:vAlign w:val="center"/>
          </w:tcPr>
          <w:p>
            <w:pPr>
              <w:jc w:val="center"/>
              <w:rPr>
                <w:rFonts w:hint="eastAsia"/>
                <w:color w:val="000000"/>
                <w:szCs w:val="21"/>
              </w:rPr>
            </w:pPr>
            <w:r>
              <w:rPr>
                <w:rFonts w:hint="eastAsia"/>
                <w:color w:val="000000"/>
                <w:szCs w:val="21"/>
              </w:rPr>
              <w:t>金额（元）</w:t>
            </w:r>
          </w:p>
        </w:tc>
        <w:tc>
          <w:tcPr>
            <w:tcW w:w="900" w:type="dxa"/>
            <w:noWrap w:val="0"/>
            <w:vAlign w:val="center"/>
          </w:tcPr>
          <w:p>
            <w:pPr>
              <w:jc w:val="center"/>
              <w:rPr>
                <w:rFonts w:hint="eastAsia"/>
                <w:color w:val="000000"/>
                <w:szCs w:val="21"/>
              </w:rPr>
            </w:pPr>
            <w:r>
              <w:rPr>
                <w:rFonts w:hint="eastAsia"/>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7" w:type="dxa"/>
            <w:noWrap w:val="0"/>
            <w:vAlign w:val="center"/>
          </w:tcPr>
          <w:p>
            <w:pPr>
              <w:jc w:val="center"/>
              <w:rPr>
                <w:rFonts w:hint="eastAsia"/>
                <w:color w:val="000000"/>
                <w:szCs w:val="21"/>
              </w:rPr>
            </w:pPr>
          </w:p>
        </w:tc>
        <w:tc>
          <w:tcPr>
            <w:tcW w:w="1137" w:type="dxa"/>
            <w:noWrap w:val="0"/>
            <w:vAlign w:val="center"/>
          </w:tcPr>
          <w:p>
            <w:pPr>
              <w:jc w:val="center"/>
              <w:rPr>
                <w:rFonts w:hint="eastAsia"/>
                <w:color w:val="000000"/>
                <w:szCs w:val="21"/>
              </w:rPr>
            </w:pPr>
          </w:p>
        </w:tc>
        <w:tc>
          <w:tcPr>
            <w:tcW w:w="2284" w:type="dxa"/>
            <w:noWrap w:val="0"/>
            <w:vAlign w:val="center"/>
          </w:tcPr>
          <w:p>
            <w:pPr>
              <w:rPr>
                <w:rFonts w:hint="eastAsia"/>
                <w:color w:val="000000"/>
                <w:szCs w:val="21"/>
              </w:rPr>
            </w:pPr>
          </w:p>
        </w:tc>
        <w:tc>
          <w:tcPr>
            <w:tcW w:w="1080" w:type="dxa"/>
            <w:noWrap w:val="0"/>
            <w:vAlign w:val="center"/>
          </w:tcPr>
          <w:p>
            <w:pPr>
              <w:jc w:val="center"/>
              <w:rPr>
                <w:rFonts w:hint="eastAsia"/>
                <w:color w:val="000000"/>
                <w:szCs w:val="21"/>
              </w:rPr>
            </w:pPr>
          </w:p>
        </w:tc>
        <w:tc>
          <w:tcPr>
            <w:tcW w:w="1496" w:type="dxa"/>
            <w:noWrap w:val="0"/>
            <w:vAlign w:val="center"/>
          </w:tcPr>
          <w:p>
            <w:pPr>
              <w:jc w:val="center"/>
              <w:rPr>
                <w:rFonts w:hint="eastAsia"/>
                <w:color w:val="000000"/>
                <w:szCs w:val="21"/>
              </w:rPr>
            </w:pPr>
          </w:p>
        </w:tc>
        <w:tc>
          <w:tcPr>
            <w:tcW w:w="1508"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7" w:type="dxa"/>
            <w:noWrap w:val="0"/>
            <w:vAlign w:val="center"/>
          </w:tcPr>
          <w:p>
            <w:pPr>
              <w:jc w:val="center"/>
              <w:rPr>
                <w:rFonts w:hint="eastAsia"/>
                <w:color w:val="000000"/>
                <w:szCs w:val="21"/>
              </w:rPr>
            </w:pPr>
          </w:p>
        </w:tc>
        <w:tc>
          <w:tcPr>
            <w:tcW w:w="1137" w:type="dxa"/>
            <w:noWrap w:val="0"/>
            <w:vAlign w:val="center"/>
          </w:tcPr>
          <w:p>
            <w:pPr>
              <w:jc w:val="center"/>
              <w:rPr>
                <w:rFonts w:hint="eastAsia"/>
                <w:color w:val="000000"/>
                <w:szCs w:val="21"/>
              </w:rPr>
            </w:pPr>
          </w:p>
        </w:tc>
        <w:tc>
          <w:tcPr>
            <w:tcW w:w="2284" w:type="dxa"/>
            <w:noWrap w:val="0"/>
            <w:vAlign w:val="center"/>
          </w:tcPr>
          <w:p>
            <w:pPr>
              <w:rPr>
                <w:rFonts w:hint="eastAsia"/>
                <w:color w:val="000000"/>
                <w:szCs w:val="21"/>
              </w:rPr>
            </w:pPr>
          </w:p>
        </w:tc>
        <w:tc>
          <w:tcPr>
            <w:tcW w:w="1080" w:type="dxa"/>
            <w:noWrap w:val="0"/>
            <w:vAlign w:val="center"/>
          </w:tcPr>
          <w:p>
            <w:pPr>
              <w:jc w:val="center"/>
              <w:rPr>
                <w:rFonts w:hint="eastAsia"/>
                <w:color w:val="000000"/>
                <w:szCs w:val="21"/>
              </w:rPr>
            </w:pPr>
          </w:p>
        </w:tc>
        <w:tc>
          <w:tcPr>
            <w:tcW w:w="1496" w:type="dxa"/>
            <w:noWrap w:val="0"/>
            <w:vAlign w:val="center"/>
          </w:tcPr>
          <w:p>
            <w:pPr>
              <w:jc w:val="center"/>
              <w:rPr>
                <w:rFonts w:hint="eastAsia"/>
                <w:color w:val="000000"/>
                <w:szCs w:val="21"/>
              </w:rPr>
            </w:pPr>
          </w:p>
        </w:tc>
        <w:tc>
          <w:tcPr>
            <w:tcW w:w="1508"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7" w:type="dxa"/>
            <w:noWrap w:val="0"/>
            <w:vAlign w:val="center"/>
          </w:tcPr>
          <w:p>
            <w:pPr>
              <w:jc w:val="center"/>
              <w:rPr>
                <w:rFonts w:hint="eastAsia"/>
                <w:color w:val="000000"/>
                <w:szCs w:val="21"/>
              </w:rPr>
            </w:pPr>
          </w:p>
        </w:tc>
        <w:tc>
          <w:tcPr>
            <w:tcW w:w="1137" w:type="dxa"/>
            <w:noWrap w:val="0"/>
            <w:vAlign w:val="center"/>
          </w:tcPr>
          <w:p>
            <w:pPr>
              <w:jc w:val="center"/>
              <w:rPr>
                <w:rFonts w:hint="eastAsia"/>
                <w:color w:val="000000"/>
                <w:szCs w:val="21"/>
              </w:rPr>
            </w:pPr>
          </w:p>
        </w:tc>
        <w:tc>
          <w:tcPr>
            <w:tcW w:w="2284" w:type="dxa"/>
            <w:noWrap w:val="0"/>
            <w:vAlign w:val="center"/>
          </w:tcPr>
          <w:p>
            <w:pPr>
              <w:rPr>
                <w:rFonts w:hint="eastAsia"/>
                <w:color w:val="000000"/>
                <w:szCs w:val="21"/>
              </w:rPr>
            </w:pPr>
          </w:p>
        </w:tc>
        <w:tc>
          <w:tcPr>
            <w:tcW w:w="1080" w:type="dxa"/>
            <w:noWrap w:val="0"/>
            <w:vAlign w:val="center"/>
          </w:tcPr>
          <w:p>
            <w:pPr>
              <w:jc w:val="center"/>
              <w:rPr>
                <w:rFonts w:hint="eastAsia"/>
                <w:color w:val="000000"/>
                <w:szCs w:val="21"/>
              </w:rPr>
            </w:pPr>
          </w:p>
        </w:tc>
        <w:tc>
          <w:tcPr>
            <w:tcW w:w="1496" w:type="dxa"/>
            <w:noWrap w:val="0"/>
            <w:vAlign w:val="center"/>
          </w:tcPr>
          <w:p>
            <w:pPr>
              <w:jc w:val="center"/>
              <w:rPr>
                <w:rFonts w:hint="eastAsia"/>
                <w:color w:val="000000"/>
                <w:szCs w:val="21"/>
              </w:rPr>
            </w:pPr>
          </w:p>
        </w:tc>
        <w:tc>
          <w:tcPr>
            <w:tcW w:w="1508"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7" w:type="dxa"/>
            <w:noWrap w:val="0"/>
            <w:vAlign w:val="center"/>
          </w:tcPr>
          <w:p>
            <w:pPr>
              <w:jc w:val="center"/>
              <w:rPr>
                <w:rFonts w:hint="eastAsia"/>
                <w:color w:val="000000"/>
                <w:szCs w:val="21"/>
              </w:rPr>
            </w:pPr>
          </w:p>
        </w:tc>
        <w:tc>
          <w:tcPr>
            <w:tcW w:w="1137" w:type="dxa"/>
            <w:noWrap w:val="0"/>
            <w:vAlign w:val="center"/>
          </w:tcPr>
          <w:p>
            <w:pPr>
              <w:jc w:val="center"/>
              <w:rPr>
                <w:rFonts w:hint="eastAsia"/>
                <w:color w:val="000000"/>
                <w:szCs w:val="21"/>
              </w:rPr>
            </w:pPr>
          </w:p>
        </w:tc>
        <w:tc>
          <w:tcPr>
            <w:tcW w:w="2284" w:type="dxa"/>
            <w:noWrap w:val="0"/>
            <w:vAlign w:val="center"/>
          </w:tcPr>
          <w:p>
            <w:pPr>
              <w:rPr>
                <w:rFonts w:hint="eastAsia"/>
                <w:color w:val="000000"/>
                <w:szCs w:val="21"/>
              </w:rPr>
            </w:pPr>
          </w:p>
        </w:tc>
        <w:tc>
          <w:tcPr>
            <w:tcW w:w="1080" w:type="dxa"/>
            <w:noWrap w:val="0"/>
            <w:vAlign w:val="center"/>
          </w:tcPr>
          <w:p>
            <w:pPr>
              <w:jc w:val="center"/>
              <w:rPr>
                <w:rFonts w:hint="eastAsia"/>
                <w:color w:val="000000"/>
                <w:szCs w:val="21"/>
              </w:rPr>
            </w:pPr>
          </w:p>
        </w:tc>
        <w:tc>
          <w:tcPr>
            <w:tcW w:w="1496" w:type="dxa"/>
            <w:noWrap w:val="0"/>
            <w:vAlign w:val="center"/>
          </w:tcPr>
          <w:p>
            <w:pPr>
              <w:jc w:val="center"/>
              <w:rPr>
                <w:rFonts w:hint="eastAsia"/>
                <w:color w:val="000000"/>
                <w:szCs w:val="21"/>
              </w:rPr>
            </w:pPr>
          </w:p>
        </w:tc>
        <w:tc>
          <w:tcPr>
            <w:tcW w:w="1508"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7" w:type="dxa"/>
            <w:noWrap w:val="0"/>
            <w:vAlign w:val="center"/>
          </w:tcPr>
          <w:p>
            <w:pPr>
              <w:jc w:val="center"/>
              <w:rPr>
                <w:rFonts w:hint="eastAsia"/>
                <w:color w:val="000000"/>
                <w:szCs w:val="21"/>
              </w:rPr>
            </w:pPr>
          </w:p>
        </w:tc>
        <w:tc>
          <w:tcPr>
            <w:tcW w:w="1137" w:type="dxa"/>
            <w:noWrap w:val="0"/>
            <w:vAlign w:val="center"/>
          </w:tcPr>
          <w:p>
            <w:pPr>
              <w:jc w:val="center"/>
              <w:rPr>
                <w:rFonts w:hint="eastAsia"/>
                <w:color w:val="000000"/>
                <w:szCs w:val="21"/>
              </w:rPr>
            </w:pPr>
          </w:p>
        </w:tc>
        <w:tc>
          <w:tcPr>
            <w:tcW w:w="2284" w:type="dxa"/>
            <w:noWrap w:val="0"/>
            <w:vAlign w:val="center"/>
          </w:tcPr>
          <w:p>
            <w:pPr>
              <w:rPr>
                <w:rFonts w:hint="eastAsia"/>
                <w:color w:val="000000"/>
                <w:szCs w:val="21"/>
              </w:rPr>
            </w:pPr>
          </w:p>
        </w:tc>
        <w:tc>
          <w:tcPr>
            <w:tcW w:w="1080" w:type="dxa"/>
            <w:noWrap w:val="0"/>
            <w:vAlign w:val="center"/>
          </w:tcPr>
          <w:p>
            <w:pPr>
              <w:jc w:val="center"/>
              <w:rPr>
                <w:rFonts w:hint="eastAsia"/>
                <w:color w:val="000000"/>
                <w:szCs w:val="21"/>
              </w:rPr>
            </w:pPr>
          </w:p>
        </w:tc>
        <w:tc>
          <w:tcPr>
            <w:tcW w:w="1496" w:type="dxa"/>
            <w:noWrap w:val="0"/>
            <w:vAlign w:val="center"/>
          </w:tcPr>
          <w:p>
            <w:pPr>
              <w:jc w:val="center"/>
              <w:rPr>
                <w:rFonts w:hint="eastAsia"/>
                <w:color w:val="000000"/>
                <w:szCs w:val="21"/>
              </w:rPr>
            </w:pPr>
          </w:p>
        </w:tc>
        <w:tc>
          <w:tcPr>
            <w:tcW w:w="1508"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7" w:type="dxa"/>
            <w:noWrap w:val="0"/>
            <w:vAlign w:val="center"/>
          </w:tcPr>
          <w:p>
            <w:pPr>
              <w:jc w:val="center"/>
              <w:rPr>
                <w:rFonts w:hint="eastAsia"/>
                <w:color w:val="000000"/>
                <w:szCs w:val="21"/>
              </w:rPr>
            </w:pPr>
          </w:p>
        </w:tc>
        <w:tc>
          <w:tcPr>
            <w:tcW w:w="1137" w:type="dxa"/>
            <w:noWrap w:val="0"/>
            <w:vAlign w:val="center"/>
          </w:tcPr>
          <w:p>
            <w:pPr>
              <w:jc w:val="center"/>
              <w:rPr>
                <w:rFonts w:hint="eastAsia"/>
                <w:color w:val="000000"/>
                <w:szCs w:val="21"/>
              </w:rPr>
            </w:pPr>
          </w:p>
        </w:tc>
        <w:tc>
          <w:tcPr>
            <w:tcW w:w="2284" w:type="dxa"/>
            <w:noWrap w:val="0"/>
            <w:vAlign w:val="center"/>
          </w:tcPr>
          <w:p>
            <w:pPr>
              <w:rPr>
                <w:rFonts w:hint="eastAsia"/>
                <w:color w:val="000000"/>
                <w:szCs w:val="21"/>
              </w:rPr>
            </w:pPr>
          </w:p>
        </w:tc>
        <w:tc>
          <w:tcPr>
            <w:tcW w:w="1080" w:type="dxa"/>
            <w:noWrap w:val="0"/>
            <w:vAlign w:val="center"/>
          </w:tcPr>
          <w:p>
            <w:pPr>
              <w:jc w:val="center"/>
              <w:rPr>
                <w:rFonts w:hint="eastAsia"/>
                <w:color w:val="000000"/>
                <w:szCs w:val="21"/>
              </w:rPr>
            </w:pPr>
          </w:p>
        </w:tc>
        <w:tc>
          <w:tcPr>
            <w:tcW w:w="1496" w:type="dxa"/>
            <w:noWrap w:val="0"/>
            <w:vAlign w:val="center"/>
          </w:tcPr>
          <w:p>
            <w:pPr>
              <w:jc w:val="center"/>
              <w:rPr>
                <w:rFonts w:hint="eastAsia"/>
                <w:color w:val="000000"/>
                <w:szCs w:val="21"/>
              </w:rPr>
            </w:pPr>
          </w:p>
        </w:tc>
        <w:tc>
          <w:tcPr>
            <w:tcW w:w="1508"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7" w:type="dxa"/>
            <w:noWrap w:val="0"/>
            <w:vAlign w:val="center"/>
          </w:tcPr>
          <w:p>
            <w:pPr>
              <w:jc w:val="center"/>
              <w:rPr>
                <w:rFonts w:hint="eastAsia"/>
                <w:color w:val="000000"/>
                <w:szCs w:val="21"/>
              </w:rPr>
            </w:pPr>
          </w:p>
        </w:tc>
        <w:tc>
          <w:tcPr>
            <w:tcW w:w="1137" w:type="dxa"/>
            <w:noWrap w:val="0"/>
            <w:vAlign w:val="center"/>
          </w:tcPr>
          <w:p>
            <w:pPr>
              <w:jc w:val="center"/>
              <w:rPr>
                <w:rFonts w:hint="eastAsia"/>
                <w:color w:val="000000"/>
                <w:szCs w:val="21"/>
              </w:rPr>
            </w:pPr>
          </w:p>
        </w:tc>
        <w:tc>
          <w:tcPr>
            <w:tcW w:w="2284" w:type="dxa"/>
            <w:noWrap w:val="0"/>
            <w:vAlign w:val="center"/>
          </w:tcPr>
          <w:p>
            <w:pPr>
              <w:rPr>
                <w:rFonts w:hint="eastAsia"/>
                <w:color w:val="000000"/>
                <w:szCs w:val="21"/>
              </w:rPr>
            </w:pPr>
          </w:p>
        </w:tc>
        <w:tc>
          <w:tcPr>
            <w:tcW w:w="1080" w:type="dxa"/>
            <w:noWrap w:val="0"/>
            <w:vAlign w:val="center"/>
          </w:tcPr>
          <w:p>
            <w:pPr>
              <w:jc w:val="center"/>
              <w:rPr>
                <w:rFonts w:hint="eastAsia"/>
                <w:color w:val="000000"/>
                <w:szCs w:val="21"/>
              </w:rPr>
            </w:pPr>
          </w:p>
        </w:tc>
        <w:tc>
          <w:tcPr>
            <w:tcW w:w="1496" w:type="dxa"/>
            <w:noWrap w:val="0"/>
            <w:vAlign w:val="center"/>
          </w:tcPr>
          <w:p>
            <w:pPr>
              <w:jc w:val="center"/>
              <w:rPr>
                <w:rFonts w:hint="eastAsia"/>
                <w:color w:val="000000"/>
                <w:szCs w:val="21"/>
              </w:rPr>
            </w:pPr>
          </w:p>
        </w:tc>
        <w:tc>
          <w:tcPr>
            <w:tcW w:w="1508"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7" w:type="dxa"/>
            <w:noWrap w:val="0"/>
            <w:vAlign w:val="center"/>
          </w:tcPr>
          <w:p>
            <w:pPr>
              <w:jc w:val="center"/>
              <w:rPr>
                <w:rFonts w:hint="eastAsia"/>
                <w:color w:val="000000"/>
                <w:szCs w:val="21"/>
              </w:rPr>
            </w:pPr>
          </w:p>
        </w:tc>
        <w:tc>
          <w:tcPr>
            <w:tcW w:w="1137" w:type="dxa"/>
            <w:noWrap w:val="0"/>
            <w:vAlign w:val="center"/>
          </w:tcPr>
          <w:p>
            <w:pPr>
              <w:jc w:val="center"/>
              <w:rPr>
                <w:rFonts w:hint="eastAsia"/>
                <w:color w:val="000000"/>
                <w:szCs w:val="21"/>
              </w:rPr>
            </w:pPr>
          </w:p>
        </w:tc>
        <w:tc>
          <w:tcPr>
            <w:tcW w:w="2284" w:type="dxa"/>
            <w:noWrap w:val="0"/>
            <w:vAlign w:val="center"/>
          </w:tcPr>
          <w:p>
            <w:pPr>
              <w:rPr>
                <w:rFonts w:hint="eastAsia"/>
                <w:color w:val="000000"/>
                <w:szCs w:val="21"/>
              </w:rPr>
            </w:pPr>
          </w:p>
        </w:tc>
        <w:tc>
          <w:tcPr>
            <w:tcW w:w="1080" w:type="dxa"/>
            <w:noWrap w:val="0"/>
            <w:vAlign w:val="center"/>
          </w:tcPr>
          <w:p>
            <w:pPr>
              <w:jc w:val="center"/>
              <w:rPr>
                <w:rFonts w:hint="eastAsia"/>
                <w:color w:val="000000"/>
                <w:szCs w:val="21"/>
              </w:rPr>
            </w:pPr>
          </w:p>
        </w:tc>
        <w:tc>
          <w:tcPr>
            <w:tcW w:w="1496" w:type="dxa"/>
            <w:noWrap w:val="0"/>
            <w:vAlign w:val="center"/>
          </w:tcPr>
          <w:p>
            <w:pPr>
              <w:jc w:val="center"/>
              <w:rPr>
                <w:rFonts w:hint="eastAsia"/>
                <w:color w:val="000000"/>
                <w:szCs w:val="21"/>
              </w:rPr>
            </w:pPr>
          </w:p>
        </w:tc>
        <w:tc>
          <w:tcPr>
            <w:tcW w:w="1508"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7" w:type="dxa"/>
            <w:noWrap w:val="0"/>
            <w:vAlign w:val="center"/>
          </w:tcPr>
          <w:p>
            <w:pPr>
              <w:jc w:val="center"/>
              <w:rPr>
                <w:rFonts w:hint="eastAsia"/>
                <w:color w:val="000000"/>
                <w:szCs w:val="21"/>
              </w:rPr>
            </w:pPr>
          </w:p>
        </w:tc>
        <w:tc>
          <w:tcPr>
            <w:tcW w:w="1137" w:type="dxa"/>
            <w:noWrap w:val="0"/>
            <w:vAlign w:val="center"/>
          </w:tcPr>
          <w:p>
            <w:pPr>
              <w:jc w:val="center"/>
              <w:rPr>
                <w:rFonts w:hint="eastAsia"/>
                <w:color w:val="000000"/>
                <w:szCs w:val="21"/>
              </w:rPr>
            </w:pPr>
          </w:p>
        </w:tc>
        <w:tc>
          <w:tcPr>
            <w:tcW w:w="2284" w:type="dxa"/>
            <w:noWrap w:val="0"/>
            <w:vAlign w:val="center"/>
          </w:tcPr>
          <w:p>
            <w:pPr>
              <w:rPr>
                <w:rFonts w:hint="eastAsia"/>
                <w:color w:val="000000"/>
                <w:szCs w:val="21"/>
              </w:rPr>
            </w:pPr>
          </w:p>
        </w:tc>
        <w:tc>
          <w:tcPr>
            <w:tcW w:w="1080" w:type="dxa"/>
            <w:noWrap w:val="0"/>
            <w:vAlign w:val="center"/>
          </w:tcPr>
          <w:p>
            <w:pPr>
              <w:jc w:val="center"/>
              <w:rPr>
                <w:rFonts w:hint="eastAsia"/>
                <w:color w:val="000000"/>
                <w:szCs w:val="21"/>
              </w:rPr>
            </w:pPr>
          </w:p>
        </w:tc>
        <w:tc>
          <w:tcPr>
            <w:tcW w:w="1496" w:type="dxa"/>
            <w:noWrap w:val="0"/>
            <w:vAlign w:val="center"/>
          </w:tcPr>
          <w:p>
            <w:pPr>
              <w:jc w:val="center"/>
              <w:rPr>
                <w:rFonts w:hint="eastAsia"/>
                <w:color w:val="000000"/>
                <w:szCs w:val="21"/>
              </w:rPr>
            </w:pPr>
          </w:p>
        </w:tc>
        <w:tc>
          <w:tcPr>
            <w:tcW w:w="1508"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7" w:type="dxa"/>
            <w:noWrap w:val="0"/>
            <w:vAlign w:val="center"/>
          </w:tcPr>
          <w:p>
            <w:pPr>
              <w:jc w:val="center"/>
              <w:rPr>
                <w:rFonts w:hint="eastAsia"/>
                <w:color w:val="000000"/>
                <w:szCs w:val="21"/>
              </w:rPr>
            </w:pPr>
          </w:p>
        </w:tc>
        <w:tc>
          <w:tcPr>
            <w:tcW w:w="1137" w:type="dxa"/>
            <w:noWrap w:val="0"/>
            <w:vAlign w:val="center"/>
          </w:tcPr>
          <w:p>
            <w:pPr>
              <w:jc w:val="center"/>
              <w:rPr>
                <w:rFonts w:hint="eastAsia"/>
                <w:color w:val="000000"/>
                <w:szCs w:val="21"/>
              </w:rPr>
            </w:pPr>
          </w:p>
        </w:tc>
        <w:tc>
          <w:tcPr>
            <w:tcW w:w="2284" w:type="dxa"/>
            <w:noWrap w:val="0"/>
            <w:vAlign w:val="center"/>
          </w:tcPr>
          <w:p>
            <w:pPr>
              <w:rPr>
                <w:rFonts w:hint="eastAsia"/>
                <w:color w:val="000000"/>
                <w:szCs w:val="21"/>
              </w:rPr>
            </w:pPr>
          </w:p>
        </w:tc>
        <w:tc>
          <w:tcPr>
            <w:tcW w:w="1080" w:type="dxa"/>
            <w:noWrap w:val="0"/>
            <w:vAlign w:val="center"/>
          </w:tcPr>
          <w:p>
            <w:pPr>
              <w:jc w:val="center"/>
              <w:rPr>
                <w:rFonts w:hint="eastAsia"/>
                <w:color w:val="000000"/>
                <w:szCs w:val="21"/>
              </w:rPr>
            </w:pPr>
          </w:p>
        </w:tc>
        <w:tc>
          <w:tcPr>
            <w:tcW w:w="1496" w:type="dxa"/>
            <w:noWrap w:val="0"/>
            <w:vAlign w:val="center"/>
          </w:tcPr>
          <w:p>
            <w:pPr>
              <w:jc w:val="center"/>
              <w:rPr>
                <w:rFonts w:hint="eastAsia"/>
                <w:color w:val="000000"/>
                <w:szCs w:val="21"/>
              </w:rPr>
            </w:pPr>
          </w:p>
        </w:tc>
        <w:tc>
          <w:tcPr>
            <w:tcW w:w="1508"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7" w:type="dxa"/>
            <w:noWrap w:val="0"/>
            <w:vAlign w:val="center"/>
          </w:tcPr>
          <w:p>
            <w:pPr>
              <w:jc w:val="center"/>
              <w:rPr>
                <w:rFonts w:hint="eastAsia"/>
                <w:color w:val="000000"/>
                <w:szCs w:val="21"/>
              </w:rPr>
            </w:pPr>
          </w:p>
        </w:tc>
        <w:tc>
          <w:tcPr>
            <w:tcW w:w="1137" w:type="dxa"/>
            <w:noWrap w:val="0"/>
            <w:vAlign w:val="center"/>
          </w:tcPr>
          <w:p>
            <w:pPr>
              <w:jc w:val="center"/>
              <w:rPr>
                <w:rFonts w:hint="eastAsia"/>
                <w:color w:val="000000"/>
                <w:szCs w:val="21"/>
              </w:rPr>
            </w:pPr>
          </w:p>
        </w:tc>
        <w:tc>
          <w:tcPr>
            <w:tcW w:w="2284"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496" w:type="dxa"/>
            <w:noWrap w:val="0"/>
            <w:vAlign w:val="center"/>
          </w:tcPr>
          <w:p>
            <w:pPr>
              <w:jc w:val="center"/>
              <w:rPr>
                <w:rFonts w:hint="eastAsia"/>
                <w:color w:val="000000"/>
                <w:szCs w:val="21"/>
              </w:rPr>
            </w:pPr>
          </w:p>
        </w:tc>
        <w:tc>
          <w:tcPr>
            <w:tcW w:w="1508"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7" w:type="dxa"/>
            <w:noWrap w:val="0"/>
            <w:vAlign w:val="center"/>
          </w:tcPr>
          <w:p>
            <w:pPr>
              <w:jc w:val="center"/>
              <w:rPr>
                <w:rFonts w:hint="eastAsia"/>
                <w:color w:val="000000"/>
                <w:szCs w:val="21"/>
              </w:rPr>
            </w:pPr>
          </w:p>
        </w:tc>
        <w:tc>
          <w:tcPr>
            <w:tcW w:w="1137" w:type="dxa"/>
            <w:noWrap w:val="0"/>
            <w:vAlign w:val="center"/>
          </w:tcPr>
          <w:p>
            <w:pPr>
              <w:jc w:val="center"/>
              <w:rPr>
                <w:rFonts w:hint="eastAsia"/>
                <w:color w:val="000000"/>
                <w:szCs w:val="21"/>
              </w:rPr>
            </w:pPr>
          </w:p>
        </w:tc>
        <w:tc>
          <w:tcPr>
            <w:tcW w:w="2284"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496" w:type="dxa"/>
            <w:noWrap w:val="0"/>
            <w:vAlign w:val="center"/>
          </w:tcPr>
          <w:p>
            <w:pPr>
              <w:jc w:val="center"/>
              <w:rPr>
                <w:rFonts w:hint="eastAsia"/>
                <w:color w:val="000000"/>
                <w:szCs w:val="21"/>
              </w:rPr>
            </w:pPr>
          </w:p>
        </w:tc>
        <w:tc>
          <w:tcPr>
            <w:tcW w:w="1508"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7" w:type="dxa"/>
            <w:noWrap w:val="0"/>
            <w:vAlign w:val="center"/>
          </w:tcPr>
          <w:p>
            <w:pPr>
              <w:jc w:val="center"/>
              <w:rPr>
                <w:rFonts w:hint="eastAsia"/>
                <w:color w:val="000000"/>
                <w:szCs w:val="21"/>
              </w:rPr>
            </w:pPr>
          </w:p>
        </w:tc>
        <w:tc>
          <w:tcPr>
            <w:tcW w:w="1137" w:type="dxa"/>
            <w:noWrap w:val="0"/>
            <w:vAlign w:val="center"/>
          </w:tcPr>
          <w:p>
            <w:pPr>
              <w:jc w:val="center"/>
              <w:rPr>
                <w:rFonts w:hint="eastAsia"/>
                <w:color w:val="000000"/>
                <w:szCs w:val="21"/>
              </w:rPr>
            </w:pPr>
          </w:p>
        </w:tc>
        <w:tc>
          <w:tcPr>
            <w:tcW w:w="2284"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496" w:type="dxa"/>
            <w:noWrap w:val="0"/>
            <w:vAlign w:val="center"/>
          </w:tcPr>
          <w:p>
            <w:pPr>
              <w:jc w:val="center"/>
              <w:rPr>
                <w:rFonts w:hint="eastAsia"/>
                <w:color w:val="000000"/>
                <w:szCs w:val="21"/>
              </w:rPr>
            </w:pPr>
          </w:p>
        </w:tc>
        <w:tc>
          <w:tcPr>
            <w:tcW w:w="1508"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7" w:type="dxa"/>
            <w:noWrap w:val="0"/>
            <w:vAlign w:val="center"/>
          </w:tcPr>
          <w:p>
            <w:pPr>
              <w:jc w:val="center"/>
              <w:rPr>
                <w:rFonts w:hint="eastAsia"/>
                <w:color w:val="000000"/>
                <w:szCs w:val="21"/>
              </w:rPr>
            </w:pPr>
          </w:p>
        </w:tc>
        <w:tc>
          <w:tcPr>
            <w:tcW w:w="1137" w:type="dxa"/>
            <w:noWrap w:val="0"/>
            <w:vAlign w:val="center"/>
          </w:tcPr>
          <w:p>
            <w:pPr>
              <w:jc w:val="center"/>
              <w:rPr>
                <w:rFonts w:hint="eastAsia"/>
                <w:color w:val="000000"/>
                <w:szCs w:val="21"/>
              </w:rPr>
            </w:pPr>
          </w:p>
        </w:tc>
        <w:tc>
          <w:tcPr>
            <w:tcW w:w="2284"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496" w:type="dxa"/>
            <w:noWrap w:val="0"/>
            <w:vAlign w:val="center"/>
          </w:tcPr>
          <w:p>
            <w:pPr>
              <w:jc w:val="center"/>
              <w:rPr>
                <w:rFonts w:hint="eastAsia"/>
                <w:color w:val="000000"/>
                <w:szCs w:val="21"/>
              </w:rPr>
            </w:pPr>
          </w:p>
        </w:tc>
        <w:tc>
          <w:tcPr>
            <w:tcW w:w="1508"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7" w:type="dxa"/>
            <w:noWrap w:val="0"/>
            <w:vAlign w:val="center"/>
          </w:tcPr>
          <w:p>
            <w:pPr>
              <w:jc w:val="center"/>
              <w:rPr>
                <w:rFonts w:hint="eastAsia"/>
                <w:color w:val="000000"/>
                <w:szCs w:val="21"/>
              </w:rPr>
            </w:pPr>
          </w:p>
        </w:tc>
        <w:tc>
          <w:tcPr>
            <w:tcW w:w="1137" w:type="dxa"/>
            <w:noWrap w:val="0"/>
            <w:vAlign w:val="center"/>
          </w:tcPr>
          <w:p>
            <w:pPr>
              <w:jc w:val="center"/>
              <w:rPr>
                <w:rFonts w:hint="eastAsia"/>
                <w:color w:val="000000"/>
                <w:szCs w:val="21"/>
              </w:rPr>
            </w:pPr>
          </w:p>
        </w:tc>
        <w:tc>
          <w:tcPr>
            <w:tcW w:w="2284"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496" w:type="dxa"/>
            <w:noWrap w:val="0"/>
            <w:vAlign w:val="center"/>
          </w:tcPr>
          <w:p>
            <w:pPr>
              <w:jc w:val="center"/>
              <w:rPr>
                <w:rFonts w:hint="eastAsia"/>
                <w:color w:val="000000"/>
                <w:szCs w:val="21"/>
              </w:rPr>
            </w:pPr>
          </w:p>
        </w:tc>
        <w:tc>
          <w:tcPr>
            <w:tcW w:w="1508"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7" w:type="dxa"/>
            <w:noWrap w:val="0"/>
            <w:vAlign w:val="center"/>
          </w:tcPr>
          <w:p>
            <w:pPr>
              <w:jc w:val="center"/>
              <w:rPr>
                <w:rFonts w:hint="eastAsia"/>
                <w:color w:val="000000"/>
                <w:szCs w:val="21"/>
              </w:rPr>
            </w:pPr>
          </w:p>
        </w:tc>
        <w:tc>
          <w:tcPr>
            <w:tcW w:w="1137" w:type="dxa"/>
            <w:noWrap w:val="0"/>
            <w:vAlign w:val="center"/>
          </w:tcPr>
          <w:p>
            <w:pPr>
              <w:jc w:val="center"/>
              <w:rPr>
                <w:rFonts w:hint="eastAsia"/>
                <w:color w:val="000000"/>
                <w:szCs w:val="21"/>
              </w:rPr>
            </w:pPr>
          </w:p>
        </w:tc>
        <w:tc>
          <w:tcPr>
            <w:tcW w:w="2284"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1496" w:type="dxa"/>
            <w:noWrap w:val="0"/>
            <w:vAlign w:val="center"/>
          </w:tcPr>
          <w:p>
            <w:pPr>
              <w:jc w:val="center"/>
              <w:rPr>
                <w:rFonts w:hint="eastAsia"/>
                <w:color w:val="000000"/>
                <w:szCs w:val="21"/>
              </w:rPr>
            </w:pPr>
          </w:p>
        </w:tc>
        <w:tc>
          <w:tcPr>
            <w:tcW w:w="1508"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968" w:type="dxa"/>
            <w:gridSpan w:val="4"/>
            <w:noWrap w:val="0"/>
            <w:vAlign w:val="center"/>
          </w:tcPr>
          <w:p>
            <w:pPr>
              <w:jc w:val="center"/>
              <w:rPr>
                <w:rFonts w:hint="eastAsia"/>
                <w:color w:val="000000"/>
                <w:szCs w:val="21"/>
              </w:rPr>
            </w:pPr>
            <w:r>
              <w:rPr>
                <w:rFonts w:hint="eastAsia"/>
                <w:color w:val="000000"/>
                <w:szCs w:val="21"/>
              </w:rPr>
              <w:t>合计</w:t>
            </w:r>
          </w:p>
        </w:tc>
        <w:tc>
          <w:tcPr>
            <w:tcW w:w="1496" w:type="dxa"/>
            <w:noWrap w:val="0"/>
            <w:vAlign w:val="center"/>
          </w:tcPr>
          <w:p>
            <w:pPr>
              <w:jc w:val="center"/>
              <w:rPr>
                <w:rFonts w:hint="eastAsia"/>
                <w:color w:val="000000"/>
                <w:szCs w:val="21"/>
              </w:rPr>
            </w:pPr>
          </w:p>
        </w:tc>
        <w:tc>
          <w:tcPr>
            <w:tcW w:w="1508" w:type="dxa"/>
            <w:noWrap w:val="0"/>
            <w:vAlign w:val="center"/>
          </w:tcPr>
          <w:p>
            <w:pPr>
              <w:jc w:val="center"/>
              <w:rPr>
                <w:rFonts w:hint="eastAsia"/>
                <w:color w:val="000000"/>
                <w:szCs w:val="21"/>
              </w:rPr>
            </w:pPr>
          </w:p>
        </w:tc>
        <w:tc>
          <w:tcPr>
            <w:tcW w:w="900" w:type="dxa"/>
            <w:noWrap w:val="0"/>
            <w:vAlign w:val="center"/>
          </w:tcPr>
          <w:p>
            <w:pPr>
              <w:jc w:val="center"/>
              <w:rPr>
                <w:rFonts w:hint="eastAsia"/>
                <w:color w:val="000000"/>
                <w:szCs w:val="21"/>
              </w:rPr>
            </w:pPr>
          </w:p>
        </w:tc>
      </w:tr>
    </w:tbl>
    <w:p>
      <w:pPr>
        <w:rPr>
          <w:rFonts w:hint="eastAsia"/>
          <w:color w:val="000000"/>
          <w:szCs w:val="21"/>
        </w:rPr>
      </w:pPr>
      <w:r>
        <w:rPr>
          <w:rFonts w:hint="eastAsia"/>
          <w:color w:val="000000"/>
          <w:szCs w:val="21"/>
        </w:rPr>
        <w:t>注：以项计算的总价措施，无计算基础和费率的数值，可只填写金额数值，但应在备注栏说明施工方案出处或计算方法。</w:t>
      </w:r>
    </w:p>
    <w:p>
      <w:pPr>
        <w:jc w:val="right"/>
        <w:rPr>
          <w:rFonts w:hint="eastAsia"/>
          <w:color w:val="000000"/>
          <w:szCs w:val="21"/>
        </w:rPr>
      </w:pPr>
    </w:p>
    <w:p>
      <w:pPr>
        <w:spacing w:line="360" w:lineRule="auto"/>
        <w:ind w:firstLine="630" w:firstLineChars="300"/>
        <w:jc w:val="left"/>
        <w:rPr>
          <w:rFonts w:hint="eastAsia" w:ascii="宋体" w:hAnsi="宋体"/>
          <w:color w:val="000000"/>
          <w:szCs w:val="21"/>
        </w:rPr>
      </w:pPr>
    </w:p>
    <w:p>
      <w:pPr>
        <w:spacing w:line="360" w:lineRule="auto"/>
        <w:ind w:firstLine="630" w:firstLineChars="300"/>
        <w:jc w:val="left"/>
        <w:rPr>
          <w:rFonts w:ascii="宋体" w:hAnsi="宋体" w:cs="宋体"/>
          <w:color w:val="000000"/>
          <w:szCs w:val="21"/>
        </w:rPr>
      </w:pPr>
      <w:r>
        <w:rPr>
          <w:rFonts w:hint="eastAsia" w:ascii="宋体" w:hAnsi="宋体"/>
          <w:color w:val="000000"/>
          <w:szCs w:val="21"/>
        </w:rPr>
        <w:t>表11</w:t>
      </w:r>
      <w:r>
        <w:rPr>
          <w:rFonts w:hint="eastAsia" w:ascii="宋体" w:hAnsi="宋体" w:cs="宋体"/>
          <w:color w:val="000000"/>
          <w:szCs w:val="21"/>
        </w:rPr>
        <w:t>其他项目费用汇总表</w:t>
      </w:r>
    </w:p>
    <w:p>
      <w:pPr>
        <w:jc w:val="center"/>
        <w:rPr>
          <w:rFonts w:hint="eastAsia"/>
          <w:b/>
          <w:color w:val="000000"/>
          <w:sz w:val="36"/>
          <w:szCs w:val="36"/>
        </w:rPr>
      </w:pPr>
      <w:r>
        <w:rPr>
          <w:rFonts w:hint="eastAsia"/>
          <w:b/>
          <w:color w:val="000000"/>
          <w:sz w:val="36"/>
          <w:szCs w:val="36"/>
        </w:rPr>
        <w:t>其他项目费用汇总表</w:t>
      </w:r>
    </w:p>
    <w:p>
      <w:pPr>
        <w:rPr>
          <w:rFonts w:hint="eastAsia"/>
          <w:color w:val="000000"/>
          <w:sz w:val="24"/>
        </w:rPr>
      </w:pPr>
      <w:r>
        <w:rPr>
          <w:rFonts w:hint="eastAsia"/>
          <w:color w:val="000000"/>
          <w:sz w:val="24"/>
        </w:rPr>
        <w:t>工程名称：                                              第  页  共  页</w:t>
      </w:r>
    </w:p>
    <w:tbl>
      <w:tblPr>
        <w:tblStyle w:val="83"/>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342"/>
        <w:gridCol w:w="3418"/>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r>
              <w:rPr>
                <w:rFonts w:hint="eastAsia"/>
                <w:color w:val="000000"/>
                <w:szCs w:val="21"/>
              </w:rPr>
              <w:t>序号</w:t>
            </w:r>
          </w:p>
        </w:tc>
        <w:tc>
          <w:tcPr>
            <w:tcW w:w="2342" w:type="dxa"/>
            <w:noWrap w:val="0"/>
            <w:vAlign w:val="center"/>
          </w:tcPr>
          <w:p>
            <w:pPr>
              <w:jc w:val="center"/>
              <w:rPr>
                <w:rFonts w:hint="eastAsia"/>
                <w:color w:val="000000"/>
                <w:szCs w:val="21"/>
              </w:rPr>
            </w:pPr>
            <w:r>
              <w:rPr>
                <w:rFonts w:hint="eastAsia"/>
                <w:color w:val="000000"/>
                <w:szCs w:val="21"/>
              </w:rPr>
              <w:t>项目名称</w:t>
            </w:r>
          </w:p>
        </w:tc>
        <w:tc>
          <w:tcPr>
            <w:tcW w:w="3418" w:type="dxa"/>
            <w:noWrap w:val="0"/>
            <w:vAlign w:val="center"/>
          </w:tcPr>
          <w:p>
            <w:pPr>
              <w:jc w:val="center"/>
              <w:rPr>
                <w:rFonts w:hint="eastAsia"/>
                <w:color w:val="000000"/>
                <w:szCs w:val="21"/>
              </w:rPr>
            </w:pPr>
            <w:r>
              <w:rPr>
                <w:rFonts w:hint="eastAsia"/>
                <w:color w:val="000000"/>
                <w:szCs w:val="21"/>
              </w:rPr>
              <w:t>金额（元）</w:t>
            </w:r>
          </w:p>
        </w:tc>
        <w:tc>
          <w:tcPr>
            <w:tcW w:w="2160" w:type="dxa"/>
            <w:noWrap w:val="0"/>
            <w:vAlign w:val="center"/>
          </w:tcPr>
          <w:p>
            <w:pPr>
              <w:jc w:val="center"/>
              <w:rPr>
                <w:rFonts w:hint="eastAsia"/>
                <w:color w:val="000000"/>
                <w:szCs w:val="21"/>
              </w:rPr>
            </w:pPr>
            <w:r>
              <w:rPr>
                <w:rFonts w:hint="eastAsia"/>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r>
              <w:rPr>
                <w:rFonts w:hint="eastAsia"/>
                <w:color w:val="000000"/>
                <w:szCs w:val="21"/>
              </w:rPr>
              <w:t>1</w:t>
            </w:r>
          </w:p>
        </w:tc>
        <w:tc>
          <w:tcPr>
            <w:tcW w:w="2342" w:type="dxa"/>
            <w:noWrap w:val="0"/>
            <w:vAlign w:val="center"/>
          </w:tcPr>
          <w:p>
            <w:pPr>
              <w:rPr>
                <w:rFonts w:hint="eastAsia"/>
                <w:color w:val="000000"/>
                <w:szCs w:val="21"/>
              </w:rPr>
            </w:pPr>
            <w:r>
              <w:rPr>
                <w:rFonts w:hint="eastAsia"/>
                <w:color w:val="000000"/>
                <w:szCs w:val="21"/>
              </w:rPr>
              <w:t>暂列金额</w:t>
            </w:r>
          </w:p>
        </w:tc>
        <w:tc>
          <w:tcPr>
            <w:tcW w:w="3418" w:type="dxa"/>
            <w:noWrap w:val="0"/>
            <w:vAlign w:val="center"/>
          </w:tcPr>
          <w:p>
            <w:pPr>
              <w:jc w:val="center"/>
              <w:rPr>
                <w:rFonts w:hint="eastAsia"/>
                <w:color w:val="000000"/>
                <w:szCs w:val="21"/>
              </w:rPr>
            </w:pPr>
          </w:p>
        </w:tc>
        <w:tc>
          <w:tcPr>
            <w:tcW w:w="2160" w:type="dxa"/>
            <w:noWrap w:val="0"/>
            <w:vAlign w:val="center"/>
          </w:tcPr>
          <w:p>
            <w:pP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r>
              <w:rPr>
                <w:rFonts w:hint="eastAsia"/>
                <w:color w:val="000000"/>
                <w:szCs w:val="21"/>
              </w:rPr>
              <w:t>2</w:t>
            </w:r>
          </w:p>
        </w:tc>
        <w:tc>
          <w:tcPr>
            <w:tcW w:w="2342" w:type="dxa"/>
            <w:noWrap w:val="0"/>
            <w:vAlign w:val="center"/>
          </w:tcPr>
          <w:p>
            <w:pPr>
              <w:rPr>
                <w:rFonts w:hint="eastAsia"/>
                <w:color w:val="000000"/>
                <w:szCs w:val="21"/>
              </w:rPr>
            </w:pPr>
            <w:r>
              <w:rPr>
                <w:rFonts w:hint="eastAsia"/>
                <w:color w:val="000000"/>
                <w:szCs w:val="21"/>
              </w:rPr>
              <w:t>材料暂估价</w:t>
            </w:r>
          </w:p>
        </w:tc>
        <w:tc>
          <w:tcPr>
            <w:tcW w:w="3418" w:type="dxa"/>
            <w:noWrap w:val="0"/>
            <w:vAlign w:val="center"/>
          </w:tcPr>
          <w:p>
            <w:pPr>
              <w:jc w:val="center"/>
              <w:rPr>
                <w:rFonts w:hint="eastAsia"/>
                <w:color w:val="000000"/>
                <w:szCs w:val="21"/>
              </w:rPr>
            </w:pPr>
            <w:r>
              <w:rPr>
                <w:rFonts w:hint="eastAsia"/>
                <w:color w:val="000000"/>
                <w:szCs w:val="21"/>
              </w:rPr>
              <w:t>—</w:t>
            </w:r>
          </w:p>
        </w:tc>
        <w:tc>
          <w:tcPr>
            <w:tcW w:w="2160" w:type="dxa"/>
            <w:noWrap w:val="0"/>
            <w:vAlign w:val="center"/>
          </w:tcPr>
          <w:p>
            <w:pP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r>
              <w:rPr>
                <w:rFonts w:hint="eastAsia"/>
                <w:color w:val="000000"/>
                <w:szCs w:val="21"/>
              </w:rPr>
              <w:t>3</w:t>
            </w:r>
          </w:p>
        </w:tc>
        <w:tc>
          <w:tcPr>
            <w:tcW w:w="2342" w:type="dxa"/>
            <w:noWrap w:val="0"/>
            <w:vAlign w:val="center"/>
          </w:tcPr>
          <w:p>
            <w:pPr>
              <w:rPr>
                <w:rFonts w:hint="eastAsia"/>
                <w:color w:val="000000"/>
                <w:szCs w:val="21"/>
              </w:rPr>
            </w:pPr>
            <w:r>
              <w:rPr>
                <w:rFonts w:hint="eastAsia"/>
                <w:color w:val="000000"/>
                <w:szCs w:val="21"/>
              </w:rPr>
              <w:t>专业工程暂估价</w:t>
            </w:r>
          </w:p>
        </w:tc>
        <w:tc>
          <w:tcPr>
            <w:tcW w:w="3418" w:type="dxa"/>
            <w:noWrap w:val="0"/>
            <w:vAlign w:val="center"/>
          </w:tcPr>
          <w:p>
            <w:pPr>
              <w:jc w:val="center"/>
              <w:rPr>
                <w:rFonts w:hint="eastAsia"/>
                <w:color w:val="000000"/>
                <w:szCs w:val="21"/>
              </w:rPr>
            </w:pPr>
          </w:p>
        </w:tc>
        <w:tc>
          <w:tcPr>
            <w:tcW w:w="2160" w:type="dxa"/>
            <w:noWrap w:val="0"/>
            <w:vAlign w:val="center"/>
          </w:tcPr>
          <w:p>
            <w:pP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r>
              <w:rPr>
                <w:rFonts w:hint="eastAsia"/>
                <w:color w:val="000000"/>
                <w:szCs w:val="21"/>
              </w:rPr>
              <w:t>4</w:t>
            </w:r>
          </w:p>
        </w:tc>
        <w:tc>
          <w:tcPr>
            <w:tcW w:w="2342" w:type="dxa"/>
            <w:noWrap w:val="0"/>
            <w:vAlign w:val="center"/>
          </w:tcPr>
          <w:p>
            <w:pPr>
              <w:rPr>
                <w:rFonts w:hint="eastAsia"/>
                <w:color w:val="000000"/>
                <w:szCs w:val="21"/>
              </w:rPr>
            </w:pPr>
            <w:r>
              <w:rPr>
                <w:rFonts w:hint="eastAsia"/>
                <w:color w:val="000000"/>
                <w:szCs w:val="21"/>
              </w:rPr>
              <w:t>总承包服务费</w:t>
            </w:r>
          </w:p>
        </w:tc>
        <w:tc>
          <w:tcPr>
            <w:tcW w:w="3418" w:type="dxa"/>
            <w:noWrap w:val="0"/>
            <w:vAlign w:val="center"/>
          </w:tcPr>
          <w:p>
            <w:pPr>
              <w:jc w:val="center"/>
              <w:rPr>
                <w:rFonts w:hint="eastAsia"/>
                <w:color w:val="000000"/>
                <w:szCs w:val="21"/>
              </w:rPr>
            </w:pPr>
          </w:p>
        </w:tc>
        <w:tc>
          <w:tcPr>
            <w:tcW w:w="2160" w:type="dxa"/>
            <w:noWrap w:val="0"/>
            <w:vAlign w:val="center"/>
          </w:tcPr>
          <w:p>
            <w:pP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342" w:type="dxa"/>
            <w:noWrap w:val="0"/>
            <w:vAlign w:val="center"/>
          </w:tcPr>
          <w:p>
            <w:pPr>
              <w:jc w:val="center"/>
              <w:rPr>
                <w:rFonts w:hint="eastAsia"/>
                <w:color w:val="000000"/>
                <w:szCs w:val="21"/>
              </w:rPr>
            </w:pPr>
          </w:p>
        </w:tc>
        <w:tc>
          <w:tcPr>
            <w:tcW w:w="341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342" w:type="dxa"/>
            <w:noWrap w:val="0"/>
            <w:vAlign w:val="center"/>
          </w:tcPr>
          <w:p>
            <w:pPr>
              <w:jc w:val="center"/>
              <w:rPr>
                <w:rFonts w:hint="eastAsia"/>
                <w:color w:val="000000"/>
                <w:szCs w:val="21"/>
              </w:rPr>
            </w:pPr>
          </w:p>
        </w:tc>
        <w:tc>
          <w:tcPr>
            <w:tcW w:w="341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342" w:type="dxa"/>
            <w:noWrap w:val="0"/>
            <w:vAlign w:val="center"/>
          </w:tcPr>
          <w:p>
            <w:pPr>
              <w:jc w:val="center"/>
              <w:rPr>
                <w:rFonts w:hint="eastAsia"/>
                <w:color w:val="000000"/>
                <w:szCs w:val="21"/>
              </w:rPr>
            </w:pPr>
          </w:p>
        </w:tc>
        <w:tc>
          <w:tcPr>
            <w:tcW w:w="341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342" w:type="dxa"/>
            <w:noWrap w:val="0"/>
            <w:vAlign w:val="center"/>
          </w:tcPr>
          <w:p>
            <w:pPr>
              <w:jc w:val="center"/>
              <w:rPr>
                <w:rFonts w:hint="eastAsia"/>
                <w:color w:val="000000"/>
                <w:szCs w:val="21"/>
              </w:rPr>
            </w:pPr>
          </w:p>
        </w:tc>
        <w:tc>
          <w:tcPr>
            <w:tcW w:w="341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342" w:type="dxa"/>
            <w:noWrap w:val="0"/>
            <w:vAlign w:val="center"/>
          </w:tcPr>
          <w:p>
            <w:pPr>
              <w:jc w:val="center"/>
              <w:rPr>
                <w:rFonts w:hint="eastAsia"/>
                <w:color w:val="000000"/>
                <w:szCs w:val="21"/>
              </w:rPr>
            </w:pPr>
          </w:p>
        </w:tc>
        <w:tc>
          <w:tcPr>
            <w:tcW w:w="341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342" w:type="dxa"/>
            <w:noWrap w:val="0"/>
            <w:vAlign w:val="center"/>
          </w:tcPr>
          <w:p>
            <w:pPr>
              <w:jc w:val="center"/>
              <w:rPr>
                <w:rFonts w:hint="eastAsia"/>
                <w:color w:val="000000"/>
                <w:szCs w:val="21"/>
              </w:rPr>
            </w:pPr>
          </w:p>
        </w:tc>
        <w:tc>
          <w:tcPr>
            <w:tcW w:w="341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342" w:type="dxa"/>
            <w:noWrap w:val="0"/>
            <w:vAlign w:val="center"/>
          </w:tcPr>
          <w:p>
            <w:pPr>
              <w:jc w:val="center"/>
              <w:rPr>
                <w:rFonts w:hint="eastAsia"/>
                <w:color w:val="000000"/>
                <w:szCs w:val="21"/>
              </w:rPr>
            </w:pPr>
          </w:p>
        </w:tc>
        <w:tc>
          <w:tcPr>
            <w:tcW w:w="341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342" w:type="dxa"/>
            <w:noWrap w:val="0"/>
            <w:vAlign w:val="center"/>
          </w:tcPr>
          <w:p>
            <w:pPr>
              <w:jc w:val="center"/>
              <w:rPr>
                <w:rFonts w:hint="eastAsia"/>
                <w:color w:val="000000"/>
                <w:szCs w:val="21"/>
              </w:rPr>
            </w:pPr>
          </w:p>
        </w:tc>
        <w:tc>
          <w:tcPr>
            <w:tcW w:w="341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342" w:type="dxa"/>
            <w:noWrap w:val="0"/>
            <w:vAlign w:val="center"/>
          </w:tcPr>
          <w:p>
            <w:pPr>
              <w:jc w:val="center"/>
              <w:rPr>
                <w:rFonts w:hint="eastAsia"/>
                <w:color w:val="000000"/>
                <w:szCs w:val="21"/>
              </w:rPr>
            </w:pPr>
          </w:p>
        </w:tc>
        <w:tc>
          <w:tcPr>
            <w:tcW w:w="341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648" w:type="dxa"/>
            <w:noWrap w:val="0"/>
            <w:vAlign w:val="center"/>
          </w:tcPr>
          <w:p>
            <w:pPr>
              <w:jc w:val="center"/>
              <w:rPr>
                <w:rFonts w:hint="eastAsia"/>
                <w:color w:val="000000"/>
                <w:szCs w:val="21"/>
              </w:rPr>
            </w:pPr>
          </w:p>
        </w:tc>
        <w:tc>
          <w:tcPr>
            <w:tcW w:w="2342" w:type="dxa"/>
            <w:noWrap w:val="0"/>
            <w:vAlign w:val="center"/>
          </w:tcPr>
          <w:p>
            <w:pPr>
              <w:jc w:val="center"/>
              <w:rPr>
                <w:rFonts w:hint="eastAsia"/>
                <w:color w:val="000000"/>
                <w:szCs w:val="21"/>
              </w:rPr>
            </w:pPr>
            <w:r>
              <w:rPr>
                <w:rFonts w:hint="eastAsia"/>
                <w:color w:val="000000"/>
                <w:szCs w:val="21"/>
              </w:rPr>
              <w:t>合计</w:t>
            </w:r>
          </w:p>
        </w:tc>
        <w:tc>
          <w:tcPr>
            <w:tcW w:w="341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r>
              <w:rPr>
                <w:rFonts w:hint="eastAsia"/>
                <w:color w:val="000000"/>
                <w:szCs w:val="21"/>
              </w:rPr>
              <w:t>—</w:t>
            </w:r>
          </w:p>
        </w:tc>
      </w:tr>
    </w:tbl>
    <w:p>
      <w:pPr>
        <w:rPr>
          <w:rFonts w:hint="eastAsia"/>
          <w:color w:val="000000"/>
          <w:szCs w:val="21"/>
        </w:rPr>
      </w:pPr>
      <w:r>
        <w:rPr>
          <w:rFonts w:hint="eastAsia"/>
          <w:color w:val="000000"/>
          <w:sz w:val="18"/>
          <w:szCs w:val="18"/>
        </w:rPr>
        <w:t>注：材料暂估单价进入项目综合单价，此处不汇总。</w:t>
      </w:r>
    </w:p>
    <w:p>
      <w:pPr>
        <w:rPr>
          <w:rFonts w:hint="eastAsia"/>
          <w:color w:val="000000"/>
          <w:szCs w:val="21"/>
        </w:rPr>
      </w:pPr>
      <w:r>
        <w:rPr>
          <w:rFonts w:hint="eastAsia"/>
          <w:color w:val="000000"/>
          <w:szCs w:val="21"/>
        </w:rPr>
        <w:t xml:space="preserve"> </w:t>
      </w:r>
    </w:p>
    <w:p>
      <w:pPr>
        <w:jc w:val="right"/>
        <w:rPr>
          <w:rFonts w:hint="eastAsia"/>
          <w:color w:val="000000"/>
          <w:szCs w:val="21"/>
        </w:rPr>
      </w:pPr>
    </w:p>
    <w:p>
      <w:pPr>
        <w:jc w:val="right"/>
        <w:rPr>
          <w:rFonts w:hint="eastAsia"/>
          <w:color w:val="000000"/>
          <w:szCs w:val="21"/>
        </w:rPr>
      </w:pPr>
    </w:p>
    <w:p>
      <w:pPr>
        <w:spacing w:line="360" w:lineRule="auto"/>
        <w:ind w:firstLine="630" w:firstLineChars="300"/>
        <w:jc w:val="left"/>
        <w:rPr>
          <w:rFonts w:hint="eastAsia" w:ascii="宋体" w:hAnsi="宋体"/>
          <w:color w:val="000000"/>
          <w:szCs w:val="21"/>
        </w:rPr>
      </w:pPr>
    </w:p>
    <w:p>
      <w:pPr>
        <w:spacing w:line="360" w:lineRule="auto"/>
        <w:ind w:firstLine="630" w:firstLineChars="300"/>
        <w:jc w:val="left"/>
        <w:rPr>
          <w:rFonts w:hint="eastAsia" w:ascii="宋体" w:hAnsi="宋体"/>
          <w:color w:val="000000"/>
          <w:szCs w:val="21"/>
        </w:rPr>
      </w:pPr>
    </w:p>
    <w:p>
      <w:pPr>
        <w:spacing w:line="360" w:lineRule="auto"/>
        <w:ind w:firstLine="630" w:firstLineChars="300"/>
        <w:jc w:val="left"/>
        <w:rPr>
          <w:rFonts w:hint="eastAsia" w:ascii="宋体" w:hAnsi="宋体"/>
          <w:color w:val="000000"/>
          <w:szCs w:val="21"/>
        </w:rPr>
      </w:pPr>
    </w:p>
    <w:p>
      <w:pPr>
        <w:spacing w:line="360" w:lineRule="auto"/>
        <w:ind w:firstLine="630" w:firstLineChars="300"/>
        <w:jc w:val="left"/>
        <w:rPr>
          <w:rFonts w:ascii="宋体" w:hAnsi="宋体" w:cs="宋体"/>
          <w:color w:val="000000"/>
          <w:szCs w:val="21"/>
        </w:rPr>
      </w:pPr>
      <w:r>
        <w:rPr>
          <w:rFonts w:hint="eastAsia" w:ascii="宋体" w:hAnsi="宋体"/>
          <w:color w:val="000000"/>
          <w:szCs w:val="21"/>
        </w:rPr>
        <w:t>表12</w:t>
      </w:r>
      <w:r>
        <w:rPr>
          <w:rFonts w:ascii="宋体" w:hAnsi="宋体"/>
          <w:color w:val="000000"/>
          <w:szCs w:val="21"/>
        </w:rPr>
        <w:t xml:space="preserve"> </w:t>
      </w:r>
      <w:r>
        <w:rPr>
          <w:rFonts w:hint="eastAsia" w:ascii="宋体" w:hAnsi="宋体" w:cs="宋体"/>
          <w:color w:val="000000"/>
          <w:szCs w:val="21"/>
        </w:rPr>
        <w:t>暂列金额明细表</w:t>
      </w:r>
    </w:p>
    <w:p>
      <w:pPr>
        <w:jc w:val="center"/>
        <w:rPr>
          <w:rFonts w:hint="eastAsia"/>
          <w:b/>
          <w:color w:val="000000"/>
          <w:sz w:val="36"/>
          <w:szCs w:val="36"/>
        </w:rPr>
      </w:pPr>
      <w:r>
        <w:rPr>
          <w:rFonts w:hint="eastAsia"/>
          <w:b/>
          <w:color w:val="000000"/>
          <w:sz w:val="36"/>
          <w:szCs w:val="36"/>
        </w:rPr>
        <w:t>暂列金额明细表</w:t>
      </w:r>
    </w:p>
    <w:p>
      <w:pPr>
        <w:rPr>
          <w:rFonts w:hint="eastAsia"/>
          <w:color w:val="000000"/>
          <w:sz w:val="24"/>
        </w:rPr>
      </w:pPr>
      <w:r>
        <w:rPr>
          <w:rFonts w:hint="eastAsia"/>
          <w:color w:val="000000"/>
          <w:sz w:val="24"/>
        </w:rPr>
        <w:t>工程名称：                                              第  页  共  页</w:t>
      </w:r>
    </w:p>
    <w:tbl>
      <w:tblPr>
        <w:tblStyle w:val="83"/>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880"/>
        <w:gridCol w:w="1080"/>
        <w:gridCol w:w="234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r>
              <w:rPr>
                <w:rFonts w:hint="eastAsia"/>
                <w:color w:val="000000"/>
                <w:szCs w:val="21"/>
              </w:rPr>
              <w:t>序号</w:t>
            </w:r>
          </w:p>
        </w:tc>
        <w:tc>
          <w:tcPr>
            <w:tcW w:w="2880" w:type="dxa"/>
            <w:noWrap w:val="0"/>
            <w:vAlign w:val="center"/>
          </w:tcPr>
          <w:p>
            <w:pPr>
              <w:jc w:val="center"/>
              <w:rPr>
                <w:rFonts w:hint="eastAsia"/>
                <w:color w:val="000000"/>
                <w:szCs w:val="21"/>
              </w:rPr>
            </w:pPr>
            <w:r>
              <w:rPr>
                <w:rFonts w:hint="eastAsia"/>
                <w:color w:val="000000"/>
                <w:szCs w:val="21"/>
              </w:rPr>
              <w:t>项目名称</w:t>
            </w:r>
          </w:p>
        </w:tc>
        <w:tc>
          <w:tcPr>
            <w:tcW w:w="1080" w:type="dxa"/>
            <w:noWrap w:val="0"/>
            <w:vAlign w:val="center"/>
          </w:tcPr>
          <w:p>
            <w:pPr>
              <w:jc w:val="center"/>
              <w:rPr>
                <w:rFonts w:hint="eastAsia"/>
                <w:color w:val="000000"/>
                <w:szCs w:val="21"/>
              </w:rPr>
            </w:pPr>
            <w:r>
              <w:rPr>
                <w:rFonts w:hint="eastAsia"/>
                <w:color w:val="000000"/>
                <w:szCs w:val="21"/>
              </w:rPr>
              <w:t>计量单位</w:t>
            </w:r>
          </w:p>
        </w:tc>
        <w:tc>
          <w:tcPr>
            <w:tcW w:w="2340" w:type="dxa"/>
            <w:noWrap w:val="0"/>
            <w:vAlign w:val="center"/>
          </w:tcPr>
          <w:p>
            <w:pPr>
              <w:jc w:val="center"/>
              <w:rPr>
                <w:rFonts w:hint="eastAsia"/>
                <w:color w:val="000000"/>
                <w:szCs w:val="21"/>
              </w:rPr>
            </w:pPr>
            <w:r>
              <w:rPr>
                <w:rFonts w:hint="eastAsia"/>
                <w:color w:val="000000"/>
                <w:szCs w:val="21"/>
              </w:rPr>
              <w:t>暂定金额（元）</w:t>
            </w:r>
          </w:p>
        </w:tc>
        <w:tc>
          <w:tcPr>
            <w:tcW w:w="1800" w:type="dxa"/>
            <w:noWrap w:val="0"/>
            <w:vAlign w:val="center"/>
          </w:tcPr>
          <w:p>
            <w:pPr>
              <w:jc w:val="center"/>
              <w:rPr>
                <w:rFonts w:hint="eastAsia"/>
                <w:color w:val="000000"/>
                <w:szCs w:val="21"/>
              </w:rPr>
            </w:pPr>
            <w:r>
              <w:rPr>
                <w:rFonts w:hint="eastAsia"/>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8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2340" w:type="dxa"/>
            <w:noWrap w:val="0"/>
            <w:vAlign w:val="center"/>
          </w:tcPr>
          <w:p>
            <w:pPr>
              <w:jc w:val="center"/>
              <w:rPr>
                <w:rFonts w:hint="eastAsia"/>
                <w:color w:val="000000"/>
                <w:szCs w:val="21"/>
              </w:rPr>
            </w:pPr>
          </w:p>
        </w:tc>
        <w:tc>
          <w:tcPr>
            <w:tcW w:w="18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8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2340" w:type="dxa"/>
            <w:noWrap w:val="0"/>
            <w:vAlign w:val="center"/>
          </w:tcPr>
          <w:p>
            <w:pPr>
              <w:jc w:val="center"/>
              <w:rPr>
                <w:rFonts w:hint="eastAsia"/>
                <w:color w:val="000000"/>
                <w:szCs w:val="21"/>
              </w:rPr>
            </w:pPr>
          </w:p>
        </w:tc>
        <w:tc>
          <w:tcPr>
            <w:tcW w:w="18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8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2340" w:type="dxa"/>
            <w:noWrap w:val="0"/>
            <w:vAlign w:val="center"/>
          </w:tcPr>
          <w:p>
            <w:pPr>
              <w:jc w:val="center"/>
              <w:rPr>
                <w:rFonts w:hint="eastAsia"/>
                <w:color w:val="000000"/>
                <w:szCs w:val="21"/>
              </w:rPr>
            </w:pPr>
          </w:p>
        </w:tc>
        <w:tc>
          <w:tcPr>
            <w:tcW w:w="18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8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2340" w:type="dxa"/>
            <w:noWrap w:val="0"/>
            <w:vAlign w:val="center"/>
          </w:tcPr>
          <w:p>
            <w:pPr>
              <w:jc w:val="center"/>
              <w:rPr>
                <w:rFonts w:hint="eastAsia"/>
                <w:color w:val="000000"/>
                <w:szCs w:val="21"/>
              </w:rPr>
            </w:pPr>
          </w:p>
        </w:tc>
        <w:tc>
          <w:tcPr>
            <w:tcW w:w="18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8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2340" w:type="dxa"/>
            <w:noWrap w:val="0"/>
            <w:vAlign w:val="center"/>
          </w:tcPr>
          <w:p>
            <w:pPr>
              <w:jc w:val="center"/>
              <w:rPr>
                <w:rFonts w:hint="eastAsia"/>
                <w:color w:val="000000"/>
                <w:szCs w:val="21"/>
              </w:rPr>
            </w:pPr>
          </w:p>
        </w:tc>
        <w:tc>
          <w:tcPr>
            <w:tcW w:w="18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8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2340" w:type="dxa"/>
            <w:noWrap w:val="0"/>
            <w:vAlign w:val="center"/>
          </w:tcPr>
          <w:p>
            <w:pPr>
              <w:jc w:val="center"/>
              <w:rPr>
                <w:rFonts w:hint="eastAsia"/>
                <w:color w:val="000000"/>
                <w:szCs w:val="21"/>
              </w:rPr>
            </w:pPr>
          </w:p>
        </w:tc>
        <w:tc>
          <w:tcPr>
            <w:tcW w:w="18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8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2340" w:type="dxa"/>
            <w:noWrap w:val="0"/>
            <w:vAlign w:val="center"/>
          </w:tcPr>
          <w:p>
            <w:pPr>
              <w:jc w:val="center"/>
              <w:rPr>
                <w:rFonts w:hint="eastAsia"/>
                <w:color w:val="000000"/>
                <w:szCs w:val="21"/>
              </w:rPr>
            </w:pPr>
          </w:p>
        </w:tc>
        <w:tc>
          <w:tcPr>
            <w:tcW w:w="18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8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2340" w:type="dxa"/>
            <w:noWrap w:val="0"/>
            <w:vAlign w:val="center"/>
          </w:tcPr>
          <w:p>
            <w:pPr>
              <w:jc w:val="center"/>
              <w:rPr>
                <w:rFonts w:hint="eastAsia"/>
                <w:color w:val="000000"/>
                <w:szCs w:val="21"/>
              </w:rPr>
            </w:pPr>
          </w:p>
        </w:tc>
        <w:tc>
          <w:tcPr>
            <w:tcW w:w="18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8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2340" w:type="dxa"/>
            <w:noWrap w:val="0"/>
            <w:vAlign w:val="center"/>
          </w:tcPr>
          <w:p>
            <w:pPr>
              <w:jc w:val="center"/>
              <w:rPr>
                <w:rFonts w:hint="eastAsia"/>
                <w:color w:val="000000"/>
                <w:szCs w:val="21"/>
              </w:rPr>
            </w:pPr>
          </w:p>
        </w:tc>
        <w:tc>
          <w:tcPr>
            <w:tcW w:w="18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8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2340" w:type="dxa"/>
            <w:noWrap w:val="0"/>
            <w:vAlign w:val="center"/>
          </w:tcPr>
          <w:p>
            <w:pPr>
              <w:jc w:val="center"/>
              <w:rPr>
                <w:rFonts w:hint="eastAsia"/>
                <w:color w:val="000000"/>
                <w:szCs w:val="21"/>
              </w:rPr>
            </w:pPr>
          </w:p>
        </w:tc>
        <w:tc>
          <w:tcPr>
            <w:tcW w:w="18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8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2340" w:type="dxa"/>
            <w:noWrap w:val="0"/>
            <w:vAlign w:val="center"/>
          </w:tcPr>
          <w:p>
            <w:pPr>
              <w:jc w:val="center"/>
              <w:rPr>
                <w:rFonts w:hint="eastAsia"/>
                <w:color w:val="000000"/>
                <w:szCs w:val="21"/>
              </w:rPr>
            </w:pPr>
          </w:p>
        </w:tc>
        <w:tc>
          <w:tcPr>
            <w:tcW w:w="18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8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2340" w:type="dxa"/>
            <w:noWrap w:val="0"/>
            <w:vAlign w:val="center"/>
          </w:tcPr>
          <w:p>
            <w:pPr>
              <w:jc w:val="center"/>
              <w:rPr>
                <w:rFonts w:hint="eastAsia"/>
                <w:color w:val="000000"/>
                <w:szCs w:val="21"/>
              </w:rPr>
            </w:pPr>
          </w:p>
        </w:tc>
        <w:tc>
          <w:tcPr>
            <w:tcW w:w="18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8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2340" w:type="dxa"/>
            <w:noWrap w:val="0"/>
            <w:vAlign w:val="center"/>
          </w:tcPr>
          <w:p>
            <w:pPr>
              <w:jc w:val="center"/>
              <w:rPr>
                <w:rFonts w:hint="eastAsia"/>
                <w:color w:val="000000"/>
                <w:szCs w:val="21"/>
              </w:rPr>
            </w:pPr>
          </w:p>
        </w:tc>
        <w:tc>
          <w:tcPr>
            <w:tcW w:w="18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8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2340" w:type="dxa"/>
            <w:noWrap w:val="0"/>
            <w:vAlign w:val="center"/>
          </w:tcPr>
          <w:p>
            <w:pPr>
              <w:jc w:val="center"/>
              <w:rPr>
                <w:rFonts w:hint="eastAsia"/>
                <w:color w:val="000000"/>
                <w:szCs w:val="21"/>
              </w:rPr>
            </w:pPr>
          </w:p>
        </w:tc>
        <w:tc>
          <w:tcPr>
            <w:tcW w:w="18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880" w:type="dxa"/>
            <w:noWrap w:val="0"/>
            <w:vAlign w:val="center"/>
          </w:tcPr>
          <w:p>
            <w:pPr>
              <w:jc w:val="center"/>
              <w:rPr>
                <w:rFonts w:hint="eastAsia"/>
                <w:color w:val="000000"/>
                <w:szCs w:val="21"/>
              </w:rPr>
            </w:pPr>
          </w:p>
        </w:tc>
        <w:tc>
          <w:tcPr>
            <w:tcW w:w="1080" w:type="dxa"/>
            <w:noWrap w:val="0"/>
            <w:vAlign w:val="center"/>
          </w:tcPr>
          <w:p>
            <w:pPr>
              <w:jc w:val="center"/>
              <w:rPr>
                <w:rFonts w:hint="eastAsia"/>
                <w:color w:val="000000"/>
                <w:szCs w:val="21"/>
              </w:rPr>
            </w:pPr>
          </w:p>
        </w:tc>
        <w:tc>
          <w:tcPr>
            <w:tcW w:w="2340" w:type="dxa"/>
            <w:noWrap w:val="0"/>
            <w:vAlign w:val="center"/>
          </w:tcPr>
          <w:p>
            <w:pPr>
              <w:jc w:val="center"/>
              <w:rPr>
                <w:rFonts w:hint="eastAsia"/>
                <w:color w:val="000000"/>
                <w:szCs w:val="21"/>
              </w:rPr>
            </w:pPr>
          </w:p>
        </w:tc>
        <w:tc>
          <w:tcPr>
            <w:tcW w:w="180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608" w:type="dxa"/>
            <w:gridSpan w:val="3"/>
            <w:noWrap w:val="0"/>
            <w:vAlign w:val="center"/>
          </w:tcPr>
          <w:p>
            <w:pPr>
              <w:jc w:val="center"/>
              <w:rPr>
                <w:rFonts w:hint="eastAsia"/>
                <w:color w:val="000000"/>
                <w:szCs w:val="21"/>
              </w:rPr>
            </w:pPr>
            <w:r>
              <w:rPr>
                <w:rFonts w:hint="eastAsia"/>
                <w:color w:val="000000"/>
                <w:szCs w:val="21"/>
              </w:rPr>
              <w:t>合计</w:t>
            </w:r>
          </w:p>
        </w:tc>
        <w:tc>
          <w:tcPr>
            <w:tcW w:w="2340" w:type="dxa"/>
            <w:noWrap w:val="0"/>
            <w:vAlign w:val="center"/>
          </w:tcPr>
          <w:p>
            <w:pPr>
              <w:jc w:val="center"/>
              <w:rPr>
                <w:rFonts w:hint="eastAsia"/>
                <w:color w:val="000000"/>
                <w:szCs w:val="21"/>
              </w:rPr>
            </w:pPr>
          </w:p>
        </w:tc>
        <w:tc>
          <w:tcPr>
            <w:tcW w:w="1800" w:type="dxa"/>
            <w:noWrap w:val="0"/>
            <w:vAlign w:val="center"/>
          </w:tcPr>
          <w:p>
            <w:pPr>
              <w:jc w:val="center"/>
              <w:rPr>
                <w:rFonts w:hint="eastAsia"/>
                <w:color w:val="000000"/>
                <w:szCs w:val="21"/>
              </w:rPr>
            </w:pPr>
            <w:r>
              <w:rPr>
                <w:rFonts w:hint="eastAsia"/>
                <w:color w:val="000000"/>
                <w:szCs w:val="21"/>
              </w:rPr>
              <w:t>—</w:t>
            </w:r>
          </w:p>
        </w:tc>
      </w:tr>
    </w:tbl>
    <w:p>
      <w:pPr>
        <w:rPr>
          <w:rFonts w:hint="eastAsia"/>
          <w:color w:val="000000"/>
          <w:sz w:val="18"/>
          <w:szCs w:val="18"/>
        </w:rPr>
      </w:pPr>
      <w:r>
        <w:rPr>
          <w:rFonts w:hint="eastAsia"/>
          <w:color w:val="000000"/>
          <w:sz w:val="18"/>
          <w:szCs w:val="18"/>
        </w:rPr>
        <w:t>注：此表由招标人填写，如不能详列，也可只列暂定金额总额，投标人应将上述暂列金额计入总价中。</w:t>
      </w:r>
    </w:p>
    <w:p>
      <w:pPr>
        <w:rPr>
          <w:rFonts w:hint="eastAsia"/>
          <w:color w:val="000000"/>
          <w:sz w:val="18"/>
          <w:szCs w:val="18"/>
        </w:rPr>
      </w:pPr>
    </w:p>
    <w:p>
      <w:pPr>
        <w:spacing w:line="360" w:lineRule="auto"/>
        <w:jc w:val="right"/>
        <w:rPr>
          <w:b/>
          <w:color w:val="000000"/>
          <w:sz w:val="36"/>
          <w:szCs w:val="36"/>
        </w:rPr>
        <w:sectPr>
          <w:pgSz w:w="11906" w:h="16838"/>
          <w:pgMar w:top="1440" w:right="1440" w:bottom="1440" w:left="1797" w:header="851" w:footer="851" w:gutter="0"/>
          <w:cols w:space="720" w:num="1"/>
          <w:docGrid w:linePitch="312" w:charSpace="0"/>
        </w:sectPr>
      </w:pPr>
    </w:p>
    <w:p>
      <w:pPr>
        <w:spacing w:line="360" w:lineRule="auto"/>
        <w:ind w:firstLine="630" w:firstLineChars="300"/>
        <w:jc w:val="left"/>
        <w:rPr>
          <w:rFonts w:ascii="宋体" w:hAnsi="宋体"/>
          <w:color w:val="000000"/>
          <w:szCs w:val="21"/>
        </w:rPr>
      </w:pPr>
      <w:r>
        <w:rPr>
          <w:rFonts w:hint="eastAsia" w:ascii="宋体" w:hAnsi="宋体"/>
          <w:color w:val="000000"/>
          <w:szCs w:val="21"/>
        </w:rPr>
        <w:t>表13 材料（工程设备）暂估单价及调整表</w:t>
      </w:r>
    </w:p>
    <w:p>
      <w:pPr>
        <w:jc w:val="center"/>
        <w:rPr>
          <w:rFonts w:hint="eastAsia"/>
          <w:b/>
          <w:color w:val="000000"/>
          <w:sz w:val="36"/>
          <w:szCs w:val="36"/>
        </w:rPr>
      </w:pPr>
      <w:r>
        <w:rPr>
          <w:rFonts w:hint="eastAsia"/>
          <w:b/>
          <w:color w:val="000000"/>
          <w:sz w:val="36"/>
          <w:szCs w:val="36"/>
        </w:rPr>
        <w:t>材料（工程设备）暂估单价及调整表</w:t>
      </w:r>
    </w:p>
    <w:p>
      <w:pPr>
        <w:rPr>
          <w:rFonts w:hint="eastAsia"/>
          <w:color w:val="000000"/>
        </w:rPr>
      </w:pPr>
    </w:p>
    <w:p>
      <w:pPr>
        <w:ind w:firstLine="480" w:firstLineChars="200"/>
        <w:rPr>
          <w:rFonts w:hint="eastAsia"/>
          <w:color w:val="000000"/>
          <w:sz w:val="24"/>
        </w:rPr>
      </w:pPr>
      <w:r>
        <w:rPr>
          <w:rFonts w:hint="eastAsia"/>
          <w:color w:val="000000"/>
          <w:sz w:val="24"/>
        </w:rPr>
        <w:t xml:space="preserve">工程名称：                                                                                  第 </w:t>
      </w:r>
      <w:r>
        <w:rPr>
          <w:color w:val="000000"/>
          <w:sz w:val="24"/>
        </w:rPr>
        <w:t xml:space="preserve">  </w:t>
      </w:r>
      <w:r>
        <w:rPr>
          <w:rFonts w:hint="eastAsia"/>
          <w:color w:val="000000"/>
          <w:sz w:val="24"/>
        </w:rPr>
        <w:t xml:space="preserve"> 页  共  </w:t>
      </w:r>
      <w:r>
        <w:rPr>
          <w:color w:val="000000"/>
          <w:sz w:val="24"/>
        </w:rPr>
        <w:t xml:space="preserve">  </w:t>
      </w:r>
      <w:r>
        <w:rPr>
          <w:rFonts w:hint="eastAsia"/>
          <w:color w:val="000000"/>
          <w:sz w:val="24"/>
        </w:rPr>
        <w:t>页</w:t>
      </w:r>
    </w:p>
    <w:tbl>
      <w:tblPr>
        <w:tblStyle w:val="83"/>
        <w:tblW w:w="14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2814"/>
        <w:gridCol w:w="807"/>
        <w:gridCol w:w="1075"/>
        <w:gridCol w:w="1074"/>
        <w:gridCol w:w="1074"/>
        <w:gridCol w:w="1074"/>
        <w:gridCol w:w="1074"/>
        <w:gridCol w:w="1074"/>
        <w:gridCol w:w="1074"/>
        <w:gridCol w:w="1074"/>
        <w:gridCol w:w="1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70" w:type="dxa"/>
            <w:vMerge w:val="restart"/>
            <w:noWrap w:val="0"/>
            <w:vAlign w:val="center"/>
          </w:tcPr>
          <w:p>
            <w:pPr>
              <w:jc w:val="center"/>
              <w:rPr>
                <w:rFonts w:hint="eastAsia"/>
                <w:color w:val="000000"/>
              </w:rPr>
            </w:pPr>
            <w:r>
              <w:rPr>
                <w:rFonts w:hint="eastAsia"/>
                <w:color w:val="000000"/>
              </w:rPr>
              <w:t>序号</w:t>
            </w:r>
          </w:p>
        </w:tc>
        <w:tc>
          <w:tcPr>
            <w:tcW w:w="2814" w:type="dxa"/>
            <w:vMerge w:val="restart"/>
            <w:noWrap w:val="0"/>
            <w:vAlign w:val="center"/>
          </w:tcPr>
          <w:p>
            <w:pPr>
              <w:jc w:val="center"/>
              <w:rPr>
                <w:rFonts w:hint="eastAsia"/>
                <w:color w:val="000000"/>
              </w:rPr>
            </w:pPr>
            <w:r>
              <w:rPr>
                <w:rFonts w:hint="eastAsia"/>
                <w:color w:val="000000"/>
              </w:rPr>
              <w:t>材料名称、规格、型号</w:t>
            </w:r>
          </w:p>
        </w:tc>
        <w:tc>
          <w:tcPr>
            <w:tcW w:w="807" w:type="dxa"/>
            <w:vMerge w:val="restart"/>
            <w:noWrap w:val="0"/>
            <w:vAlign w:val="center"/>
          </w:tcPr>
          <w:p>
            <w:pPr>
              <w:jc w:val="center"/>
              <w:rPr>
                <w:rFonts w:hint="eastAsia"/>
                <w:color w:val="000000"/>
              </w:rPr>
            </w:pPr>
            <w:r>
              <w:rPr>
                <w:rFonts w:hint="eastAsia"/>
                <w:color w:val="000000"/>
              </w:rPr>
              <w:t>计量单位</w:t>
            </w:r>
          </w:p>
        </w:tc>
        <w:tc>
          <w:tcPr>
            <w:tcW w:w="2149" w:type="dxa"/>
            <w:gridSpan w:val="2"/>
            <w:noWrap w:val="0"/>
            <w:vAlign w:val="center"/>
          </w:tcPr>
          <w:p>
            <w:pPr>
              <w:jc w:val="center"/>
              <w:rPr>
                <w:rFonts w:hint="eastAsia"/>
                <w:color w:val="000000"/>
                <w:szCs w:val="21"/>
              </w:rPr>
            </w:pPr>
            <w:r>
              <w:rPr>
                <w:rFonts w:hint="eastAsia"/>
                <w:color w:val="000000"/>
                <w:szCs w:val="21"/>
              </w:rPr>
              <w:t>数量</w:t>
            </w:r>
          </w:p>
        </w:tc>
        <w:tc>
          <w:tcPr>
            <w:tcW w:w="2148" w:type="dxa"/>
            <w:gridSpan w:val="2"/>
            <w:noWrap w:val="0"/>
            <w:vAlign w:val="center"/>
          </w:tcPr>
          <w:p>
            <w:pPr>
              <w:jc w:val="center"/>
              <w:rPr>
                <w:rFonts w:hint="eastAsia"/>
                <w:color w:val="000000"/>
                <w:szCs w:val="21"/>
              </w:rPr>
            </w:pPr>
            <w:r>
              <w:rPr>
                <w:rFonts w:hint="eastAsia"/>
                <w:color w:val="000000"/>
                <w:szCs w:val="21"/>
              </w:rPr>
              <w:t>暂估（元）</w:t>
            </w:r>
          </w:p>
        </w:tc>
        <w:tc>
          <w:tcPr>
            <w:tcW w:w="2148" w:type="dxa"/>
            <w:gridSpan w:val="2"/>
            <w:noWrap w:val="0"/>
            <w:vAlign w:val="center"/>
          </w:tcPr>
          <w:p>
            <w:pPr>
              <w:jc w:val="center"/>
              <w:rPr>
                <w:rFonts w:hint="eastAsia"/>
                <w:color w:val="000000"/>
                <w:szCs w:val="21"/>
              </w:rPr>
            </w:pPr>
            <w:r>
              <w:rPr>
                <w:rFonts w:hint="eastAsia"/>
                <w:color w:val="000000"/>
                <w:szCs w:val="21"/>
              </w:rPr>
              <w:t>确认（元）</w:t>
            </w:r>
          </w:p>
        </w:tc>
        <w:tc>
          <w:tcPr>
            <w:tcW w:w="2148" w:type="dxa"/>
            <w:gridSpan w:val="2"/>
            <w:noWrap w:val="0"/>
            <w:vAlign w:val="center"/>
          </w:tcPr>
          <w:p>
            <w:pPr>
              <w:jc w:val="center"/>
              <w:rPr>
                <w:rFonts w:hint="eastAsia"/>
                <w:color w:val="000000"/>
                <w:szCs w:val="21"/>
              </w:rPr>
            </w:pPr>
            <w:r>
              <w:rPr>
                <w:rFonts w:hint="eastAsia"/>
                <w:color w:val="000000"/>
                <w:szCs w:val="21"/>
              </w:rPr>
              <w:t>差额±（元）</w:t>
            </w:r>
          </w:p>
        </w:tc>
        <w:tc>
          <w:tcPr>
            <w:tcW w:w="1427" w:type="dxa"/>
            <w:vMerge w:val="restart"/>
            <w:noWrap w:val="0"/>
            <w:vAlign w:val="center"/>
          </w:tcPr>
          <w:p>
            <w:pPr>
              <w:jc w:val="center"/>
              <w:rPr>
                <w:rFonts w:hint="eastAsia"/>
                <w:color w:val="000000"/>
                <w:szCs w:val="21"/>
              </w:rPr>
            </w:pPr>
            <w:r>
              <w:rPr>
                <w:rFonts w:hint="eastAsia"/>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70" w:type="dxa"/>
            <w:vMerge w:val="continue"/>
            <w:noWrap w:val="0"/>
            <w:vAlign w:val="center"/>
          </w:tcPr>
          <w:p>
            <w:pPr>
              <w:jc w:val="center"/>
              <w:rPr>
                <w:rFonts w:hint="eastAsia"/>
                <w:color w:val="000000"/>
              </w:rPr>
            </w:pPr>
          </w:p>
        </w:tc>
        <w:tc>
          <w:tcPr>
            <w:tcW w:w="2814" w:type="dxa"/>
            <w:vMerge w:val="continue"/>
            <w:noWrap w:val="0"/>
            <w:vAlign w:val="center"/>
          </w:tcPr>
          <w:p>
            <w:pPr>
              <w:jc w:val="center"/>
              <w:rPr>
                <w:rFonts w:hint="eastAsia"/>
                <w:color w:val="000000"/>
              </w:rPr>
            </w:pPr>
          </w:p>
        </w:tc>
        <w:tc>
          <w:tcPr>
            <w:tcW w:w="807" w:type="dxa"/>
            <w:vMerge w:val="continue"/>
            <w:noWrap w:val="0"/>
            <w:vAlign w:val="center"/>
          </w:tcPr>
          <w:p>
            <w:pPr>
              <w:jc w:val="center"/>
              <w:rPr>
                <w:rFonts w:hint="eastAsia"/>
                <w:color w:val="000000"/>
              </w:rPr>
            </w:pPr>
          </w:p>
        </w:tc>
        <w:tc>
          <w:tcPr>
            <w:tcW w:w="1075" w:type="dxa"/>
            <w:noWrap w:val="0"/>
            <w:vAlign w:val="center"/>
          </w:tcPr>
          <w:p>
            <w:pPr>
              <w:jc w:val="center"/>
              <w:rPr>
                <w:rFonts w:hint="eastAsia"/>
                <w:color w:val="000000"/>
              </w:rPr>
            </w:pPr>
            <w:r>
              <w:rPr>
                <w:rFonts w:hint="eastAsia"/>
                <w:color w:val="000000"/>
              </w:rPr>
              <w:t>暂估数量</w:t>
            </w:r>
          </w:p>
        </w:tc>
        <w:tc>
          <w:tcPr>
            <w:tcW w:w="1074" w:type="dxa"/>
            <w:noWrap w:val="0"/>
            <w:vAlign w:val="center"/>
          </w:tcPr>
          <w:p>
            <w:pPr>
              <w:jc w:val="center"/>
              <w:rPr>
                <w:rFonts w:hint="eastAsia"/>
                <w:color w:val="000000"/>
              </w:rPr>
            </w:pPr>
            <w:r>
              <w:rPr>
                <w:rFonts w:hint="eastAsia"/>
                <w:color w:val="000000"/>
              </w:rPr>
              <w:t>确认数量</w:t>
            </w:r>
          </w:p>
        </w:tc>
        <w:tc>
          <w:tcPr>
            <w:tcW w:w="1074" w:type="dxa"/>
            <w:noWrap w:val="0"/>
            <w:vAlign w:val="center"/>
          </w:tcPr>
          <w:p>
            <w:pPr>
              <w:jc w:val="center"/>
              <w:rPr>
                <w:rFonts w:hint="eastAsia"/>
                <w:color w:val="000000"/>
                <w:szCs w:val="21"/>
              </w:rPr>
            </w:pPr>
            <w:r>
              <w:rPr>
                <w:rFonts w:hint="eastAsia"/>
                <w:color w:val="000000"/>
                <w:szCs w:val="21"/>
              </w:rPr>
              <w:t>单价</w:t>
            </w:r>
          </w:p>
        </w:tc>
        <w:tc>
          <w:tcPr>
            <w:tcW w:w="1074" w:type="dxa"/>
            <w:noWrap w:val="0"/>
            <w:vAlign w:val="center"/>
          </w:tcPr>
          <w:p>
            <w:pPr>
              <w:jc w:val="center"/>
              <w:rPr>
                <w:rFonts w:hint="eastAsia"/>
                <w:color w:val="000000"/>
                <w:szCs w:val="21"/>
              </w:rPr>
            </w:pPr>
            <w:r>
              <w:rPr>
                <w:rFonts w:hint="eastAsia"/>
                <w:color w:val="000000"/>
                <w:szCs w:val="21"/>
              </w:rPr>
              <w:t>合价</w:t>
            </w:r>
          </w:p>
        </w:tc>
        <w:tc>
          <w:tcPr>
            <w:tcW w:w="1074" w:type="dxa"/>
            <w:noWrap w:val="0"/>
            <w:vAlign w:val="center"/>
          </w:tcPr>
          <w:p>
            <w:pPr>
              <w:jc w:val="center"/>
              <w:rPr>
                <w:rFonts w:hint="eastAsia"/>
                <w:color w:val="000000"/>
                <w:szCs w:val="21"/>
              </w:rPr>
            </w:pPr>
            <w:r>
              <w:rPr>
                <w:rFonts w:hint="eastAsia"/>
                <w:color w:val="000000"/>
                <w:szCs w:val="21"/>
              </w:rPr>
              <w:t>单价</w:t>
            </w:r>
          </w:p>
        </w:tc>
        <w:tc>
          <w:tcPr>
            <w:tcW w:w="1074" w:type="dxa"/>
            <w:noWrap w:val="0"/>
            <w:vAlign w:val="center"/>
          </w:tcPr>
          <w:p>
            <w:pPr>
              <w:jc w:val="center"/>
              <w:rPr>
                <w:rFonts w:hint="eastAsia"/>
                <w:color w:val="000000"/>
                <w:szCs w:val="21"/>
              </w:rPr>
            </w:pPr>
            <w:r>
              <w:rPr>
                <w:rFonts w:hint="eastAsia"/>
                <w:color w:val="000000"/>
                <w:szCs w:val="21"/>
              </w:rPr>
              <w:t>合价</w:t>
            </w:r>
          </w:p>
        </w:tc>
        <w:tc>
          <w:tcPr>
            <w:tcW w:w="1074" w:type="dxa"/>
            <w:noWrap w:val="0"/>
            <w:vAlign w:val="center"/>
          </w:tcPr>
          <w:p>
            <w:pPr>
              <w:jc w:val="center"/>
              <w:rPr>
                <w:rFonts w:hint="eastAsia"/>
                <w:color w:val="000000"/>
                <w:szCs w:val="21"/>
              </w:rPr>
            </w:pPr>
            <w:r>
              <w:rPr>
                <w:rFonts w:hint="eastAsia"/>
                <w:color w:val="000000"/>
                <w:szCs w:val="21"/>
              </w:rPr>
              <w:t>单价</w:t>
            </w:r>
          </w:p>
        </w:tc>
        <w:tc>
          <w:tcPr>
            <w:tcW w:w="1074" w:type="dxa"/>
            <w:noWrap w:val="0"/>
            <w:vAlign w:val="center"/>
          </w:tcPr>
          <w:p>
            <w:pPr>
              <w:jc w:val="center"/>
              <w:rPr>
                <w:rFonts w:hint="eastAsia"/>
                <w:color w:val="000000"/>
                <w:szCs w:val="21"/>
              </w:rPr>
            </w:pPr>
            <w:r>
              <w:rPr>
                <w:rFonts w:hint="eastAsia"/>
                <w:color w:val="000000"/>
                <w:szCs w:val="21"/>
              </w:rPr>
              <w:t>合价</w:t>
            </w:r>
          </w:p>
        </w:tc>
        <w:tc>
          <w:tcPr>
            <w:tcW w:w="1427" w:type="dxa"/>
            <w:vMerge w:val="continue"/>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0" w:type="dxa"/>
            <w:noWrap w:val="0"/>
            <w:vAlign w:val="center"/>
          </w:tcPr>
          <w:p>
            <w:pPr>
              <w:jc w:val="center"/>
              <w:rPr>
                <w:color w:val="000000"/>
              </w:rPr>
            </w:pPr>
          </w:p>
        </w:tc>
        <w:tc>
          <w:tcPr>
            <w:tcW w:w="2814" w:type="dxa"/>
            <w:noWrap w:val="0"/>
            <w:vAlign w:val="center"/>
          </w:tcPr>
          <w:p>
            <w:pPr>
              <w:jc w:val="center"/>
              <w:rPr>
                <w:color w:val="000000"/>
              </w:rPr>
            </w:pPr>
          </w:p>
        </w:tc>
        <w:tc>
          <w:tcPr>
            <w:tcW w:w="807" w:type="dxa"/>
            <w:noWrap w:val="0"/>
            <w:vAlign w:val="center"/>
          </w:tcPr>
          <w:p>
            <w:pPr>
              <w:jc w:val="center"/>
              <w:rPr>
                <w:color w:val="000000"/>
              </w:rPr>
            </w:pPr>
          </w:p>
        </w:tc>
        <w:tc>
          <w:tcPr>
            <w:tcW w:w="1075"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top"/>
          </w:tcPr>
          <w:p>
            <w:pPr>
              <w:jc w:val="center"/>
              <w:rPr>
                <w:color w:val="000000"/>
              </w:rPr>
            </w:pPr>
          </w:p>
        </w:tc>
        <w:tc>
          <w:tcPr>
            <w:tcW w:w="1074" w:type="dxa"/>
            <w:noWrap w:val="0"/>
            <w:vAlign w:val="top"/>
          </w:tcPr>
          <w:p>
            <w:pPr>
              <w:jc w:val="center"/>
              <w:rPr>
                <w:color w:val="000000"/>
              </w:rPr>
            </w:pPr>
          </w:p>
        </w:tc>
        <w:tc>
          <w:tcPr>
            <w:tcW w:w="1427" w:type="dxa"/>
            <w:noWrap w:val="0"/>
            <w:vAlign w:val="top"/>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0" w:type="dxa"/>
            <w:noWrap w:val="0"/>
            <w:vAlign w:val="center"/>
          </w:tcPr>
          <w:p>
            <w:pPr>
              <w:jc w:val="center"/>
              <w:rPr>
                <w:color w:val="000000"/>
              </w:rPr>
            </w:pPr>
          </w:p>
        </w:tc>
        <w:tc>
          <w:tcPr>
            <w:tcW w:w="2814" w:type="dxa"/>
            <w:noWrap w:val="0"/>
            <w:vAlign w:val="center"/>
          </w:tcPr>
          <w:p>
            <w:pPr>
              <w:jc w:val="center"/>
              <w:rPr>
                <w:color w:val="000000"/>
              </w:rPr>
            </w:pPr>
          </w:p>
        </w:tc>
        <w:tc>
          <w:tcPr>
            <w:tcW w:w="807" w:type="dxa"/>
            <w:noWrap w:val="0"/>
            <w:vAlign w:val="center"/>
          </w:tcPr>
          <w:p>
            <w:pPr>
              <w:jc w:val="center"/>
              <w:rPr>
                <w:color w:val="000000"/>
              </w:rPr>
            </w:pPr>
          </w:p>
        </w:tc>
        <w:tc>
          <w:tcPr>
            <w:tcW w:w="1075"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top"/>
          </w:tcPr>
          <w:p>
            <w:pPr>
              <w:ind w:right="-168" w:rightChars="-80"/>
              <w:jc w:val="center"/>
              <w:rPr>
                <w:color w:val="000000"/>
              </w:rPr>
            </w:pPr>
          </w:p>
        </w:tc>
        <w:tc>
          <w:tcPr>
            <w:tcW w:w="1074" w:type="dxa"/>
            <w:noWrap w:val="0"/>
            <w:vAlign w:val="top"/>
          </w:tcPr>
          <w:p>
            <w:pPr>
              <w:jc w:val="center"/>
              <w:rPr>
                <w:color w:val="000000"/>
              </w:rPr>
            </w:pPr>
          </w:p>
        </w:tc>
        <w:tc>
          <w:tcPr>
            <w:tcW w:w="1427" w:type="dxa"/>
            <w:noWrap w:val="0"/>
            <w:vAlign w:val="top"/>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0" w:type="dxa"/>
            <w:noWrap w:val="0"/>
            <w:vAlign w:val="center"/>
          </w:tcPr>
          <w:p>
            <w:pPr>
              <w:jc w:val="center"/>
              <w:rPr>
                <w:color w:val="000000"/>
              </w:rPr>
            </w:pPr>
          </w:p>
        </w:tc>
        <w:tc>
          <w:tcPr>
            <w:tcW w:w="2814" w:type="dxa"/>
            <w:noWrap w:val="0"/>
            <w:vAlign w:val="center"/>
          </w:tcPr>
          <w:p>
            <w:pPr>
              <w:jc w:val="center"/>
              <w:rPr>
                <w:color w:val="000000"/>
              </w:rPr>
            </w:pPr>
          </w:p>
        </w:tc>
        <w:tc>
          <w:tcPr>
            <w:tcW w:w="807" w:type="dxa"/>
            <w:noWrap w:val="0"/>
            <w:vAlign w:val="center"/>
          </w:tcPr>
          <w:p>
            <w:pPr>
              <w:jc w:val="center"/>
              <w:rPr>
                <w:color w:val="000000"/>
              </w:rPr>
            </w:pPr>
          </w:p>
        </w:tc>
        <w:tc>
          <w:tcPr>
            <w:tcW w:w="1075"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top"/>
          </w:tcPr>
          <w:p>
            <w:pPr>
              <w:jc w:val="center"/>
              <w:rPr>
                <w:color w:val="000000"/>
              </w:rPr>
            </w:pPr>
          </w:p>
        </w:tc>
        <w:tc>
          <w:tcPr>
            <w:tcW w:w="1074" w:type="dxa"/>
            <w:noWrap w:val="0"/>
            <w:vAlign w:val="top"/>
          </w:tcPr>
          <w:p>
            <w:pPr>
              <w:jc w:val="center"/>
              <w:rPr>
                <w:color w:val="000000"/>
              </w:rPr>
            </w:pPr>
          </w:p>
        </w:tc>
        <w:tc>
          <w:tcPr>
            <w:tcW w:w="1427" w:type="dxa"/>
            <w:noWrap w:val="0"/>
            <w:vAlign w:val="top"/>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0" w:type="dxa"/>
            <w:noWrap w:val="0"/>
            <w:vAlign w:val="center"/>
          </w:tcPr>
          <w:p>
            <w:pPr>
              <w:jc w:val="center"/>
              <w:rPr>
                <w:color w:val="000000"/>
              </w:rPr>
            </w:pPr>
          </w:p>
        </w:tc>
        <w:tc>
          <w:tcPr>
            <w:tcW w:w="2814" w:type="dxa"/>
            <w:noWrap w:val="0"/>
            <w:vAlign w:val="center"/>
          </w:tcPr>
          <w:p>
            <w:pPr>
              <w:jc w:val="center"/>
              <w:rPr>
                <w:color w:val="000000"/>
              </w:rPr>
            </w:pPr>
          </w:p>
        </w:tc>
        <w:tc>
          <w:tcPr>
            <w:tcW w:w="807" w:type="dxa"/>
            <w:noWrap w:val="0"/>
            <w:vAlign w:val="center"/>
          </w:tcPr>
          <w:p>
            <w:pPr>
              <w:jc w:val="center"/>
              <w:rPr>
                <w:color w:val="000000"/>
              </w:rPr>
            </w:pPr>
          </w:p>
        </w:tc>
        <w:tc>
          <w:tcPr>
            <w:tcW w:w="1075"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top"/>
          </w:tcPr>
          <w:p>
            <w:pPr>
              <w:jc w:val="center"/>
              <w:rPr>
                <w:color w:val="000000"/>
              </w:rPr>
            </w:pPr>
          </w:p>
        </w:tc>
        <w:tc>
          <w:tcPr>
            <w:tcW w:w="1074" w:type="dxa"/>
            <w:noWrap w:val="0"/>
            <w:vAlign w:val="top"/>
          </w:tcPr>
          <w:p>
            <w:pPr>
              <w:jc w:val="center"/>
              <w:rPr>
                <w:color w:val="000000"/>
              </w:rPr>
            </w:pPr>
          </w:p>
        </w:tc>
        <w:tc>
          <w:tcPr>
            <w:tcW w:w="1427" w:type="dxa"/>
            <w:noWrap w:val="0"/>
            <w:vAlign w:val="top"/>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0" w:type="dxa"/>
            <w:noWrap w:val="0"/>
            <w:vAlign w:val="center"/>
          </w:tcPr>
          <w:p>
            <w:pPr>
              <w:jc w:val="center"/>
              <w:rPr>
                <w:color w:val="000000"/>
              </w:rPr>
            </w:pPr>
          </w:p>
        </w:tc>
        <w:tc>
          <w:tcPr>
            <w:tcW w:w="2814" w:type="dxa"/>
            <w:noWrap w:val="0"/>
            <w:vAlign w:val="center"/>
          </w:tcPr>
          <w:p>
            <w:pPr>
              <w:jc w:val="center"/>
              <w:rPr>
                <w:color w:val="000000"/>
              </w:rPr>
            </w:pPr>
          </w:p>
        </w:tc>
        <w:tc>
          <w:tcPr>
            <w:tcW w:w="807" w:type="dxa"/>
            <w:noWrap w:val="0"/>
            <w:vAlign w:val="center"/>
          </w:tcPr>
          <w:p>
            <w:pPr>
              <w:jc w:val="center"/>
              <w:rPr>
                <w:color w:val="000000"/>
              </w:rPr>
            </w:pPr>
          </w:p>
        </w:tc>
        <w:tc>
          <w:tcPr>
            <w:tcW w:w="1075"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top"/>
          </w:tcPr>
          <w:p>
            <w:pPr>
              <w:jc w:val="center"/>
              <w:rPr>
                <w:color w:val="000000"/>
              </w:rPr>
            </w:pPr>
          </w:p>
        </w:tc>
        <w:tc>
          <w:tcPr>
            <w:tcW w:w="1074" w:type="dxa"/>
            <w:noWrap w:val="0"/>
            <w:vAlign w:val="top"/>
          </w:tcPr>
          <w:p>
            <w:pPr>
              <w:jc w:val="center"/>
              <w:rPr>
                <w:color w:val="000000"/>
              </w:rPr>
            </w:pPr>
          </w:p>
        </w:tc>
        <w:tc>
          <w:tcPr>
            <w:tcW w:w="1427" w:type="dxa"/>
            <w:noWrap w:val="0"/>
            <w:vAlign w:val="top"/>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0" w:type="dxa"/>
            <w:noWrap w:val="0"/>
            <w:vAlign w:val="center"/>
          </w:tcPr>
          <w:p>
            <w:pPr>
              <w:jc w:val="center"/>
              <w:rPr>
                <w:color w:val="000000"/>
              </w:rPr>
            </w:pPr>
          </w:p>
        </w:tc>
        <w:tc>
          <w:tcPr>
            <w:tcW w:w="2814" w:type="dxa"/>
            <w:noWrap w:val="0"/>
            <w:vAlign w:val="center"/>
          </w:tcPr>
          <w:p>
            <w:pPr>
              <w:jc w:val="center"/>
              <w:rPr>
                <w:color w:val="000000"/>
              </w:rPr>
            </w:pPr>
          </w:p>
        </w:tc>
        <w:tc>
          <w:tcPr>
            <w:tcW w:w="807" w:type="dxa"/>
            <w:noWrap w:val="0"/>
            <w:vAlign w:val="center"/>
          </w:tcPr>
          <w:p>
            <w:pPr>
              <w:jc w:val="center"/>
              <w:rPr>
                <w:color w:val="000000"/>
              </w:rPr>
            </w:pPr>
          </w:p>
        </w:tc>
        <w:tc>
          <w:tcPr>
            <w:tcW w:w="1075"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top"/>
          </w:tcPr>
          <w:p>
            <w:pPr>
              <w:jc w:val="center"/>
              <w:rPr>
                <w:color w:val="000000"/>
              </w:rPr>
            </w:pPr>
          </w:p>
        </w:tc>
        <w:tc>
          <w:tcPr>
            <w:tcW w:w="1074" w:type="dxa"/>
            <w:noWrap w:val="0"/>
            <w:vAlign w:val="top"/>
          </w:tcPr>
          <w:p>
            <w:pPr>
              <w:jc w:val="center"/>
              <w:rPr>
                <w:color w:val="000000"/>
              </w:rPr>
            </w:pPr>
          </w:p>
        </w:tc>
        <w:tc>
          <w:tcPr>
            <w:tcW w:w="1427" w:type="dxa"/>
            <w:noWrap w:val="0"/>
            <w:vAlign w:val="top"/>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0" w:type="dxa"/>
            <w:noWrap w:val="0"/>
            <w:vAlign w:val="center"/>
          </w:tcPr>
          <w:p>
            <w:pPr>
              <w:jc w:val="center"/>
              <w:rPr>
                <w:color w:val="000000"/>
              </w:rPr>
            </w:pPr>
          </w:p>
        </w:tc>
        <w:tc>
          <w:tcPr>
            <w:tcW w:w="2814" w:type="dxa"/>
            <w:noWrap w:val="0"/>
            <w:vAlign w:val="center"/>
          </w:tcPr>
          <w:p>
            <w:pPr>
              <w:jc w:val="center"/>
              <w:rPr>
                <w:color w:val="000000"/>
              </w:rPr>
            </w:pPr>
          </w:p>
        </w:tc>
        <w:tc>
          <w:tcPr>
            <w:tcW w:w="807" w:type="dxa"/>
            <w:noWrap w:val="0"/>
            <w:vAlign w:val="center"/>
          </w:tcPr>
          <w:p>
            <w:pPr>
              <w:jc w:val="center"/>
              <w:rPr>
                <w:color w:val="000000"/>
              </w:rPr>
            </w:pPr>
          </w:p>
        </w:tc>
        <w:tc>
          <w:tcPr>
            <w:tcW w:w="1075"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top"/>
          </w:tcPr>
          <w:p>
            <w:pPr>
              <w:jc w:val="center"/>
              <w:rPr>
                <w:color w:val="000000"/>
              </w:rPr>
            </w:pPr>
          </w:p>
        </w:tc>
        <w:tc>
          <w:tcPr>
            <w:tcW w:w="1074" w:type="dxa"/>
            <w:noWrap w:val="0"/>
            <w:vAlign w:val="top"/>
          </w:tcPr>
          <w:p>
            <w:pPr>
              <w:jc w:val="center"/>
              <w:rPr>
                <w:color w:val="000000"/>
              </w:rPr>
            </w:pPr>
          </w:p>
        </w:tc>
        <w:tc>
          <w:tcPr>
            <w:tcW w:w="1427" w:type="dxa"/>
            <w:noWrap w:val="0"/>
            <w:vAlign w:val="top"/>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0" w:type="dxa"/>
            <w:noWrap w:val="0"/>
            <w:vAlign w:val="center"/>
          </w:tcPr>
          <w:p>
            <w:pPr>
              <w:jc w:val="center"/>
              <w:rPr>
                <w:color w:val="000000"/>
              </w:rPr>
            </w:pPr>
          </w:p>
        </w:tc>
        <w:tc>
          <w:tcPr>
            <w:tcW w:w="2814" w:type="dxa"/>
            <w:noWrap w:val="0"/>
            <w:vAlign w:val="center"/>
          </w:tcPr>
          <w:p>
            <w:pPr>
              <w:jc w:val="center"/>
              <w:rPr>
                <w:rFonts w:hint="eastAsia"/>
                <w:color w:val="000000"/>
              </w:rPr>
            </w:pPr>
            <w:r>
              <w:rPr>
                <w:rFonts w:hint="eastAsia"/>
                <w:color w:val="000000"/>
              </w:rPr>
              <w:t>合计</w:t>
            </w:r>
          </w:p>
        </w:tc>
        <w:tc>
          <w:tcPr>
            <w:tcW w:w="807" w:type="dxa"/>
            <w:noWrap w:val="0"/>
            <w:vAlign w:val="center"/>
          </w:tcPr>
          <w:p>
            <w:pPr>
              <w:jc w:val="center"/>
              <w:rPr>
                <w:rFonts w:hint="eastAsia"/>
                <w:color w:val="000000"/>
              </w:rPr>
            </w:pPr>
          </w:p>
        </w:tc>
        <w:tc>
          <w:tcPr>
            <w:tcW w:w="1075"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top"/>
          </w:tcPr>
          <w:p>
            <w:pPr>
              <w:jc w:val="center"/>
              <w:rPr>
                <w:color w:val="000000"/>
              </w:rPr>
            </w:pPr>
          </w:p>
        </w:tc>
        <w:tc>
          <w:tcPr>
            <w:tcW w:w="1074" w:type="dxa"/>
            <w:noWrap w:val="0"/>
            <w:vAlign w:val="top"/>
          </w:tcPr>
          <w:p>
            <w:pPr>
              <w:jc w:val="center"/>
              <w:rPr>
                <w:color w:val="000000"/>
              </w:rPr>
            </w:pPr>
          </w:p>
        </w:tc>
        <w:tc>
          <w:tcPr>
            <w:tcW w:w="1427" w:type="dxa"/>
            <w:noWrap w:val="0"/>
            <w:vAlign w:val="top"/>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0" w:type="dxa"/>
            <w:noWrap w:val="0"/>
            <w:vAlign w:val="center"/>
          </w:tcPr>
          <w:p>
            <w:pPr>
              <w:jc w:val="center"/>
              <w:rPr>
                <w:color w:val="000000"/>
              </w:rPr>
            </w:pPr>
          </w:p>
        </w:tc>
        <w:tc>
          <w:tcPr>
            <w:tcW w:w="2814" w:type="dxa"/>
            <w:noWrap w:val="0"/>
            <w:vAlign w:val="center"/>
          </w:tcPr>
          <w:p>
            <w:pPr>
              <w:jc w:val="center"/>
              <w:rPr>
                <w:rFonts w:hint="eastAsia"/>
                <w:color w:val="000000"/>
              </w:rPr>
            </w:pPr>
            <w:r>
              <w:rPr>
                <w:rFonts w:hint="eastAsia"/>
                <w:color w:val="000000"/>
              </w:rPr>
              <w:t>其中：甲供材</w:t>
            </w:r>
          </w:p>
        </w:tc>
        <w:tc>
          <w:tcPr>
            <w:tcW w:w="807" w:type="dxa"/>
            <w:noWrap w:val="0"/>
            <w:vAlign w:val="center"/>
          </w:tcPr>
          <w:p>
            <w:pPr>
              <w:jc w:val="center"/>
              <w:rPr>
                <w:rFonts w:hint="eastAsia"/>
                <w:color w:val="000000"/>
              </w:rPr>
            </w:pPr>
          </w:p>
        </w:tc>
        <w:tc>
          <w:tcPr>
            <w:tcW w:w="1075"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center"/>
          </w:tcPr>
          <w:p>
            <w:pPr>
              <w:jc w:val="center"/>
              <w:rPr>
                <w:color w:val="000000"/>
              </w:rPr>
            </w:pPr>
          </w:p>
        </w:tc>
        <w:tc>
          <w:tcPr>
            <w:tcW w:w="1074" w:type="dxa"/>
            <w:noWrap w:val="0"/>
            <w:vAlign w:val="top"/>
          </w:tcPr>
          <w:p>
            <w:pPr>
              <w:jc w:val="center"/>
              <w:rPr>
                <w:color w:val="000000"/>
              </w:rPr>
            </w:pPr>
          </w:p>
        </w:tc>
        <w:tc>
          <w:tcPr>
            <w:tcW w:w="1074" w:type="dxa"/>
            <w:noWrap w:val="0"/>
            <w:vAlign w:val="top"/>
          </w:tcPr>
          <w:p>
            <w:pPr>
              <w:jc w:val="center"/>
              <w:rPr>
                <w:color w:val="000000"/>
              </w:rPr>
            </w:pPr>
          </w:p>
        </w:tc>
        <w:tc>
          <w:tcPr>
            <w:tcW w:w="1427" w:type="dxa"/>
            <w:noWrap w:val="0"/>
            <w:vAlign w:val="top"/>
          </w:tcPr>
          <w:p>
            <w:pPr>
              <w:jc w:val="center"/>
              <w:rPr>
                <w:color w:val="000000"/>
              </w:rPr>
            </w:pPr>
          </w:p>
        </w:tc>
      </w:tr>
    </w:tbl>
    <w:p>
      <w:pPr>
        <w:rPr>
          <w:rFonts w:hint="eastAsia"/>
          <w:color w:val="000000"/>
          <w:sz w:val="18"/>
          <w:szCs w:val="18"/>
        </w:rPr>
      </w:pPr>
      <w:r>
        <w:rPr>
          <w:rFonts w:hint="eastAsia"/>
          <w:color w:val="000000"/>
          <w:sz w:val="18"/>
          <w:szCs w:val="18"/>
        </w:rPr>
        <w:t>注：此表由招标人填写“暂估单价”，投标人应将上述材料、工程设备暂估单价计入工程量清单综合单价报价中。如为甲供材需在备注中说明“甲供材”。</w:t>
      </w:r>
    </w:p>
    <w:p>
      <w:pPr>
        <w:wordWrap w:val="0"/>
        <w:jc w:val="right"/>
        <w:rPr>
          <w:rFonts w:hint="eastAsia"/>
          <w:color w:val="000000"/>
          <w:szCs w:val="21"/>
        </w:rPr>
      </w:pPr>
      <w:r>
        <w:rPr>
          <w:rFonts w:hint="eastAsia" w:ascii="方正书宋简体" w:eastAsia="方正书宋简体"/>
          <w:b/>
          <w:bCs/>
          <w:color w:val="000000"/>
          <w:sz w:val="24"/>
        </w:rPr>
        <w:t xml:space="preserve">                                                                                            </w:t>
      </w:r>
    </w:p>
    <w:p>
      <w:pPr>
        <w:spacing w:line="360" w:lineRule="auto"/>
        <w:jc w:val="right"/>
        <w:rPr>
          <w:rFonts w:ascii="宋体" w:hAnsi="宋体"/>
          <w:color w:val="000000"/>
          <w:szCs w:val="21"/>
        </w:rPr>
        <w:sectPr>
          <w:pgSz w:w="16838" w:h="11906" w:orient="landscape"/>
          <w:pgMar w:top="1797" w:right="1440" w:bottom="1440" w:left="1440" w:header="851" w:footer="851" w:gutter="0"/>
          <w:cols w:space="720" w:num="1"/>
          <w:docGrid w:linePitch="312" w:charSpace="0"/>
        </w:sectPr>
      </w:pPr>
    </w:p>
    <w:p>
      <w:pPr>
        <w:spacing w:line="360" w:lineRule="auto"/>
        <w:ind w:firstLine="630" w:firstLineChars="300"/>
        <w:jc w:val="left"/>
        <w:rPr>
          <w:rFonts w:ascii="宋体" w:hAnsi="宋体"/>
          <w:color w:val="000000"/>
          <w:szCs w:val="21"/>
        </w:rPr>
      </w:pPr>
      <w:r>
        <w:rPr>
          <w:rFonts w:hint="eastAsia" w:ascii="宋体" w:hAnsi="宋体"/>
          <w:color w:val="000000"/>
          <w:szCs w:val="21"/>
        </w:rPr>
        <w:t>表14专业工程暂估价及结算价表</w:t>
      </w:r>
    </w:p>
    <w:p>
      <w:pPr>
        <w:jc w:val="center"/>
        <w:rPr>
          <w:rFonts w:hint="eastAsia"/>
          <w:b/>
          <w:color w:val="000000"/>
          <w:sz w:val="36"/>
          <w:szCs w:val="36"/>
        </w:rPr>
      </w:pPr>
      <w:r>
        <w:rPr>
          <w:rFonts w:hint="eastAsia"/>
          <w:b/>
          <w:color w:val="000000"/>
          <w:sz w:val="36"/>
          <w:szCs w:val="36"/>
        </w:rPr>
        <w:t>专业工程暂估价及结算价表</w:t>
      </w:r>
    </w:p>
    <w:p>
      <w:pPr>
        <w:rPr>
          <w:rFonts w:hint="eastAsia"/>
          <w:color w:val="000000"/>
          <w:sz w:val="24"/>
        </w:rPr>
      </w:pPr>
      <w:r>
        <w:rPr>
          <w:rFonts w:hint="eastAsia"/>
          <w:color w:val="000000"/>
          <w:sz w:val="24"/>
        </w:rPr>
        <w:t>工程名称：                                             第  页  共  页</w:t>
      </w:r>
    </w:p>
    <w:tbl>
      <w:tblPr>
        <w:tblStyle w:val="83"/>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160"/>
        <w:gridCol w:w="1980"/>
        <w:gridCol w:w="1260"/>
        <w:gridCol w:w="144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r>
              <w:rPr>
                <w:rFonts w:hint="eastAsia"/>
                <w:color w:val="000000"/>
                <w:szCs w:val="21"/>
              </w:rPr>
              <w:t>序号</w:t>
            </w:r>
          </w:p>
        </w:tc>
        <w:tc>
          <w:tcPr>
            <w:tcW w:w="2160" w:type="dxa"/>
            <w:noWrap w:val="0"/>
            <w:vAlign w:val="center"/>
          </w:tcPr>
          <w:p>
            <w:pPr>
              <w:jc w:val="center"/>
              <w:rPr>
                <w:rFonts w:hint="eastAsia"/>
                <w:color w:val="000000"/>
                <w:szCs w:val="21"/>
              </w:rPr>
            </w:pPr>
            <w:r>
              <w:rPr>
                <w:rFonts w:hint="eastAsia"/>
                <w:color w:val="000000"/>
                <w:szCs w:val="21"/>
              </w:rPr>
              <w:t>工程名称</w:t>
            </w:r>
          </w:p>
        </w:tc>
        <w:tc>
          <w:tcPr>
            <w:tcW w:w="1980" w:type="dxa"/>
            <w:noWrap w:val="0"/>
            <w:vAlign w:val="center"/>
          </w:tcPr>
          <w:p>
            <w:pPr>
              <w:jc w:val="center"/>
              <w:rPr>
                <w:rFonts w:hint="eastAsia"/>
                <w:color w:val="000000"/>
                <w:szCs w:val="21"/>
              </w:rPr>
            </w:pPr>
            <w:r>
              <w:rPr>
                <w:rFonts w:hint="eastAsia"/>
                <w:color w:val="000000"/>
                <w:szCs w:val="21"/>
              </w:rPr>
              <w:t>工程内容</w:t>
            </w:r>
          </w:p>
        </w:tc>
        <w:tc>
          <w:tcPr>
            <w:tcW w:w="1260" w:type="dxa"/>
            <w:noWrap w:val="0"/>
            <w:vAlign w:val="center"/>
          </w:tcPr>
          <w:p>
            <w:pPr>
              <w:jc w:val="center"/>
              <w:rPr>
                <w:rFonts w:hint="eastAsia"/>
                <w:color w:val="000000"/>
                <w:szCs w:val="21"/>
              </w:rPr>
            </w:pPr>
            <w:r>
              <w:rPr>
                <w:rFonts w:hint="eastAsia"/>
                <w:color w:val="000000"/>
                <w:szCs w:val="21"/>
              </w:rPr>
              <w:t>暂定金额（元）</w:t>
            </w:r>
          </w:p>
        </w:tc>
        <w:tc>
          <w:tcPr>
            <w:tcW w:w="1440" w:type="dxa"/>
            <w:noWrap w:val="0"/>
            <w:vAlign w:val="center"/>
          </w:tcPr>
          <w:p>
            <w:pPr>
              <w:jc w:val="center"/>
              <w:rPr>
                <w:rFonts w:hint="eastAsia"/>
                <w:color w:val="000000"/>
                <w:szCs w:val="21"/>
              </w:rPr>
            </w:pPr>
            <w:r>
              <w:rPr>
                <w:rFonts w:hint="eastAsia"/>
                <w:color w:val="000000"/>
                <w:szCs w:val="21"/>
              </w:rPr>
              <w:t>结算金额（元）</w:t>
            </w:r>
          </w:p>
        </w:tc>
        <w:tc>
          <w:tcPr>
            <w:tcW w:w="1440" w:type="dxa"/>
            <w:noWrap w:val="0"/>
            <w:vAlign w:val="center"/>
          </w:tcPr>
          <w:p>
            <w:pPr>
              <w:jc w:val="center"/>
              <w:rPr>
                <w:rFonts w:hint="eastAsia"/>
                <w:color w:val="000000"/>
                <w:szCs w:val="21"/>
              </w:rPr>
            </w:pPr>
            <w:r>
              <w:rPr>
                <w:rFonts w:hint="eastAsia"/>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980" w:type="dxa"/>
            <w:noWrap w:val="0"/>
            <w:vAlign w:val="center"/>
          </w:tcPr>
          <w:p>
            <w:pPr>
              <w:jc w:val="center"/>
              <w:rPr>
                <w:rFonts w:hint="eastAsia"/>
                <w:color w:val="000000"/>
                <w:szCs w:val="21"/>
              </w:rPr>
            </w:pPr>
          </w:p>
        </w:tc>
        <w:tc>
          <w:tcPr>
            <w:tcW w:w="126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980" w:type="dxa"/>
            <w:noWrap w:val="0"/>
            <w:vAlign w:val="center"/>
          </w:tcPr>
          <w:p>
            <w:pPr>
              <w:jc w:val="center"/>
              <w:rPr>
                <w:rFonts w:hint="eastAsia"/>
                <w:color w:val="000000"/>
                <w:szCs w:val="21"/>
              </w:rPr>
            </w:pPr>
          </w:p>
        </w:tc>
        <w:tc>
          <w:tcPr>
            <w:tcW w:w="126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980" w:type="dxa"/>
            <w:noWrap w:val="0"/>
            <w:vAlign w:val="center"/>
          </w:tcPr>
          <w:p>
            <w:pPr>
              <w:jc w:val="center"/>
              <w:rPr>
                <w:rFonts w:hint="eastAsia"/>
                <w:color w:val="000000"/>
                <w:szCs w:val="21"/>
              </w:rPr>
            </w:pPr>
          </w:p>
        </w:tc>
        <w:tc>
          <w:tcPr>
            <w:tcW w:w="126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980" w:type="dxa"/>
            <w:noWrap w:val="0"/>
            <w:vAlign w:val="center"/>
          </w:tcPr>
          <w:p>
            <w:pPr>
              <w:jc w:val="center"/>
              <w:rPr>
                <w:rFonts w:hint="eastAsia"/>
                <w:color w:val="000000"/>
                <w:szCs w:val="21"/>
              </w:rPr>
            </w:pPr>
          </w:p>
        </w:tc>
        <w:tc>
          <w:tcPr>
            <w:tcW w:w="126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980" w:type="dxa"/>
            <w:noWrap w:val="0"/>
            <w:vAlign w:val="center"/>
          </w:tcPr>
          <w:p>
            <w:pPr>
              <w:jc w:val="center"/>
              <w:rPr>
                <w:rFonts w:hint="eastAsia"/>
                <w:color w:val="000000"/>
                <w:szCs w:val="21"/>
              </w:rPr>
            </w:pPr>
          </w:p>
        </w:tc>
        <w:tc>
          <w:tcPr>
            <w:tcW w:w="126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980" w:type="dxa"/>
            <w:noWrap w:val="0"/>
            <w:vAlign w:val="center"/>
          </w:tcPr>
          <w:p>
            <w:pPr>
              <w:jc w:val="center"/>
              <w:rPr>
                <w:rFonts w:hint="eastAsia"/>
                <w:color w:val="000000"/>
                <w:szCs w:val="21"/>
              </w:rPr>
            </w:pPr>
          </w:p>
        </w:tc>
        <w:tc>
          <w:tcPr>
            <w:tcW w:w="126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980" w:type="dxa"/>
            <w:noWrap w:val="0"/>
            <w:vAlign w:val="center"/>
          </w:tcPr>
          <w:p>
            <w:pPr>
              <w:jc w:val="center"/>
              <w:rPr>
                <w:rFonts w:hint="eastAsia"/>
                <w:color w:val="000000"/>
                <w:szCs w:val="21"/>
              </w:rPr>
            </w:pPr>
          </w:p>
        </w:tc>
        <w:tc>
          <w:tcPr>
            <w:tcW w:w="126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980" w:type="dxa"/>
            <w:noWrap w:val="0"/>
            <w:vAlign w:val="center"/>
          </w:tcPr>
          <w:p>
            <w:pPr>
              <w:jc w:val="center"/>
              <w:rPr>
                <w:rFonts w:hint="eastAsia"/>
                <w:color w:val="000000"/>
                <w:szCs w:val="21"/>
              </w:rPr>
            </w:pPr>
          </w:p>
        </w:tc>
        <w:tc>
          <w:tcPr>
            <w:tcW w:w="126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980" w:type="dxa"/>
            <w:noWrap w:val="0"/>
            <w:vAlign w:val="center"/>
          </w:tcPr>
          <w:p>
            <w:pPr>
              <w:jc w:val="center"/>
              <w:rPr>
                <w:rFonts w:hint="eastAsia"/>
                <w:color w:val="000000"/>
                <w:szCs w:val="21"/>
              </w:rPr>
            </w:pPr>
          </w:p>
        </w:tc>
        <w:tc>
          <w:tcPr>
            <w:tcW w:w="126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980" w:type="dxa"/>
            <w:noWrap w:val="0"/>
            <w:vAlign w:val="center"/>
          </w:tcPr>
          <w:p>
            <w:pPr>
              <w:jc w:val="center"/>
              <w:rPr>
                <w:rFonts w:hint="eastAsia"/>
                <w:color w:val="000000"/>
                <w:szCs w:val="21"/>
              </w:rPr>
            </w:pPr>
          </w:p>
        </w:tc>
        <w:tc>
          <w:tcPr>
            <w:tcW w:w="126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980" w:type="dxa"/>
            <w:noWrap w:val="0"/>
            <w:vAlign w:val="center"/>
          </w:tcPr>
          <w:p>
            <w:pPr>
              <w:jc w:val="center"/>
              <w:rPr>
                <w:rFonts w:hint="eastAsia"/>
                <w:color w:val="000000"/>
                <w:szCs w:val="21"/>
              </w:rPr>
            </w:pPr>
          </w:p>
        </w:tc>
        <w:tc>
          <w:tcPr>
            <w:tcW w:w="126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980" w:type="dxa"/>
            <w:noWrap w:val="0"/>
            <w:vAlign w:val="center"/>
          </w:tcPr>
          <w:p>
            <w:pPr>
              <w:jc w:val="center"/>
              <w:rPr>
                <w:rFonts w:hint="eastAsia"/>
                <w:color w:val="000000"/>
                <w:szCs w:val="21"/>
              </w:rPr>
            </w:pPr>
          </w:p>
        </w:tc>
        <w:tc>
          <w:tcPr>
            <w:tcW w:w="126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980" w:type="dxa"/>
            <w:noWrap w:val="0"/>
            <w:vAlign w:val="center"/>
          </w:tcPr>
          <w:p>
            <w:pPr>
              <w:jc w:val="center"/>
              <w:rPr>
                <w:rFonts w:hint="eastAsia"/>
                <w:color w:val="000000"/>
                <w:szCs w:val="21"/>
              </w:rPr>
            </w:pPr>
          </w:p>
        </w:tc>
        <w:tc>
          <w:tcPr>
            <w:tcW w:w="126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980" w:type="dxa"/>
            <w:noWrap w:val="0"/>
            <w:vAlign w:val="center"/>
          </w:tcPr>
          <w:p>
            <w:pPr>
              <w:jc w:val="center"/>
              <w:rPr>
                <w:rFonts w:hint="eastAsia"/>
                <w:color w:val="000000"/>
                <w:szCs w:val="21"/>
              </w:rPr>
            </w:pPr>
          </w:p>
        </w:tc>
        <w:tc>
          <w:tcPr>
            <w:tcW w:w="126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980" w:type="dxa"/>
            <w:noWrap w:val="0"/>
            <w:vAlign w:val="center"/>
          </w:tcPr>
          <w:p>
            <w:pPr>
              <w:jc w:val="center"/>
              <w:rPr>
                <w:rFonts w:hint="eastAsia"/>
                <w:color w:val="000000"/>
                <w:szCs w:val="21"/>
              </w:rPr>
            </w:pPr>
          </w:p>
        </w:tc>
        <w:tc>
          <w:tcPr>
            <w:tcW w:w="126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r>
              <w:rPr>
                <w:rFonts w:hint="eastAsia"/>
                <w:color w:val="000000"/>
                <w:szCs w:val="21"/>
              </w:rPr>
              <w:t>合计</w:t>
            </w:r>
          </w:p>
        </w:tc>
        <w:tc>
          <w:tcPr>
            <w:tcW w:w="1980" w:type="dxa"/>
            <w:noWrap w:val="0"/>
            <w:vAlign w:val="center"/>
          </w:tcPr>
          <w:p>
            <w:pPr>
              <w:jc w:val="center"/>
              <w:rPr>
                <w:rFonts w:hint="eastAsia"/>
                <w:color w:val="000000"/>
                <w:szCs w:val="21"/>
              </w:rPr>
            </w:pPr>
          </w:p>
        </w:tc>
        <w:tc>
          <w:tcPr>
            <w:tcW w:w="126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p>
        </w:tc>
        <w:tc>
          <w:tcPr>
            <w:tcW w:w="1440" w:type="dxa"/>
            <w:noWrap w:val="0"/>
            <w:vAlign w:val="center"/>
          </w:tcPr>
          <w:p>
            <w:pPr>
              <w:jc w:val="center"/>
              <w:rPr>
                <w:rFonts w:hint="eastAsia"/>
                <w:color w:val="000000"/>
                <w:szCs w:val="21"/>
              </w:rPr>
            </w:pPr>
            <w:r>
              <w:rPr>
                <w:rFonts w:hint="eastAsia"/>
                <w:color w:val="000000"/>
                <w:szCs w:val="21"/>
              </w:rPr>
              <w:t>—</w:t>
            </w:r>
          </w:p>
        </w:tc>
      </w:tr>
    </w:tbl>
    <w:p>
      <w:pPr>
        <w:rPr>
          <w:rFonts w:hint="eastAsia"/>
          <w:color w:val="000000"/>
          <w:sz w:val="18"/>
          <w:szCs w:val="18"/>
        </w:rPr>
      </w:pPr>
      <w:r>
        <w:rPr>
          <w:rFonts w:hint="eastAsia"/>
          <w:color w:val="000000"/>
          <w:sz w:val="18"/>
          <w:szCs w:val="18"/>
        </w:rPr>
        <w:t>注：此表“暂估金额”由招标人填写，投标人应将“暂估金额”计入投标总价中。结算时按合同约定结算金额填写。</w:t>
      </w:r>
    </w:p>
    <w:p>
      <w:pPr>
        <w:jc w:val="right"/>
        <w:rPr>
          <w:rFonts w:hint="eastAsia"/>
          <w:color w:val="000000"/>
          <w:szCs w:val="21"/>
        </w:rPr>
      </w:pPr>
    </w:p>
    <w:p>
      <w:pPr>
        <w:spacing w:line="360" w:lineRule="auto"/>
        <w:ind w:firstLine="630" w:firstLineChars="300"/>
        <w:jc w:val="left"/>
        <w:rPr>
          <w:rFonts w:ascii="宋体" w:hAnsi="宋体" w:cs="宋体"/>
          <w:color w:val="000000"/>
          <w:szCs w:val="21"/>
        </w:rPr>
      </w:pPr>
      <w:r>
        <w:rPr>
          <w:rFonts w:hint="eastAsia" w:ascii="宋体" w:hAnsi="宋体"/>
          <w:color w:val="000000"/>
          <w:szCs w:val="21"/>
        </w:rPr>
        <w:t>表15</w:t>
      </w:r>
      <w:r>
        <w:rPr>
          <w:rFonts w:hint="eastAsia" w:ascii="宋体" w:hAnsi="宋体" w:cs="宋体"/>
          <w:color w:val="000000"/>
          <w:szCs w:val="21"/>
        </w:rPr>
        <w:t>总承包服务费计价表</w:t>
      </w:r>
    </w:p>
    <w:p>
      <w:pPr>
        <w:jc w:val="center"/>
        <w:rPr>
          <w:rFonts w:hint="eastAsia"/>
          <w:b/>
          <w:color w:val="000000"/>
          <w:sz w:val="36"/>
          <w:szCs w:val="36"/>
        </w:rPr>
      </w:pPr>
      <w:r>
        <w:rPr>
          <w:rFonts w:hint="eastAsia"/>
          <w:b/>
          <w:color w:val="000000"/>
          <w:sz w:val="36"/>
          <w:szCs w:val="36"/>
        </w:rPr>
        <w:t>总承包服务费计价表</w:t>
      </w:r>
    </w:p>
    <w:p>
      <w:pPr>
        <w:rPr>
          <w:rFonts w:hint="eastAsia"/>
          <w:color w:val="000000"/>
          <w:sz w:val="24"/>
        </w:rPr>
      </w:pPr>
      <w:r>
        <w:rPr>
          <w:rFonts w:hint="eastAsia"/>
          <w:color w:val="000000"/>
          <w:sz w:val="24"/>
        </w:rPr>
        <w:t>工程名称：                                              第  页  共  页</w:t>
      </w:r>
    </w:p>
    <w:tbl>
      <w:tblPr>
        <w:tblStyle w:val="83"/>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160"/>
        <w:gridCol w:w="1620"/>
        <w:gridCol w:w="1991"/>
        <w:gridCol w:w="889"/>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r>
              <w:rPr>
                <w:rFonts w:hint="eastAsia"/>
                <w:color w:val="000000"/>
                <w:szCs w:val="21"/>
              </w:rPr>
              <w:t>序号</w:t>
            </w:r>
          </w:p>
        </w:tc>
        <w:tc>
          <w:tcPr>
            <w:tcW w:w="2160" w:type="dxa"/>
            <w:noWrap w:val="0"/>
            <w:vAlign w:val="center"/>
          </w:tcPr>
          <w:p>
            <w:pPr>
              <w:jc w:val="center"/>
              <w:rPr>
                <w:rFonts w:hint="eastAsia"/>
                <w:color w:val="000000"/>
                <w:szCs w:val="21"/>
              </w:rPr>
            </w:pPr>
            <w:r>
              <w:rPr>
                <w:rFonts w:hint="eastAsia"/>
                <w:color w:val="000000"/>
                <w:szCs w:val="21"/>
              </w:rPr>
              <w:t>项目名称</w:t>
            </w:r>
          </w:p>
        </w:tc>
        <w:tc>
          <w:tcPr>
            <w:tcW w:w="1620" w:type="dxa"/>
            <w:noWrap w:val="0"/>
            <w:vAlign w:val="center"/>
          </w:tcPr>
          <w:p>
            <w:pPr>
              <w:jc w:val="center"/>
              <w:rPr>
                <w:rFonts w:hint="eastAsia"/>
                <w:color w:val="000000"/>
                <w:szCs w:val="21"/>
              </w:rPr>
            </w:pPr>
            <w:r>
              <w:rPr>
                <w:rFonts w:hint="eastAsia"/>
                <w:color w:val="000000"/>
                <w:szCs w:val="21"/>
              </w:rPr>
              <w:t>计算基础（元）</w:t>
            </w:r>
          </w:p>
        </w:tc>
        <w:tc>
          <w:tcPr>
            <w:tcW w:w="1991" w:type="dxa"/>
            <w:noWrap w:val="0"/>
            <w:vAlign w:val="center"/>
          </w:tcPr>
          <w:p>
            <w:pPr>
              <w:jc w:val="center"/>
              <w:rPr>
                <w:rFonts w:hint="eastAsia"/>
                <w:color w:val="000000"/>
                <w:szCs w:val="21"/>
              </w:rPr>
            </w:pPr>
            <w:r>
              <w:rPr>
                <w:rFonts w:hint="eastAsia"/>
                <w:color w:val="000000"/>
                <w:szCs w:val="21"/>
              </w:rPr>
              <w:t>服务内容</w:t>
            </w:r>
          </w:p>
        </w:tc>
        <w:tc>
          <w:tcPr>
            <w:tcW w:w="889" w:type="dxa"/>
            <w:noWrap w:val="0"/>
            <w:vAlign w:val="center"/>
          </w:tcPr>
          <w:p>
            <w:pPr>
              <w:jc w:val="center"/>
              <w:rPr>
                <w:rFonts w:hint="eastAsia"/>
                <w:color w:val="000000"/>
                <w:szCs w:val="21"/>
              </w:rPr>
            </w:pPr>
            <w:r>
              <w:rPr>
                <w:rFonts w:hint="eastAsia"/>
                <w:color w:val="000000"/>
                <w:szCs w:val="21"/>
              </w:rPr>
              <w:t>费率（%）</w:t>
            </w:r>
          </w:p>
        </w:tc>
        <w:tc>
          <w:tcPr>
            <w:tcW w:w="1620" w:type="dxa"/>
            <w:noWrap w:val="0"/>
            <w:vAlign w:val="center"/>
          </w:tcPr>
          <w:p>
            <w:pPr>
              <w:jc w:val="center"/>
              <w:rPr>
                <w:rFonts w:hint="eastAsia"/>
                <w:color w:val="000000"/>
                <w:szCs w:val="21"/>
              </w:rPr>
            </w:pPr>
            <w:r>
              <w:rPr>
                <w:rFonts w:hint="eastAsia"/>
                <w:color w:val="000000"/>
                <w:szCs w:val="21"/>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r>
              <w:rPr>
                <w:rFonts w:hint="eastAsia"/>
                <w:color w:val="000000"/>
                <w:szCs w:val="21"/>
              </w:rPr>
              <w:t>1</w:t>
            </w:r>
          </w:p>
        </w:tc>
        <w:tc>
          <w:tcPr>
            <w:tcW w:w="2160" w:type="dxa"/>
            <w:noWrap w:val="0"/>
            <w:vAlign w:val="center"/>
          </w:tcPr>
          <w:p>
            <w:pPr>
              <w:rPr>
                <w:rFonts w:hint="eastAsia"/>
                <w:color w:val="000000"/>
                <w:szCs w:val="21"/>
              </w:rPr>
            </w:pPr>
            <w:r>
              <w:rPr>
                <w:rFonts w:hint="eastAsia"/>
                <w:color w:val="000000"/>
                <w:szCs w:val="21"/>
              </w:rPr>
              <w:t>发包人发包专业工程</w:t>
            </w:r>
          </w:p>
        </w:tc>
        <w:tc>
          <w:tcPr>
            <w:tcW w:w="1620" w:type="dxa"/>
            <w:noWrap w:val="0"/>
            <w:vAlign w:val="center"/>
          </w:tcPr>
          <w:p>
            <w:pPr>
              <w:jc w:val="center"/>
              <w:rPr>
                <w:rFonts w:hint="eastAsia"/>
                <w:color w:val="000000"/>
                <w:szCs w:val="21"/>
              </w:rPr>
            </w:pPr>
          </w:p>
        </w:tc>
        <w:tc>
          <w:tcPr>
            <w:tcW w:w="1991" w:type="dxa"/>
            <w:noWrap w:val="0"/>
            <w:vAlign w:val="center"/>
          </w:tcPr>
          <w:p>
            <w:pPr>
              <w:jc w:val="center"/>
              <w:rPr>
                <w:rFonts w:hint="eastAsia"/>
                <w:color w:val="000000"/>
                <w:szCs w:val="21"/>
              </w:rPr>
            </w:pPr>
          </w:p>
        </w:tc>
        <w:tc>
          <w:tcPr>
            <w:tcW w:w="889"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r>
              <w:rPr>
                <w:rFonts w:hint="eastAsia"/>
                <w:color w:val="000000"/>
                <w:szCs w:val="21"/>
              </w:rPr>
              <w:t>2</w:t>
            </w:r>
          </w:p>
        </w:tc>
        <w:tc>
          <w:tcPr>
            <w:tcW w:w="2160" w:type="dxa"/>
            <w:noWrap w:val="0"/>
            <w:vAlign w:val="center"/>
          </w:tcPr>
          <w:p>
            <w:pPr>
              <w:rPr>
                <w:rFonts w:hint="eastAsia"/>
                <w:color w:val="000000"/>
                <w:szCs w:val="21"/>
              </w:rPr>
            </w:pPr>
            <w:r>
              <w:rPr>
                <w:rFonts w:hint="eastAsia"/>
                <w:color w:val="000000"/>
                <w:szCs w:val="21"/>
              </w:rPr>
              <w:t>发包人提供材料</w:t>
            </w:r>
          </w:p>
        </w:tc>
        <w:tc>
          <w:tcPr>
            <w:tcW w:w="1620" w:type="dxa"/>
            <w:noWrap w:val="0"/>
            <w:vAlign w:val="center"/>
          </w:tcPr>
          <w:p>
            <w:pPr>
              <w:jc w:val="center"/>
              <w:rPr>
                <w:rFonts w:hint="eastAsia"/>
                <w:color w:val="000000"/>
                <w:szCs w:val="21"/>
              </w:rPr>
            </w:pPr>
          </w:p>
        </w:tc>
        <w:tc>
          <w:tcPr>
            <w:tcW w:w="1991" w:type="dxa"/>
            <w:noWrap w:val="0"/>
            <w:vAlign w:val="center"/>
          </w:tcPr>
          <w:p>
            <w:pPr>
              <w:jc w:val="center"/>
              <w:rPr>
                <w:rFonts w:hint="eastAsia"/>
                <w:color w:val="000000"/>
                <w:szCs w:val="21"/>
              </w:rPr>
            </w:pPr>
          </w:p>
        </w:tc>
        <w:tc>
          <w:tcPr>
            <w:tcW w:w="889"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c>
          <w:tcPr>
            <w:tcW w:w="1991" w:type="dxa"/>
            <w:noWrap w:val="0"/>
            <w:vAlign w:val="center"/>
          </w:tcPr>
          <w:p>
            <w:pPr>
              <w:jc w:val="center"/>
              <w:rPr>
                <w:rFonts w:hint="eastAsia"/>
                <w:color w:val="000000"/>
                <w:szCs w:val="21"/>
              </w:rPr>
            </w:pPr>
          </w:p>
        </w:tc>
        <w:tc>
          <w:tcPr>
            <w:tcW w:w="889"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c>
          <w:tcPr>
            <w:tcW w:w="1991" w:type="dxa"/>
            <w:noWrap w:val="0"/>
            <w:vAlign w:val="center"/>
          </w:tcPr>
          <w:p>
            <w:pPr>
              <w:jc w:val="center"/>
              <w:rPr>
                <w:rFonts w:hint="eastAsia"/>
                <w:color w:val="000000"/>
                <w:szCs w:val="21"/>
              </w:rPr>
            </w:pPr>
          </w:p>
        </w:tc>
        <w:tc>
          <w:tcPr>
            <w:tcW w:w="889"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c>
          <w:tcPr>
            <w:tcW w:w="1991" w:type="dxa"/>
            <w:noWrap w:val="0"/>
            <w:vAlign w:val="center"/>
          </w:tcPr>
          <w:p>
            <w:pPr>
              <w:jc w:val="center"/>
              <w:rPr>
                <w:rFonts w:hint="eastAsia"/>
                <w:color w:val="000000"/>
                <w:szCs w:val="21"/>
              </w:rPr>
            </w:pPr>
          </w:p>
        </w:tc>
        <w:tc>
          <w:tcPr>
            <w:tcW w:w="889"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c>
          <w:tcPr>
            <w:tcW w:w="1991" w:type="dxa"/>
            <w:noWrap w:val="0"/>
            <w:vAlign w:val="center"/>
          </w:tcPr>
          <w:p>
            <w:pPr>
              <w:jc w:val="center"/>
              <w:rPr>
                <w:rFonts w:hint="eastAsia"/>
                <w:color w:val="000000"/>
                <w:szCs w:val="21"/>
              </w:rPr>
            </w:pPr>
          </w:p>
        </w:tc>
        <w:tc>
          <w:tcPr>
            <w:tcW w:w="889"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c>
          <w:tcPr>
            <w:tcW w:w="1991" w:type="dxa"/>
            <w:noWrap w:val="0"/>
            <w:vAlign w:val="center"/>
          </w:tcPr>
          <w:p>
            <w:pPr>
              <w:jc w:val="center"/>
              <w:rPr>
                <w:rFonts w:hint="eastAsia"/>
                <w:color w:val="000000"/>
                <w:szCs w:val="21"/>
              </w:rPr>
            </w:pPr>
          </w:p>
        </w:tc>
        <w:tc>
          <w:tcPr>
            <w:tcW w:w="889"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c>
          <w:tcPr>
            <w:tcW w:w="1991" w:type="dxa"/>
            <w:noWrap w:val="0"/>
            <w:vAlign w:val="center"/>
          </w:tcPr>
          <w:p>
            <w:pPr>
              <w:jc w:val="center"/>
              <w:rPr>
                <w:rFonts w:hint="eastAsia"/>
                <w:color w:val="000000"/>
                <w:szCs w:val="21"/>
              </w:rPr>
            </w:pPr>
          </w:p>
        </w:tc>
        <w:tc>
          <w:tcPr>
            <w:tcW w:w="889"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c>
          <w:tcPr>
            <w:tcW w:w="1991" w:type="dxa"/>
            <w:noWrap w:val="0"/>
            <w:vAlign w:val="center"/>
          </w:tcPr>
          <w:p>
            <w:pPr>
              <w:jc w:val="center"/>
              <w:rPr>
                <w:rFonts w:hint="eastAsia"/>
                <w:color w:val="000000"/>
                <w:szCs w:val="21"/>
              </w:rPr>
            </w:pPr>
          </w:p>
        </w:tc>
        <w:tc>
          <w:tcPr>
            <w:tcW w:w="889"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c>
          <w:tcPr>
            <w:tcW w:w="1991" w:type="dxa"/>
            <w:noWrap w:val="0"/>
            <w:vAlign w:val="center"/>
          </w:tcPr>
          <w:p>
            <w:pPr>
              <w:jc w:val="center"/>
              <w:rPr>
                <w:rFonts w:hint="eastAsia"/>
                <w:color w:val="000000"/>
                <w:szCs w:val="21"/>
              </w:rPr>
            </w:pPr>
          </w:p>
        </w:tc>
        <w:tc>
          <w:tcPr>
            <w:tcW w:w="889"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c>
          <w:tcPr>
            <w:tcW w:w="1991" w:type="dxa"/>
            <w:noWrap w:val="0"/>
            <w:vAlign w:val="center"/>
          </w:tcPr>
          <w:p>
            <w:pPr>
              <w:jc w:val="center"/>
              <w:rPr>
                <w:rFonts w:hint="eastAsia"/>
                <w:color w:val="000000"/>
                <w:szCs w:val="21"/>
              </w:rPr>
            </w:pPr>
          </w:p>
        </w:tc>
        <w:tc>
          <w:tcPr>
            <w:tcW w:w="889"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c>
          <w:tcPr>
            <w:tcW w:w="1991" w:type="dxa"/>
            <w:noWrap w:val="0"/>
            <w:vAlign w:val="center"/>
          </w:tcPr>
          <w:p>
            <w:pPr>
              <w:jc w:val="center"/>
              <w:rPr>
                <w:rFonts w:hint="eastAsia"/>
                <w:color w:val="000000"/>
                <w:szCs w:val="21"/>
              </w:rPr>
            </w:pPr>
          </w:p>
        </w:tc>
        <w:tc>
          <w:tcPr>
            <w:tcW w:w="889"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c>
          <w:tcPr>
            <w:tcW w:w="1991" w:type="dxa"/>
            <w:noWrap w:val="0"/>
            <w:vAlign w:val="center"/>
          </w:tcPr>
          <w:p>
            <w:pPr>
              <w:jc w:val="center"/>
              <w:rPr>
                <w:rFonts w:hint="eastAsia"/>
                <w:color w:val="000000"/>
                <w:szCs w:val="21"/>
              </w:rPr>
            </w:pPr>
          </w:p>
        </w:tc>
        <w:tc>
          <w:tcPr>
            <w:tcW w:w="889"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8" w:type="dxa"/>
            <w:noWrap w:val="0"/>
            <w:vAlign w:val="center"/>
          </w:tcPr>
          <w:p>
            <w:pPr>
              <w:jc w:val="center"/>
              <w:rPr>
                <w:rFonts w:hint="eastAsia"/>
                <w:color w:val="000000"/>
                <w:szCs w:val="21"/>
              </w:rPr>
            </w:pPr>
          </w:p>
        </w:tc>
        <w:tc>
          <w:tcPr>
            <w:tcW w:w="2160"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c>
          <w:tcPr>
            <w:tcW w:w="1991" w:type="dxa"/>
            <w:noWrap w:val="0"/>
            <w:vAlign w:val="center"/>
          </w:tcPr>
          <w:p>
            <w:pPr>
              <w:jc w:val="center"/>
              <w:rPr>
                <w:rFonts w:hint="eastAsia"/>
                <w:color w:val="000000"/>
                <w:szCs w:val="21"/>
              </w:rPr>
            </w:pPr>
          </w:p>
        </w:tc>
        <w:tc>
          <w:tcPr>
            <w:tcW w:w="889" w:type="dxa"/>
            <w:noWrap w:val="0"/>
            <w:vAlign w:val="center"/>
          </w:tcPr>
          <w:p>
            <w:pPr>
              <w:jc w:val="center"/>
              <w:rPr>
                <w:rFonts w:hint="eastAsia"/>
                <w:color w:val="000000"/>
                <w:szCs w:val="21"/>
              </w:rPr>
            </w:pPr>
          </w:p>
        </w:tc>
        <w:tc>
          <w:tcPr>
            <w:tcW w:w="1620"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08" w:type="dxa"/>
            <w:gridSpan w:val="2"/>
            <w:noWrap w:val="0"/>
            <w:vAlign w:val="center"/>
          </w:tcPr>
          <w:p>
            <w:pPr>
              <w:jc w:val="center"/>
              <w:rPr>
                <w:rFonts w:hint="eastAsia"/>
                <w:color w:val="000000"/>
                <w:szCs w:val="21"/>
              </w:rPr>
            </w:pPr>
            <w:r>
              <w:rPr>
                <w:rFonts w:hint="eastAsia"/>
                <w:color w:val="000000"/>
                <w:szCs w:val="21"/>
              </w:rPr>
              <w:t>合计</w:t>
            </w:r>
          </w:p>
        </w:tc>
        <w:tc>
          <w:tcPr>
            <w:tcW w:w="1620" w:type="dxa"/>
            <w:noWrap w:val="0"/>
            <w:vAlign w:val="center"/>
          </w:tcPr>
          <w:p>
            <w:pPr>
              <w:jc w:val="center"/>
              <w:rPr>
                <w:rFonts w:hint="eastAsia"/>
                <w:color w:val="000000"/>
                <w:szCs w:val="21"/>
              </w:rPr>
            </w:pPr>
            <w:r>
              <w:rPr>
                <w:rFonts w:hint="eastAsia"/>
                <w:color w:val="000000"/>
                <w:szCs w:val="21"/>
              </w:rPr>
              <w:t>—</w:t>
            </w:r>
          </w:p>
        </w:tc>
        <w:tc>
          <w:tcPr>
            <w:tcW w:w="1991" w:type="dxa"/>
            <w:noWrap w:val="0"/>
            <w:vAlign w:val="center"/>
          </w:tcPr>
          <w:p>
            <w:pPr>
              <w:jc w:val="center"/>
              <w:rPr>
                <w:rFonts w:hint="eastAsia"/>
                <w:color w:val="000000"/>
                <w:szCs w:val="21"/>
              </w:rPr>
            </w:pPr>
            <w:r>
              <w:rPr>
                <w:rFonts w:hint="eastAsia"/>
                <w:color w:val="000000"/>
                <w:szCs w:val="21"/>
              </w:rPr>
              <w:t>—</w:t>
            </w:r>
          </w:p>
        </w:tc>
        <w:tc>
          <w:tcPr>
            <w:tcW w:w="889" w:type="dxa"/>
            <w:noWrap w:val="0"/>
            <w:vAlign w:val="center"/>
          </w:tcPr>
          <w:p>
            <w:pPr>
              <w:jc w:val="center"/>
              <w:rPr>
                <w:rFonts w:hint="eastAsia"/>
                <w:color w:val="000000"/>
                <w:szCs w:val="21"/>
              </w:rPr>
            </w:pPr>
            <w:r>
              <w:rPr>
                <w:rFonts w:hint="eastAsia"/>
                <w:color w:val="000000"/>
                <w:szCs w:val="21"/>
              </w:rPr>
              <w:t>—</w:t>
            </w:r>
          </w:p>
        </w:tc>
        <w:tc>
          <w:tcPr>
            <w:tcW w:w="1620" w:type="dxa"/>
            <w:noWrap w:val="0"/>
            <w:vAlign w:val="center"/>
          </w:tcPr>
          <w:p>
            <w:pPr>
              <w:jc w:val="center"/>
              <w:rPr>
                <w:rFonts w:hint="eastAsia"/>
                <w:color w:val="000000"/>
                <w:szCs w:val="21"/>
              </w:rPr>
            </w:pPr>
          </w:p>
        </w:tc>
      </w:tr>
    </w:tbl>
    <w:p>
      <w:pPr>
        <w:rPr>
          <w:rFonts w:hint="eastAsia"/>
          <w:color w:val="000000"/>
          <w:sz w:val="18"/>
          <w:szCs w:val="18"/>
        </w:rPr>
      </w:pPr>
      <w:r>
        <w:rPr>
          <w:rFonts w:hint="eastAsia"/>
          <w:color w:val="000000"/>
          <w:sz w:val="18"/>
          <w:szCs w:val="18"/>
        </w:rPr>
        <w:t>注：此表项目名称、服务内容由招标人填写，编制招标控制价时，费率及金额由招标人按有关规定确定；投标时，费率及金额由投标人自主报价，计入投标总价中。此表项目价值在结算时，计算基础按实计取。</w:t>
      </w:r>
    </w:p>
    <w:p>
      <w:pPr>
        <w:jc w:val="right"/>
        <w:rPr>
          <w:rFonts w:hint="eastAsia"/>
          <w:color w:val="000000"/>
          <w:szCs w:val="21"/>
        </w:rPr>
      </w:pPr>
    </w:p>
    <w:p>
      <w:pPr>
        <w:jc w:val="right"/>
        <w:rPr>
          <w:rFonts w:hint="eastAsia"/>
          <w:color w:val="000000"/>
          <w:szCs w:val="21"/>
        </w:rPr>
      </w:pPr>
    </w:p>
    <w:p>
      <w:pPr>
        <w:spacing w:line="360" w:lineRule="auto"/>
        <w:jc w:val="left"/>
        <w:rPr>
          <w:rFonts w:ascii="宋体" w:hAnsi="宋体"/>
          <w:color w:val="000000"/>
          <w:szCs w:val="21"/>
        </w:rPr>
      </w:pPr>
    </w:p>
    <w:p>
      <w:pPr>
        <w:spacing w:line="360" w:lineRule="auto"/>
        <w:ind w:firstLine="630" w:firstLineChars="300"/>
        <w:jc w:val="left"/>
        <w:rPr>
          <w:rFonts w:hint="eastAsia" w:ascii="宋体" w:hAnsi="宋体" w:cs="宋体"/>
          <w:color w:val="000000"/>
          <w:szCs w:val="21"/>
        </w:rPr>
      </w:pPr>
      <w:r>
        <w:rPr>
          <w:rFonts w:hint="eastAsia" w:ascii="宋体" w:hAnsi="宋体"/>
          <w:color w:val="000000"/>
          <w:szCs w:val="21"/>
        </w:rPr>
        <w:t>表16</w:t>
      </w:r>
      <w:r>
        <w:rPr>
          <w:rFonts w:hint="eastAsia" w:ascii="宋体" w:hAnsi="宋体" w:cs="宋体"/>
          <w:color w:val="000000"/>
          <w:szCs w:val="21"/>
        </w:rPr>
        <w:t>规费、增值税计价表</w:t>
      </w:r>
    </w:p>
    <w:p>
      <w:pPr>
        <w:jc w:val="center"/>
        <w:rPr>
          <w:rFonts w:hint="eastAsia"/>
          <w:b/>
          <w:color w:val="000000"/>
          <w:sz w:val="36"/>
          <w:szCs w:val="36"/>
        </w:rPr>
      </w:pPr>
      <w:r>
        <w:rPr>
          <w:rFonts w:hint="eastAsia"/>
          <w:b/>
          <w:color w:val="000000"/>
          <w:sz w:val="36"/>
          <w:szCs w:val="36"/>
        </w:rPr>
        <w:t>规费、增值税计价表</w:t>
      </w:r>
    </w:p>
    <w:p>
      <w:pPr>
        <w:spacing w:line="360" w:lineRule="auto"/>
        <w:rPr>
          <w:rFonts w:hint="eastAsia"/>
          <w:color w:val="000000"/>
          <w:sz w:val="24"/>
        </w:rPr>
      </w:pPr>
      <w:r>
        <w:rPr>
          <w:rFonts w:hint="eastAsia"/>
          <w:color w:val="000000"/>
          <w:sz w:val="24"/>
        </w:rPr>
        <w:t>工程名称：                                                    第  页  共  页</w:t>
      </w:r>
    </w:p>
    <w:tbl>
      <w:tblPr>
        <w:tblStyle w:val="8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957"/>
        <w:gridCol w:w="3021"/>
        <w:gridCol w:w="1520"/>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47" w:hRule="atLeast"/>
          <w:jc w:val="center"/>
        </w:trPr>
        <w:tc>
          <w:tcPr>
            <w:tcW w:w="939" w:type="dxa"/>
            <w:noWrap w:val="0"/>
            <w:vAlign w:val="center"/>
          </w:tcPr>
          <w:p>
            <w:pPr>
              <w:jc w:val="center"/>
              <w:rPr>
                <w:rFonts w:hint="eastAsia"/>
                <w:color w:val="000000"/>
                <w:szCs w:val="21"/>
              </w:rPr>
            </w:pPr>
            <w:r>
              <w:rPr>
                <w:rFonts w:hint="eastAsia"/>
                <w:color w:val="000000"/>
                <w:szCs w:val="21"/>
              </w:rPr>
              <w:t>序号</w:t>
            </w:r>
          </w:p>
        </w:tc>
        <w:tc>
          <w:tcPr>
            <w:tcW w:w="1957" w:type="dxa"/>
            <w:noWrap w:val="0"/>
            <w:vAlign w:val="center"/>
          </w:tcPr>
          <w:p>
            <w:pPr>
              <w:jc w:val="center"/>
              <w:rPr>
                <w:rFonts w:hint="eastAsia"/>
                <w:color w:val="000000"/>
                <w:szCs w:val="21"/>
              </w:rPr>
            </w:pPr>
            <w:r>
              <w:rPr>
                <w:rFonts w:hint="eastAsia"/>
                <w:color w:val="000000"/>
                <w:szCs w:val="21"/>
              </w:rPr>
              <w:t>项目名称</w:t>
            </w:r>
          </w:p>
        </w:tc>
        <w:tc>
          <w:tcPr>
            <w:tcW w:w="3021" w:type="dxa"/>
            <w:noWrap w:val="0"/>
            <w:vAlign w:val="center"/>
          </w:tcPr>
          <w:p>
            <w:pPr>
              <w:jc w:val="center"/>
              <w:rPr>
                <w:rFonts w:hint="eastAsia"/>
                <w:color w:val="000000"/>
                <w:szCs w:val="21"/>
              </w:rPr>
            </w:pPr>
            <w:r>
              <w:rPr>
                <w:rFonts w:hint="eastAsia"/>
                <w:color w:val="000000"/>
                <w:szCs w:val="21"/>
              </w:rPr>
              <w:t>计算基础</w:t>
            </w:r>
          </w:p>
        </w:tc>
        <w:tc>
          <w:tcPr>
            <w:tcW w:w="1520" w:type="dxa"/>
            <w:noWrap w:val="0"/>
            <w:vAlign w:val="center"/>
          </w:tcPr>
          <w:p>
            <w:pPr>
              <w:jc w:val="center"/>
              <w:rPr>
                <w:rFonts w:hint="eastAsia"/>
                <w:color w:val="000000"/>
                <w:szCs w:val="21"/>
              </w:rPr>
            </w:pPr>
            <w:r>
              <w:rPr>
                <w:rFonts w:hint="eastAsia"/>
                <w:color w:val="000000"/>
                <w:szCs w:val="21"/>
              </w:rPr>
              <w:t>计算费率（%）</w:t>
            </w:r>
          </w:p>
        </w:tc>
        <w:tc>
          <w:tcPr>
            <w:tcW w:w="1635" w:type="dxa"/>
            <w:noWrap w:val="0"/>
            <w:vAlign w:val="center"/>
          </w:tcPr>
          <w:p>
            <w:pPr>
              <w:jc w:val="center"/>
              <w:rPr>
                <w:rFonts w:hint="eastAsia"/>
                <w:color w:val="000000"/>
                <w:szCs w:val="21"/>
              </w:rPr>
            </w:pPr>
            <w:r>
              <w:rPr>
                <w:rFonts w:hint="eastAsia"/>
                <w:color w:val="000000"/>
                <w:szCs w:val="21"/>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51" w:hRule="atLeast"/>
          <w:jc w:val="center"/>
        </w:trPr>
        <w:tc>
          <w:tcPr>
            <w:tcW w:w="939" w:type="dxa"/>
            <w:noWrap w:val="0"/>
            <w:vAlign w:val="center"/>
          </w:tcPr>
          <w:p>
            <w:pPr>
              <w:jc w:val="center"/>
              <w:rPr>
                <w:rFonts w:hint="eastAsia"/>
                <w:color w:val="000000"/>
                <w:szCs w:val="21"/>
              </w:rPr>
            </w:pPr>
            <w:r>
              <w:rPr>
                <w:rFonts w:hint="eastAsia"/>
                <w:color w:val="000000"/>
                <w:szCs w:val="21"/>
              </w:rPr>
              <w:t>1</w:t>
            </w:r>
          </w:p>
        </w:tc>
        <w:tc>
          <w:tcPr>
            <w:tcW w:w="1957" w:type="dxa"/>
            <w:noWrap w:val="0"/>
            <w:vAlign w:val="center"/>
          </w:tcPr>
          <w:p>
            <w:pPr>
              <w:rPr>
                <w:rFonts w:hint="eastAsia"/>
                <w:color w:val="000000"/>
                <w:szCs w:val="21"/>
              </w:rPr>
            </w:pPr>
            <w:r>
              <w:rPr>
                <w:rFonts w:hint="eastAsia"/>
                <w:color w:val="000000"/>
                <w:szCs w:val="21"/>
              </w:rPr>
              <w:t>规费</w:t>
            </w:r>
          </w:p>
        </w:tc>
        <w:tc>
          <w:tcPr>
            <w:tcW w:w="3021" w:type="dxa"/>
            <w:noWrap w:val="0"/>
            <w:vAlign w:val="center"/>
          </w:tcPr>
          <w:p>
            <w:pPr>
              <w:jc w:val="center"/>
              <w:rPr>
                <w:rFonts w:hint="eastAsia"/>
                <w:color w:val="000000"/>
                <w:szCs w:val="21"/>
              </w:rPr>
            </w:pPr>
          </w:p>
        </w:tc>
        <w:tc>
          <w:tcPr>
            <w:tcW w:w="1520" w:type="dxa"/>
            <w:noWrap w:val="0"/>
            <w:vAlign w:val="center"/>
          </w:tcPr>
          <w:p>
            <w:pPr>
              <w:jc w:val="center"/>
              <w:rPr>
                <w:rFonts w:hint="eastAsia"/>
                <w:color w:val="000000"/>
                <w:szCs w:val="21"/>
              </w:rPr>
            </w:pPr>
          </w:p>
        </w:tc>
        <w:tc>
          <w:tcPr>
            <w:tcW w:w="1635"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51" w:hRule="atLeast"/>
          <w:jc w:val="center"/>
        </w:trPr>
        <w:tc>
          <w:tcPr>
            <w:tcW w:w="939" w:type="dxa"/>
            <w:noWrap w:val="0"/>
            <w:vAlign w:val="center"/>
          </w:tcPr>
          <w:p>
            <w:pPr>
              <w:jc w:val="center"/>
              <w:rPr>
                <w:rFonts w:hint="eastAsia"/>
                <w:color w:val="000000"/>
                <w:szCs w:val="21"/>
              </w:rPr>
            </w:pPr>
            <w:r>
              <w:rPr>
                <w:rFonts w:hint="eastAsia"/>
                <w:color w:val="000000"/>
                <w:szCs w:val="21"/>
              </w:rPr>
              <w:t>1.1</w:t>
            </w:r>
          </w:p>
        </w:tc>
        <w:tc>
          <w:tcPr>
            <w:tcW w:w="1957" w:type="dxa"/>
            <w:noWrap w:val="0"/>
            <w:vAlign w:val="center"/>
          </w:tcPr>
          <w:p>
            <w:pPr>
              <w:rPr>
                <w:rFonts w:hint="eastAsia"/>
                <w:color w:val="000000"/>
                <w:szCs w:val="21"/>
              </w:rPr>
            </w:pPr>
            <w:r>
              <w:rPr>
                <w:rFonts w:hint="eastAsia"/>
                <w:color w:val="000000"/>
                <w:szCs w:val="21"/>
              </w:rPr>
              <w:t>社会保险费</w:t>
            </w:r>
          </w:p>
        </w:tc>
        <w:tc>
          <w:tcPr>
            <w:tcW w:w="3021" w:type="dxa"/>
            <w:noWrap w:val="0"/>
            <w:vAlign w:val="center"/>
          </w:tcPr>
          <w:p>
            <w:pPr>
              <w:jc w:val="center"/>
              <w:rPr>
                <w:rFonts w:hint="eastAsia"/>
                <w:color w:val="000000"/>
                <w:szCs w:val="21"/>
              </w:rPr>
            </w:pPr>
          </w:p>
        </w:tc>
        <w:tc>
          <w:tcPr>
            <w:tcW w:w="1520" w:type="dxa"/>
            <w:noWrap w:val="0"/>
            <w:vAlign w:val="center"/>
          </w:tcPr>
          <w:p>
            <w:pPr>
              <w:jc w:val="center"/>
              <w:rPr>
                <w:rFonts w:hint="eastAsia"/>
                <w:color w:val="000000"/>
                <w:szCs w:val="21"/>
              </w:rPr>
            </w:pPr>
          </w:p>
        </w:tc>
        <w:tc>
          <w:tcPr>
            <w:tcW w:w="1635"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51" w:hRule="atLeast"/>
          <w:jc w:val="center"/>
        </w:trPr>
        <w:tc>
          <w:tcPr>
            <w:tcW w:w="939" w:type="dxa"/>
            <w:noWrap w:val="0"/>
            <w:vAlign w:val="center"/>
          </w:tcPr>
          <w:p>
            <w:pPr>
              <w:jc w:val="center"/>
              <w:rPr>
                <w:rFonts w:hint="eastAsia"/>
                <w:color w:val="000000"/>
                <w:szCs w:val="21"/>
              </w:rPr>
            </w:pPr>
            <w:r>
              <w:rPr>
                <w:rFonts w:hint="eastAsia"/>
                <w:color w:val="000000"/>
                <w:szCs w:val="21"/>
              </w:rPr>
              <w:t>1.1.1</w:t>
            </w:r>
          </w:p>
        </w:tc>
        <w:tc>
          <w:tcPr>
            <w:tcW w:w="1957" w:type="dxa"/>
            <w:noWrap w:val="0"/>
            <w:vAlign w:val="center"/>
          </w:tcPr>
          <w:p>
            <w:pPr>
              <w:rPr>
                <w:rFonts w:hint="eastAsia"/>
                <w:color w:val="000000"/>
                <w:szCs w:val="21"/>
              </w:rPr>
            </w:pPr>
            <w:r>
              <w:rPr>
                <w:rFonts w:hint="eastAsia"/>
                <w:color w:val="000000"/>
                <w:szCs w:val="21"/>
              </w:rPr>
              <w:t>养老保险费</w:t>
            </w:r>
          </w:p>
        </w:tc>
        <w:tc>
          <w:tcPr>
            <w:tcW w:w="3021" w:type="dxa"/>
            <w:noWrap w:val="0"/>
            <w:vAlign w:val="center"/>
          </w:tcPr>
          <w:p>
            <w:pPr>
              <w:jc w:val="center"/>
              <w:rPr>
                <w:rFonts w:hint="eastAsia"/>
                <w:color w:val="000000"/>
                <w:szCs w:val="21"/>
              </w:rPr>
            </w:pPr>
          </w:p>
        </w:tc>
        <w:tc>
          <w:tcPr>
            <w:tcW w:w="1520" w:type="dxa"/>
            <w:noWrap w:val="0"/>
            <w:vAlign w:val="center"/>
          </w:tcPr>
          <w:p>
            <w:pPr>
              <w:jc w:val="center"/>
              <w:rPr>
                <w:rFonts w:hint="eastAsia"/>
                <w:color w:val="000000"/>
                <w:szCs w:val="21"/>
              </w:rPr>
            </w:pPr>
          </w:p>
        </w:tc>
        <w:tc>
          <w:tcPr>
            <w:tcW w:w="1635"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51" w:hRule="atLeast"/>
          <w:jc w:val="center"/>
        </w:trPr>
        <w:tc>
          <w:tcPr>
            <w:tcW w:w="939" w:type="dxa"/>
            <w:noWrap w:val="0"/>
            <w:vAlign w:val="center"/>
          </w:tcPr>
          <w:p>
            <w:pPr>
              <w:jc w:val="center"/>
              <w:rPr>
                <w:rFonts w:hint="eastAsia"/>
                <w:color w:val="000000"/>
                <w:szCs w:val="21"/>
              </w:rPr>
            </w:pPr>
            <w:r>
              <w:rPr>
                <w:rFonts w:hint="eastAsia"/>
                <w:color w:val="000000"/>
                <w:szCs w:val="21"/>
              </w:rPr>
              <w:t>1.1.2</w:t>
            </w:r>
          </w:p>
        </w:tc>
        <w:tc>
          <w:tcPr>
            <w:tcW w:w="1957" w:type="dxa"/>
            <w:noWrap w:val="0"/>
            <w:vAlign w:val="center"/>
          </w:tcPr>
          <w:p>
            <w:pPr>
              <w:rPr>
                <w:rFonts w:hint="eastAsia"/>
                <w:color w:val="000000"/>
                <w:szCs w:val="21"/>
              </w:rPr>
            </w:pPr>
            <w:r>
              <w:rPr>
                <w:rFonts w:hint="eastAsia"/>
                <w:color w:val="000000"/>
                <w:szCs w:val="21"/>
              </w:rPr>
              <w:t>失业保险费</w:t>
            </w:r>
          </w:p>
        </w:tc>
        <w:tc>
          <w:tcPr>
            <w:tcW w:w="3021" w:type="dxa"/>
            <w:noWrap w:val="0"/>
            <w:vAlign w:val="center"/>
          </w:tcPr>
          <w:p>
            <w:pPr>
              <w:jc w:val="center"/>
              <w:rPr>
                <w:rFonts w:hint="eastAsia"/>
                <w:color w:val="000000"/>
                <w:szCs w:val="21"/>
              </w:rPr>
            </w:pPr>
          </w:p>
        </w:tc>
        <w:tc>
          <w:tcPr>
            <w:tcW w:w="1520" w:type="dxa"/>
            <w:noWrap w:val="0"/>
            <w:vAlign w:val="center"/>
          </w:tcPr>
          <w:p>
            <w:pPr>
              <w:jc w:val="center"/>
              <w:rPr>
                <w:rFonts w:hint="eastAsia"/>
                <w:color w:val="000000"/>
                <w:szCs w:val="21"/>
              </w:rPr>
            </w:pPr>
          </w:p>
        </w:tc>
        <w:tc>
          <w:tcPr>
            <w:tcW w:w="1635"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51" w:hRule="atLeast"/>
          <w:jc w:val="center"/>
        </w:trPr>
        <w:tc>
          <w:tcPr>
            <w:tcW w:w="939" w:type="dxa"/>
            <w:noWrap w:val="0"/>
            <w:vAlign w:val="center"/>
          </w:tcPr>
          <w:p>
            <w:pPr>
              <w:jc w:val="center"/>
              <w:rPr>
                <w:rFonts w:hint="eastAsia"/>
                <w:color w:val="000000"/>
                <w:szCs w:val="21"/>
              </w:rPr>
            </w:pPr>
            <w:r>
              <w:rPr>
                <w:rFonts w:hint="eastAsia"/>
                <w:color w:val="000000"/>
                <w:szCs w:val="21"/>
              </w:rPr>
              <w:t>1.1.3</w:t>
            </w:r>
          </w:p>
        </w:tc>
        <w:tc>
          <w:tcPr>
            <w:tcW w:w="1957" w:type="dxa"/>
            <w:noWrap w:val="0"/>
            <w:vAlign w:val="center"/>
          </w:tcPr>
          <w:p>
            <w:pPr>
              <w:rPr>
                <w:rFonts w:hint="eastAsia"/>
                <w:color w:val="000000"/>
                <w:szCs w:val="21"/>
              </w:rPr>
            </w:pPr>
            <w:r>
              <w:rPr>
                <w:rFonts w:hint="eastAsia"/>
                <w:color w:val="000000"/>
                <w:szCs w:val="21"/>
              </w:rPr>
              <w:t>医疗保险费</w:t>
            </w:r>
          </w:p>
        </w:tc>
        <w:tc>
          <w:tcPr>
            <w:tcW w:w="3021" w:type="dxa"/>
            <w:noWrap w:val="0"/>
            <w:vAlign w:val="center"/>
          </w:tcPr>
          <w:p>
            <w:pPr>
              <w:jc w:val="center"/>
              <w:rPr>
                <w:rFonts w:hint="eastAsia"/>
                <w:color w:val="000000"/>
                <w:szCs w:val="21"/>
              </w:rPr>
            </w:pPr>
          </w:p>
        </w:tc>
        <w:tc>
          <w:tcPr>
            <w:tcW w:w="1520" w:type="dxa"/>
            <w:noWrap w:val="0"/>
            <w:vAlign w:val="center"/>
          </w:tcPr>
          <w:p>
            <w:pPr>
              <w:jc w:val="center"/>
              <w:rPr>
                <w:rFonts w:hint="eastAsia"/>
                <w:color w:val="000000"/>
                <w:szCs w:val="21"/>
              </w:rPr>
            </w:pPr>
          </w:p>
        </w:tc>
        <w:tc>
          <w:tcPr>
            <w:tcW w:w="1635"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51" w:hRule="atLeast"/>
          <w:jc w:val="center"/>
        </w:trPr>
        <w:tc>
          <w:tcPr>
            <w:tcW w:w="939" w:type="dxa"/>
            <w:noWrap w:val="0"/>
            <w:vAlign w:val="center"/>
          </w:tcPr>
          <w:p>
            <w:pPr>
              <w:jc w:val="center"/>
              <w:rPr>
                <w:rFonts w:hint="eastAsia"/>
                <w:color w:val="000000"/>
                <w:szCs w:val="21"/>
              </w:rPr>
            </w:pPr>
            <w:r>
              <w:rPr>
                <w:rFonts w:hint="eastAsia"/>
                <w:color w:val="000000"/>
                <w:szCs w:val="21"/>
              </w:rPr>
              <w:t>1.1.4</w:t>
            </w:r>
          </w:p>
        </w:tc>
        <w:tc>
          <w:tcPr>
            <w:tcW w:w="1957" w:type="dxa"/>
            <w:noWrap w:val="0"/>
            <w:vAlign w:val="center"/>
          </w:tcPr>
          <w:p>
            <w:pPr>
              <w:rPr>
                <w:rFonts w:hint="eastAsia"/>
                <w:color w:val="000000"/>
                <w:szCs w:val="21"/>
              </w:rPr>
            </w:pPr>
            <w:r>
              <w:rPr>
                <w:rFonts w:hint="eastAsia"/>
                <w:color w:val="000000"/>
                <w:szCs w:val="21"/>
              </w:rPr>
              <w:t>生育保险费</w:t>
            </w:r>
          </w:p>
        </w:tc>
        <w:tc>
          <w:tcPr>
            <w:tcW w:w="3021" w:type="dxa"/>
            <w:noWrap w:val="0"/>
            <w:vAlign w:val="center"/>
          </w:tcPr>
          <w:p>
            <w:pPr>
              <w:jc w:val="center"/>
              <w:rPr>
                <w:rFonts w:hint="eastAsia"/>
                <w:color w:val="000000"/>
                <w:szCs w:val="21"/>
              </w:rPr>
            </w:pPr>
          </w:p>
        </w:tc>
        <w:tc>
          <w:tcPr>
            <w:tcW w:w="1520" w:type="dxa"/>
            <w:noWrap w:val="0"/>
            <w:vAlign w:val="center"/>
          </w:tcPr>
          <w:p>
            <w:pPr>
              <w:jc w:val="center"/>
              <w:rPr>
                <w:rFonts w:hint="eastAsia"/>
                <w:color w:val="000000"/>
                <w:szCs w:val="21"/>
              </w:rPr>
            </w:pPr>
          </w:p>
        </w:tc>
        <w:tc>
          <w:tcPr>
            <w:tcW w:w="1635"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51" w:hRule="atLeast"/>
          <w:jc w:val="center"/>
        </w:trPr>
        <w:tc>
          <w:tcPr>
            <w:tcW w:w="939" w:type="dxa"/>
            <w:noWrap w:val="0"/>
            <w:vAlign w:val="center"/>
          </w:tcPr>
          <w:p>
            <w:pPr>
              <w:jc w:val="center"/>
              <w:rPr>
                <w:rFonts w:hint="eastAsia"/>
                <w:color w:val="000000"/>
                <w:szCs w:val="21"/>
              </w:rPr>
            </w:pPr>
            <w:r>
              <w:rPr>
                <w:rFonts w:hint="eastAsia"/>
                <w:color w:val="000000"/>
                <w:szCs w:val="21"/>
              </w:rPr>
              <w:t>1.1.5</w:t>
            </w:r>
          </w:p>
        </w:tc>
        <w:tc>
          <w:tcPr>
            <w:tcW w:w="1957" w:type="dxa"/>
            <w:noWrap w:val="0"/>
            <w:vAlign w:val="center"/>
          </w:tcPr>
          <w:p>
            <w:pPr>
              <w:rPr>
                <w:rFonts w:hint="eastAsia"/>
                <w:color w:val="000000"/>
                <w:szCs w:val="21"/>
              </w:rPr>
            </w:pPr>
            <w:r>
              <w:rPr>
                <w:rFonts w:hint="eastAsia"/>
                <w:color w:val="000000"/>
                <w:szCs w:val="21"/>
              </w:rPr>
              <w:t>工伤保险费</w:t>
            </w:r>
          </w:p>
        </w:tc>
        <w:tc>
          <w:tcPr>
            <w:tcW w:w="3021" w:type="dxa"/>
            <w:noWrap w:val="0"/>
            <w:vAlign w:val="center"/>
          </w:tcPr>
          <w:p>
            <w:pPr>
              <w:jc w:val="center"/>
              <w:rPr>
                <w:rFonts w:hint="eastAsia"/>
                <w:color w:val="000000"/>
                <w:szCs w:val="21"/>
              </w:rPr>
            </w:pPr>
          </w:p>
        </w:tc>
        <w:tc>
          <w:tcPr>
            <w:tcW w:w="1520" w:type="dxa"/>
            <w:noWrap w:val="0"/>
            <w:vAlign w:val="center"/>
          </w:tcPr>
          <w:p>
            <w:pPr>
              <w:jc w:val="center"/>
              <w:rPr>
                <w:rFonts w:hint="eastAsia"/>
                <w:color w:val="000000"/>
                <w:szCs w:val="21"/>
              </w:rPr>
            </w:pPr>
          </w:p>
        </w:tc>
        <w:tc>
          <w:tcPr>
            <w:tcW w:w="1635"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51" w:hRule="atLeast"/>
          <w:jc w:val="center"/>
        </w:trPr>
        <w:tc>
          <w:tcPr>
            <w:tcW w:w="939" w:type="dxa"/>
            <w:noWrap w:val="0"/>
            <w:vAlign w:val="center"/>
          </w:tcPr>
          <w:p>
            <w:pPr>
              <w:jc w:val="center"/>
              <w:rPr>
                <w:rFonts w:hint="eastAsia"/>
                <w:color w:val="000000"/>
                <w:szCs w:val="21"/>
              </w:rPr>
            </w:pPr>
            <w:r>
              <w:rPr>
                <w:rFonts w:hint="eastAsia"/>
                <w:color w:val="000000"/>
                <w:szCs w:val="21"/>
              </w:rPr>
              <w:t>1.2</w:t>
            </w:r>
          </w:p>
        </w:tc>
        <w:tc>
          <w:tcPr>
            <w:tcW w:w="1957" w:type="dxa"/>
            <w:noWrap w:val="0"/>
            <w:vAlign w:val="center"/>
          </w:tcPr>
          <w:p>
            <w:pPr>
              <w:rPr>
                <w:rFonts w:hint="eastAsia"/>
                <w:color w:val="000000"/>
                <w:szCs w:val="21"/>
              </w:rPr>
            </w:pPr>
            <w:r>
              <w:rPr>
                <w:rFonts w:hint="eastAsia"/>
                <w:color w:val="000000"/>
                <w:szCs w:val="21"/>
              </w:rPr>
              <w:t>住房公积金</w:t>
            </w:r>
          </w:p>
        </w:tc>
        <w:tc>
          <w:tcPr>
            <w:tcW w:w="3021" w:type="dxa"/>
            <w:noWrap w:val="0"/>
            <w:vAlign w:val="center"/>
          </w:tcPr>
          <w:p>
            <w:pPr>
              <w:jc w:val="center"/>
              <w:rPr>
                <w:rFonts w:hint="eastAsia"/>
                <w:color w:val="000000"/>
                <w:szCs w:val="21"/>
              </w:rPr>
            </w:pPr>
          </w:p>
        </w:tc>
        <w:tc>
          <w:tcPr>
            <w:tcW w:w="1520" w:type="dxa"/>
            <w:noWrap w:val="0"/>
            <w:vAlign w:val="center"/>
          </w:tcPr>
          <w:p>
            <w:pPr>
              <w:jc w:val="center"/>
              <w:rPr>
                <w:rFonts w:hint="eastAsia"/>
                <w:color w:val="000000"/>
                <w:szCs w:val="21"/>
              </w:rPr>
            </w:pPr>
          </w:p>
        </w:tc>
        <w:tc>
          <w:tcPr>
            <w:tcW w:w="1635"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51" w:hRule="atLeast"/>
          <w:jc w:val="center"/>
        </w:trPr>
        <w:tc>
          <w:tcPr>
            <w:tcW w:w="939" w:type="dxa"/>
            <w:noWrap w:val="0"/>
            <w:vAlign w:val="center"/>
          </w:tcPr>
          <w:p>
            <w:pPr>
              <w:jc w:val="center"/>
              <w:rPr>
                <w:rFonts w:hint="eastAsia"/>
                <w:color w:val="000000"/>
                <w:szCs w:val="21"/>
              </w:rPr>
            </w:pPr>
            <w:r>
              <w:rPr>
                <w:rFonts w:hint="eastAsia"/>
                <w:color w:val="000000"/>
                <w:szCs w:val="21"/>
              </w:rPr>
              <w:t>1.3</w:t>
            </w:r>
          </w:p>
        </w:tc>
        <w:tc>
          <w:tcPr>
            <w:tcW w:w="1957" w:type="dxa"/>
            <w:noWrap w:val="0"/>
            <w:vAlign w:val="center"/>
          </w:tcPr>
          <w:p>
            <w:pPr>
              <w:rPr>
                <w:rFonts w:hint="eastAsia"/>
                <w:color w:val="000000"/>
                <w:szCs w:val="21"/>
              </w:rPr>
            </w:pPr>
            <w:r>
              <w:rPr>
                <w:rFonts w:hint="eastAsia"/>
                <w:color w:val="000000"/>
                <w:szCs w:val="21"/>
              </w:rPr>
              <w:t>工程排污费</w:t>
            </w:r>
          </w:p>
        </w:tc>
        <w:tc>
          <w:tcPr>
            <w:tcW w:w="3021" w:type="dxa"/>
            <w:noWrap w:val="0"/>
            <w:vAlign w:val="center"/>
          </w:tcPr>
          <w:p>
            <w:pPr>
              <w:jc w:val="center"/>
              <w:rPr>
                <w:rFonts w:hint="eastAsia"/>
                <w:color w:val="000000"/>
                <w:szCs w:val="21"/>
              </w:rPr>
            </w:pPr>
          </w:p>
        </w:tc>
        <w:tc>
          <w:tcPr>
            <w:tcW w:w="1520" w:type="dxa"/>
            <w:noWrap w:val="0"/>
            <w:vAlign w:val="center"/>
          </w:tcPr>
          <w:p>
            <w:pPr>
              <w:jc w:val="center"/>
              <w:rPr>
                <w:rFonts w:hint="eastAsia"/>
                <w:color w:val="000000"/>
                <w:szCs w:val="21"/>
              </w:rPr>
            </w:pPr>
          </w:p>
        </w:tc>
        <w:tc>
          <w:tcPr>
            <w:tcW w:w="1635"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51" w:hRule="atLeast"/>
          <w:jc w:val="center"/>
        </w:trPr>
        <w:tc>
          <w:tcPr>
            <w:tcW w:w="939" w:type="dxa"/>
            <w:noWrap w:val="0"/>
            <w:vAlign w:val="center"/>
          </w:tcPr>
          <w:p>
            <w:pPr>
              <w:jc w:val="center"/>
              <w:rPr>
                <w:rFonts w:hint="eastAsia"/>
                <w:color w:val="000000"/>
                <w:szCs w:val="21"/>
              </w:rPr>
            </w:pPr>
            <w:r>
              <w:rPr>
                <w:rFonts w:hint="eastAsia"/>
                <w:color w:val="000000"/>
                <w:szCs w:val="21"/>
              </w:rPr>
              <w:t>2</w:t>
            </w:r>
          </w:p>
        </w:tc>
        <w:tc>
          <w:tcPr>
            <w:tcW w:w="1957" w:type="dxa"/>
            <w:noWrap w:val="0"/>
            <w:vAlign w:val="center"/>
          </w:tcPr>
          <w:p>
            <w:pPr>
              <w:rPr>
                <w:rFonts w:hint="eastAsia"/>
                <w:color w:val="000000"/>
                <w:szCs w:val="21"/>
              </w:rPr>
            </w:pPr>
            <w:r>
              <w:rPr>
                <w:rFonts w:hint="eastAsia"/>
                <w:color w:val="000000"/>
                <w:szCs w:val="21"/>
              </w:rPr>
              <w:t>增值税销项税/</w:t>
            </w:r>
          </w:p>
          <w:p>
            <w:pPr>
              <w:rPr>
                <w:rFonts w:hint="eastAsia"/>
                <w:color w:val="000000"/>
                <w:szCs w:val="21"/>
              </w:rPr>
            </w:pPr>
            <w:r>
              <w:rPr>
                <w:rFonts w:hint="eastAsia"/>
                <w:color w:val="000000"/>
                <w:szCs w:val="21"/>
              </w:rPr>
              <w:t>增值税及附加税费</w:t>
            </w:r>
          </w:p>
        </w:tc>
        <w:tc>
          <w:tcPr>
            <w:tcW w:w="3021" w:type="dxa"/>
            <w:noWrap w:val="0"/>
            <w:vAlign w:val="center"/>
          </w:tcPr>
          <w:p>
            <w:pPr>
              <w:jc w:val="center"/>
              <w:rPr>
                <w:rFonts w:hint="eastAsia"/>
                <w:color w:val="000000"/>
                <w:szCs w:val="21"/>
              </w:rPr>
            </w:pPr>
          </w:p>
        </w:tc>
        <w:tc>
          <w:tcPr>
            <w:tcW w:w="1520" w:type="dxa"/>
            <w:noWrap w:val="0"/>
            <w:vAlign w:val="center"/>
          </w:tcPr>
          <w:p>
            <w:pPr>
              <w:jc w:val="center"/>
              <w:rPr>
                <w:rFonts w:hint="eastAsia"/>
                <w:color w:val="000000"/>
                <w:szCs w:val="21"/>
              </w:rPr>
            </w:pPr>
          </w:p>
        </w:tc>
        <w:tc>
          <w:tcPr>
            <w:tcW w:w="1635" w:type="dxa"/>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51" w:hRule="atLeast"/>
          <w:jc w:val="center"/>
        </w:trPr>
        <w:tc>
          <w:tcPr>
            <w:tcW w:w="939" w:type="dxa"/>
            <w:noWrap w:val="0"/>
            <w:vAlign w:val="center"/>
          </w:tcPr>
          <w:p>
            <w:pPr>
              <w:jc w:val="center"/>
              <w:rPr>
                <w:rFonts w:hint="eastAsia"/>
                <w:color w:val="000000"/>
                <w:szCs w:val="21"/>
              </w:rPr>
            </w:pPr>
          </w:p>
        </w:tc>
        <w:tc>
          <w:tcPr>
            <w:tcW w:w="1957" w:type="dxa"/>
            <w:noWrap w:val="0"/>
            <w:vAlign w:val="center"/>
          </w:tcPr>
          <w:p>
            <w:pPr>
              <w:rPr>
                <w:rFonts w:hint="eastAsia"/>
                <w:color w:val="000000"/>
                <w:szCs w:val="21"/>
              </w:rPr>
            </w:pPr>
          </w:p>
        </w:tc>
        <w:tc>
          <w:tcPr>
            <w:tcW w:w="3021" w:type="dxa"/>
            <w:noWrap w:val="0"/>
            <w:vAlign w:val="center"/>
          </w:tcPr>
          <w:p>
            <w:pPr>
              <w:jc w:val="center"/>
              <w:rPr>
                <w:rFonts w:hint="eastAsia"/>
                <w:color w:val="000000"/>
                <w:szCs w:val="21"/>
              </w:rPr>
            </w:pPr>
            <w:r>
              <w:rPr>
                <w:rFonts w:hint="eastAsia"/>
                <w:color w:val="000000"/>
                <w:szCs w:val="21"/>
              </w:rPr>
              <w:t>合计</w:t>
            </w:r>
          </w:p>
        </w:tc>
        <w:tc>
          <w:tcPr>
            <w:tcW w:w="1520" w:type="dxa"/>
            <w:noWrap w:val="0"/>
            <w:vAlign w:val="center"/>
          </w:tcPr>
          <w:p>
            <w:pPr>
              <w:jc w:val="center"/>
              <w:rPr>
                <w:rFonts w:hint="eastAsia"/>
                <w:color w:val="000000"/>
                <w:szCs w:val="21"/>
              </w:rPr>
            </w:pPr>
          </w:p>
        </w:tc>
        <w:tc>
          <w:tcPr>
            <w:tcW w:w="1635" w:type="dxa"/>
            <w:noWrap w:val="0"/>
            <w:vAlign w:val="center"/>
          </w:tcPr>
          <w:p>
            <w:pPr>
              <w:jc w:val="center"/>
              <w:rPr>
                <w:rFonts w:hint="eastAsia"/>
                <w:color w:val="000000"/>
                <w:szCs w:val="21"/>
              </w:rPr>
            </w:pPr>
          </w:p>
        </w:tc>
      </w:tr>
    </w:tbl>
    <w:p>
      <w:pPr>
        <w:ind w:right="420"/>
        <w:rPr>
          <w:rFonts w:hint="eastAsia"/>
          <w:color w:val="000000"/>
          <w:sz w:val="18"/>
          <w:szCs w:val="18"/>
        </w:rPr>
      </w:pPr>
      <w:r>
        <w:rPr>
          <w:rFonts w:hint="eastAsia"/>
          <w:color w:val="000000"/>
          <w:sz w:val="18"/>
          <w:szCs w:val="18"/>
        </w:rPr>
        <w:t>注：按一般计税法计价时，增值税栏应为“增值税销项税”；按简易计税法计价时，增值税栏应为“增值税及附加税费”</w:t>
      </w:r>
    </w:p>
    <w:p>
      <w:pPr>
        <w:spacing w:line="360" w:lineRule="auto"/>
        <w:ind w:firstLine="630" w:firstLineChars="300"/>
        <w:jc w:val="left"/>
        <w:rPr>
          <w:rFonts w:hint="eastAsia" w:ascii="宋体" w:hAnsi="宋体"/>
          <w:color w:val="000000"/>
          <w:szCs w:val="21"/>
        </w:rPr>
      </w:pPr>
    </w:p>
    <w:p>
      <w:pPr>
        <w:spacing w:line="360" w:lineRule="auto"/>
        <w:ind w:firstLine="630" w:firstLineChars="300"/>
        <w:jc w:val="left"/>
        <w:rPr>
          <w:rFonts w:ascii="宋体" w:hAnsi="宋体"/>
          <w:color w:val="000000"/>
          <w:szCs w:val="21"/>
        </w:rPr>
      </w:pPr>
    </w:p>
    <w:p>
      <w:pPr>
        <w:spacing w:line="360" w:lineRule="auto"/>
        <w:ind w:firstLine="630" w:firstLineChars="300"/>
        <w:jc w:val="left"/>
        <w:rPr>
          <w:rFonts w:ascii="宋体" w:hAnsi="宋体" w:cs="宋体"/>
          <w:color w:val="000000"/>
          <w:szCs w:val="21"/>
        </w:rPr>
      </w:pPr>
      <w:r>
        <w:rPr>
          <w:rFonts w:hint="eastAsia" w:ascii="宋体" w:hAnsi="宋体"/>
          <w:color w:val="000000"/>
          <w:szCs w:val="21"/>
        </w:rPr>
        <w:t>表17</w:t>
      </w:r>
      <w:r>
        <w:rPr>
          <w:rFonts w:hint="eastAsia" w:ascii="宋体" w:hAnsi="宋体" w:cs="宋体"/>
          <w:color w:val="000000"/>
          <w:szCs w:val="21"/>
        </w:rPr>
        <w:t>发包人提供主要材料和工程设备一览表（表</w:t>
      </w:r>
      <w:r>
        <w:rPr>
          <w:rFonts w:ascii="宋体" w:hAnsi="宋体"/>
          <w:color w:val="000000"/>
          <w:szCs w:val="21"/>
        </w:rPr>
        <w:t>-21</w:t>
      </w:r>
      <w:r>
        <w:rPr>
          <w:rFonts w:hint="eastAsia" w:ascii="宋体" w:hAnsi="宋体" w:cs="宋体"/>
          <w:color w:val="000000"/>
          <w:szCs w:val="21"/>
        </w:rPr>
        <w:t>）</w:t>
      </w:r>
    </w:p>
    <w:p>
      <w:pPr>
        <w:ind w:right="105"/>
        <w:jc w:val="center"/>
        <w:rPr>
          <w:rFonts w:hint="eastAsia"/>
          <w:b/>
          <w:color w:val="000000"/>
          <w:sz w:val="36"/>
          <w:szCs w:val="36"/>
        </w:rPr>
      </w:pPr>
      <w:r>
        <w:rPr>
          <w:rFonts w:hint="eastAsia"/>
          <w:b/>
          <w:color w:val="000000"/>
          <w:sz w:val="36"/>
          <w:szCs w:val="36"/>
        </w:rPr>
        <w:t>发包人提供主要材料和工程设备一览表</w:t>
      </w:r>
    </w:p>
    <w:p>
      <w:pPr>
        <w:rPr>
          <w:rFonts w:hint="eastAsia"/>
          <w:color w:val="000000"/>
          <w:sz w:val="24"/>
        </w:rPr>
      </w:pPr>
      <w:r>
        <w:rPr>
          <w:rFonts w:hint="eastAsia"/>
          <w:color w:val="000000"/>
          <w:sz w:val="24"/>
        </w:rPr>
        <w:t>工程名称：                                             编号：</w:t>
      </w:r>
    </w:p>
    <w:tbl>
      <w:tblPr>
        <w:tblStyle w:val="83"/>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801"/>
        <w:gridCol w:w="662"/>
        <w:gridCol w:w="816"/>
        <w:gridCol w:w="1328"/>
        <w:gridCol w:w="1236"/>
        <w:gridCol w:w="1236"/>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color w:val="000000"/>
                <w:szCs w:val="21"/>
              </w:rPr>
            </w:pPr>
            <w:r>
              <w:rPr>
                <w:rFonts w:hint="eastAsia"/>
                <w:color w:val="000000"/>
                <w:szCs w:val="21"/>
              </w:rPr>
              <w:t>序号</w:t>
            </w:r>
          </w:p>
        </w:tc>
        <w:tc>
          <w:tcPr>
            <w:tcW w:w="1801" w:type="dxa"/>
            <w:noWrap w:val="0"/>
            <w:vAlign w:val="center"/>
          </w:tcPr>
          <w:p>
            <w:pPr>
              <w:jc w:val="center"/>
              <w:rPr>
                <w:rFonts w:hint="eastAsia"/>
                <w:color w:val="000000"/>
                <w:szCs w:val="21"/>
              </w:rPr>
            </w:pPr>
            <w:r>
              <w:rPr>
                <w:rFonts w:hint="eastAsia"/>
                <w:color w:val="000000"/>
                <w:szCs w:val="21"/>
              </w:rPr>
              <w:t>材料（工程设备）名称、规格、型号</w:t>
            </w:r>
          </w:p>
        </w:tc>
        <w:tc>
          <w:tcPr>
            <w:tcW w:w="662" w:type="dxa"/>
            <w:noWrap w:val="0"/>
            <w:vAlign w:val="center"/>
          </w:tcPr>
          <w:p>
            <w:pPr>
              <w:jc w:val="center"/>
              <w:rPr>
                <w:rFonts w:hint="eastAsia"/>
                <w:color w:val="000000"/>
                <w:szCs w:val="21"/>
              </w:rPr>
            </w:pPr>
            <w:r>
              <w:rPr>
                <w:rFonts w:hint="eastAsia"/>
                <w:color w:val="000000"/>
                <w:szCs w:val="21"/>
              </w:rPr>
              <w:t>单位</w:t>
            </w:r>
          </w:p>
        </w:tc>
        <w:tc>
          <w:tcPr>
            <w:tcW w:w="816" w:type="dxa"/>
            <w:noWrap w:val="0"/>
            <w:vAlign w:val="center"/>
          </w:tcPr>
          <w:p>
            <w:pPr>
              <w:jc w:val="center"/>
              <w:rPr>
                <w:rFonts w:hint="eastAsia"/>
                <w:color w:val="000000"/>
                <w:szCs w:val="21"/>
              </w:rPr>
            </w:pPr>
            <w:r>
              <w:rPr>
                <w:rFonts w:hint="eastAsia"/>
                <w:color w:val="000000"/>
                <w:szCs w:val="21"/>
              </w:rPr>
              <w:t>数量</w:t>
            </w:r>
          </w:p>
        </w:tc>
        <w:tc>
          <w:tcPr>
            <w:tcW w:w="1328" w:type="dxa"/>
            <w:noWrap w:val="0"/>
            <w:vAlign w:val="center"/>
          </w:tcPr>
          <w:p>
            <w:pPr>
              <w:jc w:val="center"/>
              <w:rPr>
                <w:rFonts w:hint="eastAsia"/>
                <w:color w:val="000000"/>
                <w:szCs w:val="21"/>
              </w:rPr>
            </w:pPr>
            <w:r>
              <w:rPr>
                <w:rFonts w:hint="eastAsia"/>
                <w:color w:val="000000"/>
                <w:szCs w:val="21"/>
              </w:rPr>
              <w:t>单价（元）</w:t>
            </w:r>
          </w:p>
        </w:tc>
        <w:tc>
          <w:tcPr>
            <w:tcW w:w="1236" w:type="dxa"/>
            <w:noWrap w:val="0"/>
            <w:vAlign w:val="center"/>
          </w:tcPr>
          <w:p>
            <w:pPr>
              <w:jc w:val="center"/>
              <w:rPr>
                <w:rFonts w:hint="eastAsia"/>
                <w:color w:val="000000"/>
                <w:szCs w:val="21"/>
              </w:rPr>
            </w:pPr>
            <w:r>
              <w:rPr>
                <w:rFonts w:hint="eastAsia"/>
                <w:color w:val="000000"/>
                <w:szCs w:val="21"/>
              </w:rPr>
              <w:t>交货方式</w:t>
            </w:r>
          </w:p>
        </w:tc>
        <w:tc>
          <w:tcPr>
            <w:tcW w:w="1236" w:type="dxa"/>
            <w:noWrap w:val="0"/>
            <w:vAlign w:val="center"/>
          </w:tcPr>
          <w:p>
            <w:pPr>
              <w:jc w:val="center"/>
              <w:rPr>
                <w:rFonts w:hint="eastAsia"/>
                <w:color w:val="000000"/>
                <w:szCs w:val="21"/>
              </w:rPr>
            </w:pPr>
            <w:r>
              <w:rPr>
                <w:rFonts w:hint="eastAsia"/>
                <w:color w:val="000000"/>
                <w:szCs w:val="21"/>
              </w:rPr>
              <w:t>送达地点</w:t>
            </w:r>
          </w:p>
        </w:tc>
        <w:tc>
          <w:tcPr>
            <w:tcW w:w="1022" w:type="dxa"/>
            <w:noWrap w:val="0"/>
            <w:vAlign w:val="center"/>
          </w:tcPr>
          <w:p>
            <w:pPr>
              <w:jc w:val="center"/>
              <w:rPr>
                <w:rFonts w:hint="eastAsia"/>
                <w:color w:val="000000"/>
                <w:szCs w:val="21"/>
              </w:rPr>
            </w:pPr>
            <w:r>
              <w:rPr>
                <w:rFonts w:hint="eastAsia"/>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Cs w:val="21"/>
              </w:rPr>
            </w:pPr>
          </w:p>
        </w:tc>
        <w:tc>
          <w:tcPr>
            <w:tcW w:w="1022"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801" w:type="dxa"/>
            <w:noWrap w:val="0"/>
            <w:vAlign w:val="center"/>
          </w:tcPr>
          <w:p>
            <w:pPr>
              <w:jc w:val="center"/>
              <w:rPr>
                <w:rFonts w:hint="eastAsia"/>
                <w:b/>
                <w:color w:val="000000"/>
                <w:sz w:val="24"/>
              </w:rPr>
            </w:pPr>
            <w:r>
              <w:rPr>
                <w:rFonts w:hint="eastAsia"/>
                <w:color w:val="000000"/>
                <w:szCs w:val="21"/>
              </w:rPr>
              <w:t>合  计</w:t>
            </w:r>
          </w:p>
        </w:tc>
        <w:tc>
          <w:tcPr>
            <w:tcW w:w="662" w:type="dxa"/>
            <w:noWrap w:val="0"/>
            <w:vAlign w:val="center"/>
          </w:tcPr>
          <w:p>
            <w:pPr>
              <w:jc w:val="center"/>
              <w:rPr>
                <w:rFonts w:hint="eastAsia"/>
                <w:b/>
                <w:color w:val="000000"/>
                <w:sz w:val="24"/>
              </w:rPr>
            </w:pPr>
          </w:p>
        </w:tc>
        <w:tc>
          <w:tcPr>
            <w:tcW w:w="816"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c>
          <w:tcPr>
            <w:tcW w:w="1022" w:type="dxa"/>
            <w:noWrap w:val="0"/>
            <w:vAlign w:val="center"/>
          </w:tcPr>
          <w:p>
            <w:pPr>
              <w:jc w:val="center"/>
              <w:rPr>
                <w:rFonts w:hint="eastAsia"/>
                <w:b/>
                <w:color w:val="000000"/>
                <w:sz w:val="24"/>
              </w:rPr>
            </w:pPr>
          </w:p>
        </w:tc>
      </w:tr>
    </w:tbl>
    <w:p>
      <w:pPr>
        <w:rPr>
          <w:rFonts w:hint="eastAsia"/>
          <w:color w:val="000000"/>
          <w:sz w:val="18"/>
          <w:szCs w:val="18"/>
        </w:rPr>
      </w:pPr>
      <w:r>
        <w:rPr>
          <w:rFonts w:hint="eastAsia"/>
          <w:color w:val="000000"/>
          <w:sz w:val="18"/>
          <w:szCs w:val="18"/>
        </w:rPr>
        <w:t>注：此表由招标人填写，供投标人在投标报价、确定总承包服务费时参考。</w:t>
      </w:r>
    </w:p>
    <w:p>
      <w:pPr>
        <w:rPr>
          <w:rFonts w:hint="eastAsia"/>
          <w:color w:val="000000"/>
          <w:sz w:val="18"/>
          <w:szCs w:val="18"/>
        </w:rPr>
      </w:pPr>
    </w:p>
    <w:p>
      <w:pPr>
        <w:rPr>
          <w:rFonts w:hint="eastAsia"/>
          <w:color w:val="000000"/>
          <w:sz w:val="18"/>
          <w:szCs w:val="18"/>
        </w:rPr>
      </w:pPr>
    </w:p>
    <w:p>
      <w:pPr>
        <w:jc w:val="right"/>
        <w:rPr>
          <w:rFonts w:hint="eastAsia"/>
          <w:color w:val="000000"/>
          <w:sz w:val="24"/>
        </w:rPr>
      </w:pPr>
    </w:p>
    <w:p>
      <w:pPr>
        <w:jc w:val="right"/>
        <w:rPr>
          <w:color w:val="000000"/>
          <w:szCs w:val="21"/>
        </w:rPr>
      </w:pPr>
    </w:p>
    <w:p>
      <w:pPr>
        <w:jc w:val="right"/>
        <w:rPr>
          <w:color w:val="000000"/>
          <w:szCs w:val="21"/>
        </w:rPr>
      </w:pPr>
    </w:p>
    <w:p>
      <w:pPr>
        <w:jc w:val="right"/>
        <w:rPr>
          <w:color w:val="000000"/>
          <w:szCs w:val="21"/>
        </w:rPr>
      </w:pPr>
    </w:p>
    <w:p>
      <w:pPr>
        <w:spacing w:line="360" w:lineRule="auto"/>
        <w:ind w:firstLine="630" w:firstLineChars="300"/>
        <w:jc w:val="left"/>
        <w:rPr>
          <w:rFonts w:ascii="宋体" w:hAnsi="宋体"/>
          <w:color w:val="000000"/>
          <w:szCs w:val="21"/>
        </w:rPr>
        <w:sectPr>
          <w:pgSz w:w="11906" w:h="16838"/>
          <w:pgMar w:top="1440" w:right="1440" w:bottom="1440" w:left="1797" w:header="851" w:footer="851" w:gutter="0"/>
          <w:cols w:space="720" w:num="1"/>
          <w:docGrid w:linePitch="312" w:charSpace="0"/>
        </w:sectPr>
      </w:pPr>
    </w:p>
    <w:p>
      <w:pPr>
        <w:spacing w:line="360" w:lineRule="auto"/>
        <w:ind w:firstLine="630" w:firstLineChars="300"/>
        <w:jc w:val="left"/>
        <w:rPr>
          <w:rFonts w:hint="eastAsia" w:ascii="宋体" w:hAnsi="宋体"/>
          <w:color w:val="000000"/>
          <w:szCs w:val="21"/>
        </w:rPr>
      </w:pPr>
    </w:p>
    <w:p>
      <w:pPr>
        <w:spacing w:line="360" w:lineRule="auto"/>
        <w:ind w:firstLine="630" w:firstLineChars="300"/>
        <w:jc w:val="left"/>
        <w:rPr>
          <w:rFonts w:ascii="宋体" w:hAnsi="宋体" w:cs="宋体"/>
          <w:color w:val="000000"/>
          <w:szCs w:val="21"/>
        </w:rPr>
      </w:pPr>
      <w:r>
        <w:rPr>
          <w:rFonts w:hint="eastAsia" w:ascii="宋体" w:hAnsi="宋体"/>
          <w:color w:val="000000"/>
          <w:szCs w:val="21"/>
        </w:rPr>
        <w:t>表18</w:t>
      </w:r>
      <w:r>
        <w:rPr>
          <w:rFonts w:hint="eastAsia" w:ascii="宋体" w:hAnsi="宋体" w:cs="宋体"/>
          <w:color w:val="000000"/>
          <w:szCs w:val="21"/>
        </w:rPr>
        <w:t>允许调整价格的主要材料和工程设备一览表（适用于造价信息差额调整法）</w:t>
      </w:r>
    </w:p>
    <w:p>
      <w:pPr>
        <w:ind w:right="105"/>
        <w:jc w:val="center"/>
        <w:rPr>
          <w:rFonts w:hint="eastAsia"/>
          <w:b/>
          <w:color w:val="000000"/>
          <w:sz w:val="36"/>
          <w:szCs w:val="36"/>
        </w:rPr>
      </w:pPr>
      <w:r>
        <w:rPr>
          <w:rFonts w:hint="eastAsia"/>
          <w:b/>
          <w:color w:val="000000"/>
          <w:sz w:val="36"/>
          <w:szCs w:val="36"/>
        </w:rPr>
        <w:t>允许调整价格的主要材料和工程设备一览表</w:t>
      </w:r>
    </w:p>
    <w:p>
      <w:pPr>
        <w:ind w:right="105"/>
        <w:jc w:val="center"/>
        <w:rPr>
          <w:rFonts w:hint="eastAsia"/>
          <w:color w:val="000000"/>
          <w:sz w:val="36"/>
          <w:szCs w:val="36"/>
        </w:rPr>
      </w:pPr>
      <w:r>
        <w:rPr>
          <w:rFonts w:hint="eastAsia"/>
          <w:color w:val="000000"/>
          <w:sz w:val="36"/>
          <w:szCs w:val="36"/>
        </w:rPr>
        <w:t>（适用于造价信息差额调整法）</w:t>
      </w:r>
    </w:p>
    <w:p>
      <w:pPr>
        <w:rPr>
          <w:rFonts w:hint="eastAsia"/>
          <w:color w:val="000000"/>
          <w:sz w:val="24"/>
        </w:rPr>
      </w:pPr>
      <w:r>
        <w:rPr>
          <w:rFonts w:hint="eastAsia"/>
          <w:color w:val="000000"/>
          <w:sz w:val="24"/>
        </w:rPr>
        <w:t>工程名称：                                                                                    编号：</w:t>
      </w:r>
    </w:p>
    <w:tbl>
      <w:tblPr>
        <w:tblStyle w:val="83"/>
        <w:tblW w:w="141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3055"/>
        <w:gridCol w:w="647"/>
        <w:gridCol w:w="1410"/>
        <w:gridCol w:w="1032"/>
        <w:gridCol w:w="1477"/>
        <w:gridCol w:w="1477"/>
        <w:gridCol w:w="1477"/>
        <w:gridCol w:w="1477"/>
        <w:gridCol w:w="1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4" w:type="dxa"/>
            <w:noWrap w:val="0"/>
            <w:vAlign w:val="center"/>
          </w:tcPr>
          <w:p>
            <w:pPr>
              <w:jc w:val="center"/>
              <w:rPr>
                <w:rFonts w:hint="eastAsia"/>
                <w:color w:val="000000"/>
                <w:szCs w:val="21"/>
              </w:rPr>
            </w:pPr>
            <w:r>
              <w:rPr>
                <w:rFonts w:hint="eastAsia"/>
                <w:color w:val="000000"/>
                <w:szCs w:val="21"/>
              </w:rPr>
              <w:t>序号</w:t>
            </w:r>
          </w:p>
        </w:tc>
        <w:tc>
          <w:tcPr>
            <w:tcW w:w="3055" w:type="dxa"/>
            <w:noWrap w:val="0"/>
            <w:vAlign w:val="center"/>
          </w:tcPr>
          <w:p>
            <w:pPr>
              <w:jc w:val="center"/>
              <w:rPr>
                <w:rFonts w:hint="eastAsia"/>
                <w:color w:val="000000"/>
                <w:szCs w:val="21"/>
              </w:rPr>
            </w:pPr>
            <w:r>
              <w:rPr>
                <w:rFonts w:hint="eastAsia"/>
                <w:color w:val="000000"/>
                <w:szCs w:val="21"/>
              </w:rPr>
              <w:t>名称、规格、型号</w:t>
            </w:r>
          </w:p>
        </w:tc>
        <w:tc>
          <w:tcPr>
            <w:tcW w:w="647" w:type="dxa"/>
            <w:noWrap w:val="0"/>
            <w:vAlign w:val="center"/>
          </w:tcPr>
          <w:p>
            <w:pPr>
              <w:jc w:val="center"/>
              <w:rPr>
                <w:rFonts w:hint="eastAsia"/>
                <w:color w:val="000000"/>
                <w:szCs w:val="21"/>
              </w:rPr>
            </w:pPr>
            <w:r>
              <w:rPr>
                <w:rFonts w:hint="eastAsia"/>
                <w:color w:val="000000"/>
                <w:szCs w:val="21"/>
              </w:rPr>
              <w:t>单位</w:t>
            </w:r>
          </w:p>
        </w:tc>
        <w:tc>
          <w:tcPr>
            <w:tcW w:w="1410" w:type="dxa"/>
            <w:noWrap w:val="0"/>
            <w:vAlign w:val="center"/>
          </w:tcPr>
          <w:p>
            <w:pPr>
              <w:jc w:val="center"/>
              <w:rPr>
                <w:rFonts w:hint="eastAsia"/>
                <w:color w:val="000000"/>
                <w:szCs w:val="21"/>
              </w:rPr>
            </w:pPr>
            <w:r>
              <w:rPr>
                <w:rFonts w:hint="eastAsia"/>
                <w:color w:val="000000"/>
                <w:szCs w:val="21"/>
              </w:rPr>
              <w:t>数量</w:t>
            </w:r>
          </w:p>
        </w:tc>
        <w:tc>
          <w:tcPr>
            <w:tcW w:w="1032" w:type="dxa"/>
            <w:noWrap w:val="0"/>
            <w:vAlign w:val="center"/>
          </w:tcPr>
          <w:p>
            <w:pPr>
              <w:jc w:val="center"/>
              <w:rPr>
                <w:rFonts w:hint="eastAsia"/>
                <w:color w:val="000000"/>
                <w:szCs w:val="21"/>
              </w:rPr>
            </w:pPr>
            <w:r>
              <w:rPr>
                <w:rFonts w:hint="eastAsia"/>
                <w:color w:val="000000"/>
                <w:szCs w:val="21"/>
              </w:rPr>
              <w:t>风险系数（%）</w:t>
            </w:r>
          </w:p>
        </w:tc>
        <w:tc>
          <w:tcPr>
            <w:tcW w:w="1477" w:type="dxa"/>
            <w:noWrap w:val="0"/>
            <w:vAlign w:val="center"/>
          </w:tcPr>
          <w:p>
            <w:pPr>
              <w:jc w:val="center"/>
              <w:rPr>
                <w:rFonts w:hint="eastAsia"/>
                <w:color w:val="000000"/>
                <w:szCs w:val="21"/>
              </w:rPr>
            </w:pPr>
            <w:r>
              <w:rPr>
                <w:rFonts w:hint="eastAsia"/>
                <w:color w:val="000000"/>
                <w:szCs w:val="21"/>
              </w:rPr>
              <w:t>基准单价（元）</w:t>
            </w:r>
          </w:p>
        </w:tc>
        <w:tc>
          <w:tcPr>
            <w:tcW w:w="1477" w:type="dxa"/>
            <w:noWrap w:val="0"/>
            <w:vAlign w:val="center"/>
          </w:tcPr>
          <w:p>
            <w:pPr>
              <w:jc w:val="center"/>
              <w:rPr>
                <w:rFonts w:hint="eastAsia"/>
                <w:color w:val="000000"/>
                <w:szCs w:val="21"/>
              </w:rPr>
            </w:pPr>
            <w:r>
              <w:rPr>
                <w:rFonts w:hint="eastAsia"/>
                <w:color w:val="000000"/>
                <w:szCs w:val="21"/>
              </w:rPr>
              <w:t>投标单价（元）</w:t>
            </w:r>
          </w:p>
        </w:tc>
        <w:tc>
          <w:tcPr>
            <w:tcW w:w="1477" w:type="dxa"/>
            <w:noWrap w:val="0"/>
            <w:vAlign w:val="center"/>
          </w:tcPr>
          <w:p>
            <w:pPr>
              <w:jc w:val="center"/>
              <w:rPr>
                <w:rFonts w:hint="eastAsia"/>
                <w:color w:val="000000"/>
                <w:szCs w:val="21"/>
              </w:rPr>
            </w:pPr>
            <w:r>
              <w:rPr>
                <w:rFonts w:hint="eastAsia"/>
                <w:color w:val="000000"/>
                <w:szCs w:val="21"/>
              </w:rPr>
              <w:t>确认单价（元）</w:t>
            </w:r>
          </w:p>
        </w:tc>
        <w:tc>
          <w:tcPr>
            <w:tcW w:w="1477" w:type="dxa"/>
            <w:noWrap w:val="0"/>
            <w:vAlign w:val="center"/>
          </w:tcPr>
          <w:p>
            <w:pPr>
              <w:jc w:val="center"/>
              <w:rPr>
                <w:rFonts w:hint="eastAsia"/>
                <w:color w:val="000000"/>
                <w:szCs w:val="21"/>
              </w:rPr>
            </w:pPr>
            <w:r>
              <w:rPr>
                <w:rFonts w:hint="eastAsia"/>
                <w:color w:val="000000"/>
                <w:szCs w:val="21"/>
              </w:rPr>
              <w:t>价差（元）</w:t>
            </w:r>
          </w:p>
        </w:tc>
        <w:tc>
          <w:tcPr>
            <w:tcW w:w="1477" w:type="dxa"/>
            <w:noWrap w:val="0"/>
            <w:vAlign w:val="center"/>
          </w:tcPr>
          <w:p>
            <w:pPr>
              <w:jc w:val="center"/>
              <w:rPr>
                <w:rFonts w:hint="eastAsia"/>
                <w:color w:val="000000"/>
                <w:szCs w:val="21"/>
              </w:rPr>
            </w:pPr>
            <w:r>
              <w:rPr>
                <w:rFonts w:hint="eastAsia"/>
                <w:color w:val="000000"/>
                <w:szCs w:val="21"/>
              </w:rPr>
              <w:t>合计价差（元）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4" w:type="dxa"/>
            <w:noWrap w:val="0"/>
            <w:vAlign w:val="center"/>
          </w:tcPr>
          <w:p>
            <w:pPr>
              <w:jc w:val="center"/>
              <w:rPr>
                <w:rFonts w:hint="eastAsia"/>
                <w:b/>
                <w:color w:val="000000"/>
                <w:sz w:val="24"/>
              </w:rPr>
            </w:pPr>
          </w:p>
        </w:tc>
        <w:tc>
          <w:tcPr>
            <w:tcW w:w="3055" w:type="dxa"/>
            <w:noWrap w:val="0"/>
            <w:vAlign w:val="center"/>
          </w:tcPr>
          <w:p>
            <w:pPr>
              <w:jc w:val="center"/>
              <w:rPr>
                <w:rFonts w:hint="eastAsia"/>
                <w:b/>
                <w:color w:val="000000"/>
                <w:sz w:val="24"/>
              </w:rPr>
            </w:pPr>
          </w:p>
        </w:tc>
        <w:tc>
          <w:tcPr>
            <w:tcW w:w="647" w:type="dxa"/>
            <w:noWrap w:val="0"/>
            <w:vAlign w:val="center"/>
          </w:tcPr>
          <w:p>
            <w:pPr>
              <w:jc w:val="center"/>
              <w:rPr>
                <w:rFonts w:hint="eastAsia"/>
                <w:b/>
                <w:color w:val="000000"/>
                <w:sz w:val="24"/>
              </w:rPr>
            </w:pPr>
          </w:p>
        </w:tc>
        <w:tc>
          <w:tcPr>
            <w:tcW w:w="1410" w:type="dxa"/>
            <w:noWrap w:val="0"/>
            <w:vAlign w:val="center"/>
          </w:tcPr>
          <w:p>
            <w:pPr>
              <w:jc w:val="center"/>
              <w:rPr>
                <w:rFonts w:hint="eastAsia"/>
                <w:b/>
                <w:color w:val="000000"/>
                <w:sz w:val="24"/>
              </w:rPr>
            </w:pPr>
          </w:p>
        </w:tc>
        <w:tc>
          <w:tcPr>
            <w:tcW w:w="1032"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top"/>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4" w:type="dxa"/>
            <w:noWrap w:val="0"/>
            <w:vAlign w:val="center"/>
          </w:tcPr>
          <w:p>
            <w:pPr>
              <w:jc w:val="center"/>
              <w:rPr>
                <w:rFonts w:hint="eastAsia"/>
                <w:b/>
                <w:color w:val="000000"/>
                <w:sz w:val="24"/>
              </w:rPr>
            </w:pPr>
          </w:p>
        </w:tc>
        <w:tc>
          <w:tcPr>
            <w:tcW w:w="3055" w:type="dxa"/>
            <w:noWrap w:val="0"/>
            <w:vAlign w:val="center"/>
          </w:tcPr>
          <w:p>
            <w:pPr>
              <w:jc w:val="center"/>
              <w:rPr>
                <w:rFonts w:hint="eastAsia"/>
                <w:b/>
                <w:color w:val="000000"/>
                <w:sz w:val="24"/>
              </w:rPr>
            </w:pPr>
          </w:p>
        </w:tc>
        <w:tc>
          <w:tcPr>
            <w:tcW w:w="647" w:type="dxa"/>
            <w:noWrap w:val="0"/>
            <w:vAlign w:val="center"/>
          </w:tcPr>
          <w:p>
            <w:pPr>
              <w:jc w:val="center"/>
              <w:rPr>
                <w:rFonts w:hint="eastAsia"/>
                <w:b/>
                <w:color w:val="000000"/>
                <w:sz w:val="24"/>
              </w:rPr>
            </w:pPr>
          </w:p>
        </w:tc>
        <w:tc>
          <w:tcPr>
            <w:tcW w:w="1410" w:type="dxa"/>
            <w:noWrap w:val="0"/>
            <w:vAlign w:val="center"/>
          </w:tcPr>
          <w:p>
            <w:pPr>
              <w:jc w:val="center"/>
              <w:rPr>
                <w:rFonts w:hint="eastAsia"/>
                <w:b/>
                <w:color w:val="000000"/>
                <w:sz w:val="24"/>
              </w:rPr>
            </w:pPr>
          </w:p>
        </w:tc>
        <w:tc>
          <w:tcPr>
            <w:tcW w:w="1032"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top"/>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4" w:type="dxa"/>
            <w:noWrap w:val="0"/>
            <w:vAlign w:val="center"/>
          </w:tcPr>
          <w:p>
            <w:pPr>
              <w:jc w:val="center"/>
              <w:rPr>
                <w:rFonts w:hint="eastAsia"/>
                <w:b/>
                <w:color w:val="000000"/>
                <w:sz w:val="24"/>
              </w:rPr>
            </w:pPr>
          </w:p>
        </w:tc>
        <w:tc>
          <w:tcPr>
            <w:tcW w:w="3055" w:type="dxa"/>
            <w:noWrap w:val="0"/>
            <w:vAlign w:val="center"/>
          </w:tcPr>
          <w:p>
            <w:pPr>
              <w:jc w:val="center"/>
              <w:rPr>
                <w:rFonts w:hint="eastAsia"/>
                <w:b/>
                <w:color w:val="000000"/>
                <w:sz w:val="24"/>
              </w:rPr>
            </w:pPr>
          </w:p>
        </w:tc>
        <w:tc>
          <w:tcPr>
            <w:tcW w:w="647" w:type="dxa"/>
            <w:noWrap w:val="0"/>
            <w:vAlign w:val="center"/>
          </w:tcPr>
          <w:p>
            <w:pPr>
              <w:jc w:val="center"/>
              <w:rPr>
                <w:rFonts w:hint="eastAsia"/>
                <w:b/>
                <w:color w:val="000000"/>
                <w:sz w:val="24"/>
              </w:rPr>
            </w:pPr>
          </w:p>
        </w:tc>
        <w:tc>
          <w:tcPr>
            <w:tcW w:w="1410" w:type="dxa"/>
            <w:noWrap w:val="0"/>
            <w:vAlign w:val="center"/>
          </w:tcPr>
          <w:p>
            <w:pPr>
              <w:jc w:val="center"/>
              <w:rPr>
                <w:rFonts w:hint="eastAsia"/>
                <w:b/>
                <w:color w:val="000000"/>
                <w:sz w:val="24"/>
              </w:rPr>
            </w:pPr>
          </w:p>
        </w:tc>
        <w:tc>
          <w:tcPr>
            <w:tcW w:w="1032"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top"/>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4" w:type="dxa"/>
            <w:noWrap w:val="0"/>
            <w:vAlign w:val="center"/>
          </w:tcPr>
          <w:p>
            <w:pPr>
              <w:jc w:val="center"/>
              <w:rPr>
                <w:rFonts w:hint="eastAsia"/>
                <w:b/>
                <w:color w:val="000000"/>
                <w:sz w:val="24"/>
              </w:rPr>
            </w:pPr>
          </w:p>
        </w:tc>
        <w:tc>
          <w:tcPr>
            <w:tcW w:w="3055" w:type="dxa"/>
            <w:noWrap w:val="0"/>
            <w:vAlign w:val="center"/>
          </w:tcPr>
          <w:p>
            <w:pPr>
              <w:jc w:val="center"/>
              <w:rPr>
                <w:rFonts w:hint="eastAsia"/>
                <w:b/>
                <w:color w:val="000000"/>
                <w:sz w:val="24"/>
              </w:rPr>
            </w:pPr>
          </w:p>
        </w:tc>
        <w:tc>
          <w:tcPr>
            <w:tcW w:w="647" w:type="dxa"/>
            <w:noWrap w:val="0"/>
            <w:vAlign w:val="center"/>
          </w:tcPr>
          <w:p>
            <w:pPr>
              <w:jc w:val="center"/>
              <w:rPr>
                <w:rFonts w:hint="eastAsia"/>
                <w:b/>
                <w:color w:val="000000"/>
                <w:sz w:val="24"/>
              </w:rPr>
            </w:pPr>
          </w:p>
        </w:tc>
        <w:tc>
          <w:tcPr>
            <w:tcW w:w="1410" w:type="dxa"/>
            <w:noWrap w:val="0"/>
            <w:vAlign w:val="center"/>
          </w:tcPr>
          <w:p>
            <w:pPr>
              <w:jc w:val="center"/>
              <w:rPr>
                <w:rFonts w:hint="eastAsia"/>
                <w:b/>
                <w:color w:val="000000"/>
                <w:sz w:val="24"/>
              </w:rPr>
            </w:pPr>
          </w:p>
        </w:tc>
        <w:tc>
          <w:tcPr>
            <w:tcW w:w="1032"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top"/>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4" w:type="dxa"/>
            <w:noWrap w:val="0"/>
            <w:vAlign w:val="center"/>
          </w:tcPr>
          <w:p>
            <w:pPr>
              <w:jc w:val="center"/>
              <w:rPr>
                <w:rFonts w:hint="eastAsia"/>
                <w:b/>
                <w:color w:val="000000"/>
                <w:sz w:val="24"/>
              </w:rPr>
            </w:pPr>
          </w:p>
        </w:tc>
        <w:tc>
          <w:tcPr>
            <w:tcW w:w="3055" w:type="dxa"/>
            <w:noWrap w:val="0"/>
            <w:vAlign w:val="center"/>
          </w:tcPr>
          <w:p>
            <w:pPr>
              <w:jc w:val="center"/>
              <w:rPr>
                <w:rFonts w:hint="eastAsia"/>
                <w:b/>
                <w:color w:val="000000"/>
                <w:sz w:val="24"/>
              </w:rPr>
            </w:pPr>
          </w:p>
        </w:tc>
        <w:tc>
          <w:tcPr>
            <w:tcW w:w="647" w:type="dxa"/>
            <w:noWrap w:val="0"/>
            <w:vAlign w:val="center"/>
          </w:tcPr>
          <w:p>
            <w:pPr>
              <w:jc w:val="center"/>
              <w:rPr>
                <w:rFonts w:hint="eastAsia"/>
                <w:b/>
                <w:color w:val="000000"/>
                <w:sz w:val="24"/>
              </w:rPr>
            </w:pPr>
          </w:p>
        </w:tc>
        <w:tc>
          <w:tcPr>
            <w:tcW w:w="1410" w:type="dxa"/>
            <w:noWrap w:val="0"/>
            <w:vAlign w:val="center"/>
          </w:tcPr>
          <w:p>
            <w:pPr>
              <w:jc w:val="center"/>
              <w:rPr>
                <w:rFonts w:hint="eastAsia"/>
                <w:b/>
                <w:color w:val="000000"/>
                <w:sz w:val="24"/>
              </w:rPr>
            </w:pPr>
          </w:p>
        </w:tc>
        <w:tc>
          <w:tcPr>
            <w:tcW w:w="1032"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top"/>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4" w:type="dxa"/>
            <w:noWrap w:val="0"/>
            <w:vAlign w:val="center"/>
          </w:tcPr>
          <w:p>
            <w:pPr>
              <w:jc w:val="center"/>
              <w:rPr>
                <w:rFonts w:hint="eastAsia"/>
                <w:b/>
                <w:color w:val="000000"/>
                <w:sz w:val="24"/>
              </w:rPr>
            </w:pPr>
          </w:p>
        </w:tc>
        <w:tc>
          <w:tcPr>
            <w:tcW w:w="3055" w:type="dxa"/>
            <w:noWrap w:val="0"/>
            <w:vAlign w:val="center"/>
          </w:tcPr>
          <w:p>
            <w:pPr>
              <w:jc w:val="center"/>
              <w:rPr>
                <w:rFonts w:hint="eastAsia"/>
                <w:b/>
                <w:color w:val="000000"/>
                <w:sz w:val="24"/>
              </w:rPr>
            </w:pPr>
          </w:p>
        </w:tc>
        <w:tc>
          <w:tcPr>
            <w:tcW w:w="647" w:type="dxa"/>
            <w:noWrap w:val="0"/>
            <w:vAlign w:val="center"/>
          </w:tcPr>
          <w:p>
            <w:pPr>
              <w:jc w:val="center"/>
              <w:rPr>
                <w:rFonts w:hint="eastAsia"/>
                <w:b/>
                <w:color w:val="000000"/>
                <w:sz w:val="24"/>
              </w:rPr>
            </w:pPr>
          </w:p>
        </w:tc>
        <w:tc>
          <w:tcPr>
            <w:tcW w:w="1410" w:type="dxa"/>
            <w:noWrap w:val="0"/>
            <w:vAlign w:val="center"/>
          </w:tcPr>
          <w:p>
            <w:pPr>
              <w:jc w:val="center"/>
              <w:rPr>
                <w:rFonts w:hint="eastAsia"/>
                <w:b/>
                <w:color w:val="000000"/>
                <w:sz w:val="24"/>
              </w:rPr>
            </w:pPr>
          </w:p>
        </w:tc>
        <w:tc>
          <w:tcPr>
            <w:tcW w:w="1032"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top"/>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4" w:type="dxa"/>
            <w:noWrap w:val="0"/>
            <w:vAlign w:val="center"/>
          </w:tcPr>
          <w:p>
            <w:pPr>
              <w:jc w:val="center"/>
              <w:rPr>
                <w:rFonts w:hint="eastAsia"/>
                <w:b/>
                <w:color w:val="000000"/>
                <w:sz w:val="24"/>
              </w:rPr>
            </w:pPr>
          </w:p>
        </w:tc>
        <w:tc>
          <w:tcPr>
            <w:tcW w:w="3055" w:type="dxa"/>
            <w:noWrap w:val="0"/>
            <w:vAlign w:val="center"/>
          </w:tcPr>
          <w:p>
            <w:pPr>
              <w:jc w:val="center"/>
              <w:rPr>
                <w:rFonts w:hint="eastAsia"/>
                <w:b/>
                <w:color w:val="000000"/>
                <w:sz w:val="24"/>
              </w:rPr>
            </w:pPr>
          </w:p>
        </w:tc>
        <w:tc>
          <w:tcPr>
            <w:tcW w:w="647" w:type="dxa"/>
            <w:noWrap w:val="0"/>
            <w:vAlign w:val="center"/>
          </w:tcPr>
          <w:p>
            <w:pPr>
              <w:jc w:val="center"/>
              <w:rPr>
                <w:rFonts w:hint="eastAsia"/>
                <w:b/>
                <w:color w:val="000000"/>
                <w:sz w:val="24"/>
              </w:rPr>
            </w:pPr>
          </w:p>
        </w:tc>
        <w:tc>
          <w:tcPr>
            <w:tcW w:w="1410" w:type="dxa"/>
            <w:noWrap w:val="0"/>
            <w:vAlign w:val="center"/>
          </w:tcPr>
          <w:p>
            <w:pPr>
              <w:jc w:val="center"/>
              <w:rPr>
                <w:rFonts w:hint="eastAsia"/>
                <w:b/>
                <w:color w:val="000000"/>
                <w:sz w:val="24"/>
              </w:rPr>
            </w:pPr>
          </w:p>
        </w:tc>
        <w:tc>
          <w:tcPr>
            <w:tcW w:w="1032"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top"/>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4" w:type="dxa"/>
            <w:noWrap w:val="0"/>
            <w:vAlign w:val="center"/>
          </w:tcPr>
          <w:p>
            <w:pPr>
              <w:jc w:val="center"/>
              <w:rPr>
                <w:rFonts w:hint="eastAsia"/>
                <w:b/>
                <w:color w:val="000000"/>
                <w:sz w:val="24"/>
              </w:rPr>
            </w:pPr>
          </w:p>
        </w:tc>
        <w:tc>
          <w:tcPr>
            <w:tcW w:w="3055" w:type="dxa"/>
            <w:noWrap w:val="0"/>
            <w:vAlign w:val="center"/>
          </w:tcPr>
          <w:p>
            <w:pPr>
              <w:jc w:val="center"/>
              <w:rPr>
                <w:rFonts w:hint="eastAsia"/>
                <w:b/>
                <w:color w:val="000000"/>
                <w:sz w:val="24"/>
              </w:rPr>
            </w:pPr>
            <w:r>
              <w:rPr>
                <w:rFonts w:hint="eastAsia"/>
                <w:color w:val="000000"/>
                <w:szCs w:val="21"/>
              </w:rPr>
              <w:t>合   计</w:t>
            </w:r>
          </w:p>
        </w:tc>
        <w:tc>
          <w:tcPr>
            <w:tcW w:w="647" w:type="dxa"/>
            <w:noWrap w:val="0"/>
            <w:vAlign w:val="center"/>
          </w:tcPr>
          <w:p>
            <w:pPr>
              <w:jc w:val="center"/>
              <w:rPr>
                <w:rFonts w:hint="eastAsia"/>
                <w:b/>
                <w:color w:val="000000"/>
                <w:sz w:val="24"/>
              </w:rPr>
            </w:pPr>
          </w:p>
        </w:tc>
        <w:tc>
          <w:tcPr>
            <w:tcW w:w="1410" w:type="dxa"/>
            <w:noWrap w:val="0"/>
            <w:vAlign w:val="center"/>
          </w:tcPr>
          <w:p>
            <w:pPr>
              <w:jc w:val="center"/>
              <w:rPr>
                <w:rFonts w:hint="eastAsia"/>
                <w:b/>
                <w:color w:val="000000"/>
                <w:sz w:val="24"/>
              </w:rPr>
            </w:pPr>
          </w:p>
        </w:tc>
        <w:tc>
          <w:tcPr>
            <w:tcW w:w="1032"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center"/>
          </w:tcPr>
          <w:p>
            <w:pPr>
              <w:jc w:val="center"/>
              <w:rPr>
                <w:rFonts w:hint="eastAsia"/>
                <w:b/>
                <w:color w:val="000000"/>
                <w:sz w:val="24"/>
              </w:rPr>
            </w:pPr>
          </w:p>
        </w:tc>
        <w:tc>
          <w:tcPr>
            <w:tcW w:w="1477" w:type="dxa"/>
            <w:noWrap w:val="0"/>
            <w:vAlign w:val="top"/>
          </w:tcPr>
          <w:p>
            <w:pPr>
              <w:jc w:val="center"/>
              <w:rPr>
                <w:rFonts w:hint="eastAsia"/>
                <w:b/>
                <w:color w:val="000000"/>
                <w:sz w:val="24"/>
              </w:rPr>
            </w:pPr>
          </w:p>
        </w:tc>
      </w:tr>
    </w:tbl>
    <w:p>
      <w:pPr>
        <w:rPr>
          <w:rFonts w:hint="eastAsia"/>
          <w:color w:val="000000"/>
          <w:sz w:val="18"/>
          <w:szCs w:val="18"/>
        </w:rPr>
      </w:pPr>
      <w:r>
        <w:rPr>
          <w:rFonts w:hint="eastAsia"/>
          <w:color w:val="000000"/>
          <w:sz w:val="18"/>
          <w:szCs w:val="18"/>
        </w:rPr>
        <w:t>注：1、此表由招标人填写除“投标单价”栏的内容，投标人在投标时自主确定投标单价。</w:t>
      </w:r>
    </w:p>
    <w:p>
      <w:pPr>
        <w:rPr>
          <w:rFonts w:hint="eastAsia"/>
          <w:color w:val="000000"/>
          <w:sz w:val="18"/>
          <w:szCs w:val="18"/>
        </w:rPr>
      </w:pPr>
      <w:r>
        <w:rPr>
          <w:rFonts w:hint="eastAsia"/>
          <w:color w:val="000000"/>
          <w:sz w:val="18"/>
          <w:szCs w:val="18"/>
        </w:rPr>
        <w:t>2、招标人应优先采用工程造价管理机构发布的单价作为基准单价，未发布的，通过市场调查确定其基准单价。</w:t>
      </w:r>
    </w:p>
    <w:p>
      <w:pPr>
        <w:spacing w:line="360" w:lineRule="auto"/>
        <w:jc w:val="right"/>
        <w:rPr>
          <w:rFonts w:hint="eastAsia" w:ascii="宋体" w:hAnsi="宋体" w:cs="宋体"/>
          <w:color w:val="000000"/>
          <w:szCs w:val="21"/>
        </w:rPr>
        <w:sectPr>
          <w:pgSz w:w="16838" w:h="11906" w:orient="landscape"/>
          <w:pgMar w:top="1797" w:right="1440" w:bottom="1440" w:left="1440" w:header="851" w:footer="851" w:gutter="0"/>
          <w:cols w:space="720" w:num="1"/>
          <w:docGrid w:linePitch="312" w:charSpace="0"/>
        </w:sectPr>
      </w:pPr>
    </w:p>
    <w:p>
      <w:pPr>
        <w:spacing w:line="360" w:lineRule="auto"/>
        <w:ind w:firstLine="630" w:firstLineChars="300"/>
        <w:jc w:val="left"/>
        <w:rPr>
          <w:rFonts w:hint="eastAsia" w:ascii="宋体" w:hAnsi="宋体"/>
          <w:color w:val="000000"/>
          <w:szCs w:val="21"/>
        </w:rPr>
      </w:pPr>
    </w:p>
    <w:p>
      <w:pPr>
        <w:spacing w:line="360" w:lineRule="auto"/>
        <w:ind w:firstLine="630" w:firstLineChars="300"/>
        <w:jc w:val="left"/>
        <w:rPr>
          <w:rFonts w:ascii="宋体" w:hAnsi="宋体" w:cs="宋体"/>
          <w:color w:val="000000"/>
          <w:szCs w:val="21"/>
        </w:rPr>
      </w:pPr>
      <w:r>
        <w:rPr>
          <w:rFonts w:hint="eastAsia" w:ascii="宋体" w:hAnsi="宋体"/>
          <w:color w:val="000000"/>
          <w:szCs w:val="21"/>
        </w:rPr>
        <w:t>表</w:t>
      </w:r>
      <w:r>
        <w:rPr>
          <w:rFonts w:ascii="宋体" w:hAnsi="宋体"/>
          <w:color w:val="000000"/>
          <w:szCs w:val="21"/>
        </w:rPr>
        <w:t>1</w:t>
      </w:r>
      <w:r>
        <w:rPr>
          <w:rFonts w:hint="eastAsia" w:ascii="宋体" w:hAnsi="宋体"/>
          <w:color w:val="000000"/>
          <w:szCs w:val="21"/>
        </w:rPr>
        <w:t>9</w:t>
      </w:r>
      <w:r>
        <w:rPr>
          <w:rFonts w:hint="eastAsia" w:ascii="宋体" w:hAnsi="宋体" w:cs="宋体"/>
          <w:color w:val="000000"/>
          <w:szCs w:val="21"/>
        </w:rPr>
        <w:t>允许调整价格的主要材料和工程设备一览表（适用于价格指数差额调整法）</w:t>
      </w:r>
    </w:p>
    <w:p>
      <w:pPr>
        <w:ind w:right="105"/>
        <w:jc w:val="center"/>
        <w:rPr>
          <w:rFonts w:hint="eastAsia"/>
          <w:b/>
          <w:color w:val="000000"/>
          <w:sz w:val="36"/>
          <w:szCs w:val="36"/>
        </w:rPr>
      </w:pPr>
      <w:r>
        <w:rPr>
          <w:rFonts w:hint="eastAsia"/>
          <w:b/>
          <w:color w:val="000000"/>
          <w:sz w:val="36"/>
          <w:szCs w:val="36"/>
        </w:rPr>
        <w:t>允许调整价格的主要材料和工程设备一览表</w:t>
      </w:r>
    </w:p>
    <w:p>
      <w:pPr>
        <w:ind w:right="105"/>
        <w:jc w:val="center"/>
        <w:rPr>
          <w:rFonts w:hint="eastAsia"/>
          <w:color w:val="000000"/>
          <w:sz w:val="36"/>
          <w:szCs w:val="36"/>
        </w:rPr>
      </w:pPr>
      <w:r>
        <w:rPr>
          <w:rFonts w:hint="eastAsia"/>
          <w:color w:val="000000"/>
          <w:sz w:val="36"/>
          <w:szCs w:val="36"/>
        </w:rPr>
        <w:t>（适用于价格指数差额调整法）</w:t>
      </w:r>
    </w:p>
    <w:p>
      <w:pPr>
        <w:rPr>
          <w:rFonts w:hint="eastAsia"/>
          <w:color w:val="000000"/>
          <w:sz w:val="24"/>
        </w:rPr>
      </w:pPr>
      <w:r>
        <w:rPr>
          <w:rFonts w:hint="eastAsia"/>
          <w:color w:val="000000"/>
          <w:sz w:val="24"/>
        </w:rPr>
        <w:t>工程名称：                                              编号：</w:t>
      </w:r>
    </w:p>
    <w:tbl>
      <w:tblPr>
        <w:tblStyle w:val="83"/>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491"/>
        <w:gridCol w:w="1328"/>
        <w:gridCol w:w="2042"/>
        <w:gridCol w:w="2256"/>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color w:val="000000"/>
                <w:szCs w:val="21"/>
              </w:rPr>
            </w:pPr>
            <w:r>
              <w:rPr>
                <w:rFonts w:hint="eastAsia"/>
                <w:color w:val="000000"/>
                <w:szCs w:val="21"/>
              </w:rPr>
              <w:t>序号</w:t>
            </w:r>
          </w:p>
        </w:tc>
        <w:tc>
          <w:tcPr>
            <w:tcW w:w="1491" w:type="dxa"/>
            <w:noWrap w:val="0"/>
            <w:vAlign w:val="center"/>
          </w:tcPr>
          <w:p>
            <w:pPr>
              <w:jc w:val="center"/>
              <w:rPr>
                <w:rFonts w:hint="eastAsia"/>
                <w:color w:val="000000"/>
                <w:szCs w:val="21"/>
              </w:rPr>
            </w:pPr>
            <w:r>
              <w:rPr>
                <w:rFonts w:hint="eastAsia"/>
                <w:color w:val="000000"/>
                <w:szCs w:val="21"/>
              </w:rPr>
              <w:t>名称、规格、型号</w:t>
            </w:r>
          </w:p>
        </w:tc>
        <w:tc>
          <w:tcPr>
            <w:tcW w:w="1328" w:type="dxa"/>
            <w:noWrap w:val="0"/>
            <w:vAlign w:val="center"/>
          </w:tcPr>
          <w:p>
            <w:pPr>
              <w:jc w:val="center"/>
              <w:rPr>
                <w:rFonts w:hint="eastAsia"/>
                <w:color w:val="000000"/>
                <w:szCs w:val="21"/>
              </w:rPr>
            </w:pPr>
            <w:r>
              <w:rPr>
                <w:rFonts w:hint="eastAsia"/>
                <w:color w:val="000000"/>
                <w:szCs w:val="21"/>
              </w:rPr>
              <w:t>变值权重B</w:t>
            </w:r>
          </w:p>
        </w:tc>
        <w:tc>
          <w:tcPr>
            <w:tcW w:w="2042" w:type="dxa"/>
            <w:noWrap w:val="0"/>
            <w:vAlign w:val="center"/>
          </w:tcPr>
          <w:p>
            <w:pPr>
              <w:jc w:val="center"/>
              <w:rPr>
                <w:rFonts w:hint="eastAsia"/>
                <w:color w:val="000000"/>
                <w:szCs w:val="21"/>
              </w:rPr>
            </w:pPr>
            <w:r>
              <w:rPr>
                <w:rFonts w:hint="eastAsia"/>
                <w:color w:val="000000"/>
                <w:szCs w:val="21"/>
              </w:rPr>
              <w:t>基本价格指数Fo</w:t>
            </w:r>
          </w:p>
        </w:tc>
        <w:tc>
          <w:tcPr>
            <w:tcW w:w="2256" w:type="dxa"/>
            <w:noWrap w:val="0"/>
            <w:vAlign w:val="center"/>
          </w:tcPr>
          <w:p>
            <w:pPr>
              <w:jc w:val="center"/>
              <w:rPr>
                <w:rFonts w:hint="eastAsia"/>
                <w:color w:val="000000"/>
                <w:szCs w:val="21"/>
              </w:rPr>
            </w:pPr>
            <w:r>
              <w:rPr>
                <w:rFonts w:hint="eastAsia"/>
                <w:color w:val="000000"/>
                <w:szCs w:val="21"/>
              </w:rPr>
              <w:t>现行价格指数Ft</w:t>
            </w:r>
          </w:p>
        </w:tc>
        <w:tc>
          <w:tcPr>
            <w:tcW w:w="1236" w:type="dxa"/>
            <w:noWrap w:val="0"/>
            <w:vAlign w:val="center"/>
          </w:tcPr>
          <w:p>
            <w:pPr>
              <w:jc w:val="center"/>
              <w:rPr>
                <w:rFonts w:hint="eastAsia"/>
                <w:color w:val="000000"/>
                <w:szCs w:val="21"/>
              </w:rPr>
            </w:pPr>
            <w:r>
              <w:rPr>
                <w:rFonts w:hint="eastAsia"/>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491"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2042" w:type="dxa"/>
            <w:noWrap w:val="0"/>
            <w:vAlign w:val="center"/>
          </w:tcPr>
          <w:p>
            <w:pPr>
              <w:jc w:val="center"/>
              <w:rPr>
                <w:rFonts w:hint="eastAsia"/>
                <w:b/>
                <w:color w:val="000000"/>
                <w:sz w:val="24"/>
              </w:rPr>
            </w:pPr>
          </w:p>
        </w:tc>
        <w:tc>
          <w:tcPr>
            <w:tcW w:w="225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491"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2042" w:type="dxa"/>
            <w:noWrap w:val="0"/>
            <w:vAlign w:val="center"/>
          </w:tcPr>
          <w:p>
            <w:pPr>
              <w:jc w:val="center"/>
              <w:rPr>
                <w:rFonts w:hint="eastAsia"/>
                <w:b/>
                <w:color w:val="000000"/>
                <w:sz w:val="24"/>
              </w:rPr>
            </w:pPr>
          </w:p>
        </w:tc>
        <w:tc>
          <w:tcPr>
            <w:tcW w:w="225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491"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2042" w:type="dxa"/>
            <w:noWrap w:val="0"/>
            <w:vAlign w:val="center"/>
          </w:tcPr>
          <w:p>
            <w:pPr>
              <w:jc w:val="center"/>
              <w:rPr>
                <w:rFonts w:hint="eastAsia"/>
                <w:b/>
                <w:color w:val="000000"/>
                <w:sz w:val="24"/>
              </w:rPr>
            </w:pPr>
          </w:p>
        </w:tc>
        <w:tc>
          <w:tcPr>
            <w:tcW w:w="225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491"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2042" w:type="dxa"/>
            <w:noWrap w:val="0"/>
            <w:vAlign w:val="center"/>
          </w:tcPr>
          <w:p>
            <w:pPr>
              <w:jc w:val="center"/>
              <w:rPr>
                <w:rFonts w:hint="eastAsia"/>
                <w:b/>
                <w:color w:val="000000"/>
                <w:sz w:val="24"/>
              </w:rPr>
            </w:pPr>
          </w:p>
        </w:tc>
        <w:tc>
          <w:tcPr>
            <w:tcW w:w="225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491"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2042" w:type="dxa"/>
            <w:noWrap w:val="0"/>
            <w:vAlign w:val="center"/>
          </w:tcPr>
          <w:p>
            <w:pPr>
              <w:jc w:val="center"/>
              <w:rPr>
                <w:rFonts w:hint="eastAsia"/>
                <w:b/>
                <w:color w:val="000000"/>
                <w:sz w:val="24"/>
              </w:rPr>
            </w:pPr>
          </w:p>
        </w:tc>
        <w:tc>
          <w:tcPr>
            <w:tcW w:w="225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491"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2042" w:type="dxa"/>
            <w:noWrap w:val="0"/>
            <w:vAlign w:val="center"/>
          </w:tcPr>
          <w:p>
            <w:pPr>
              <w:jc w:val="center"/>
              <w:rPr>
                <w:rFonts w:hint="eastAsia"/>
                <w:b/>
                <w:color w:val="000000"/>
                <w:sz w:val="24"/>
              </w:rPr>
            </w:pPr>
          </w:p>
        </w:tc>
        <w:tc>
          <w:tcPr>
            <w:tcW w:w="225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491"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2042" w:type="dxa"/>
            <w:noWrap w:val="0"/>
            <w:vAlign w:val="center"/>
          </w:tcPr>
          <w:p>
            <w:pPr>
              <w:jc w:val="center"/>
              <w:rPr>
                <w:rFonts w:hint="eastAsia"/>
                <w:b/>
                <w:color w:val="000000"/>
                <w:sz w:val="24"/>
              </w:rPr>
            </w:pPr>
          </w:p>
        </w:tc>
        <w:tc>
          <w:tcPr>
            <w:tcW w:w="225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491"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2042" w:type="dxa"/>
            <w:noWrap w:val="0"/>
            <w:vAlign w:val="center"/>
          </w:tcPr>
          <w:p>
            <w:pPr>
              <w:jc w:val="center"/>
              <w:rPr>
                <w:rFonts w:hint="eastAsia"/>
                <w:b/>
                <w:color w:val="000000"/>
                <w:sz w:val="24"/>
              </w:rPr>
            </w:pPr>
          </w:p>
        </w:tc>
        <w:tc>
          <w:tcPr>
            <w:tcW w:w="225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491"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2042" w:type="dxa"/>
            <w:noWrap w:val="0"/>
            <w:vAlign w:val="center"/>
          </w:tcPr>
          <w:p>
            <w:pPr>
              <w:jc w:val="center"/>
              <w:rPr>
                <w:rFonts w:hint="eastAsia"/>
                <w:b/>
                <w:color w:val="000000"/>
                <w:sz w:val="24"/>
              </w:rPr>
            </w:pPr>
          </w:p>
        </w:tc>
        <w:tc>
          <w:tcPr>
            <w:tcW w:w="225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491"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2042" w:type="dxa"/>
            <w:noWrap w:val="0"/>
            <w:vAlign w:val="center"/>
          </w:tcPr>
          <w:p>
            <w:pPr>
              <w:jc w:val="center"/>
              <w:rPr>
                <w:rFonts w:hint="eastAsia"/>
                <w:b/>
                <w:color w:val="000000"/>
                <w:sz w:val="24"/>
              </w:rPr>
            </w:pPr>
          </w:p>
        </w:tc>
        <w:tc>
          <w:tcPr>
            <w:tcW w:w="225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491"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2042" w:type="dxa"/>
            <w:noWrap w:val="0"/>
            <w:vAlign w:val="center"/>
          </w:tcPr>
          <w:p>
            <w:pPr>
              <w:jc w:val="center"/>
              <w:rPr>
                <w:rFonts w:hint="eastAsia"/>
                <w:b/>
                <w:color w:val="000000"/>
                <w:sz w:val="24"/>
              </w:rPr>
            </w:pPr>
          </w:p>
        </w:tc>
        <w:tc>
          <w:tcPr>
            <w:tcW w:w="2256" w:type="dxa"/>
            <w:noWrap w:val="0"/>
            <w:vAlign w:val="center"/>
          </w:tcPr>
          <w:p>
            <w:pPr>
              <w:jc w:val="center"/>
              <w:rPr>
                <w:rFonts w:hint="eastAsia"/>
                <w:b/>
                <w:color w:val="000000"/>
                <w:sz w:val="24"/>
              </w:rPr>
            </w:pPr>
          </w:p>
        </w:tc>
        <w:tc>
          <w:tcPr>
            <w:tcW w:w="123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491"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2042" w:type="dxa"/>
            <w:noWrap w:val="0"/>
            <w:vAlign w:val="center"/>
          </w:tcPr>
          <w:p>
            <w:pPr>
              <w:jc w:val="center"/>
              <w:rPr>
                <w:rFonts w:hint="eastAsia"/>
                <w:b/>
                <w:color w:val="000000"/>
                <w:sz w:val="24"/>
              </w:rPr>
            </w:pPr>
          </w:p>
        </w:tc>
        <w:tc>
          <w:tcPr>
            <w:tcW w:w="2256" w:type="dxa"/>
            <w:noWrap w:val="0"/>
            <w:vAlign w:val="center"/>
          </w:tcPr>
          <w:p>
            <w:pPr>
              <w:jc w:val="center"/>
              <w:rPr>
                <w:rFonts w:hint="eastAsia"/>
                <w:b/>
                <w:color w:val="000000"/>
                <w:szCs w:val="21"/>
              </w:rPr>
            </w:pPr>
          </w:p>
        </w:tc>
        <w:tc>
          <w:tcPr>
            <w:tcW w:w="123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491" w:type="dxa"/>
            <w:noWrap w:val="0"/>
            <w:vAlign w:val="center"/>
          </w:tcPr>
          <w:p>
            <w:pPr>
              <w:jc w:val="center"/>
              <w:rPr>
                <w:rFonts w:hint="eastAsia"/>
                <w:b/>
                <w:color w:val="000000"/>
                <w:sz w:val="24"/>
              </w:rPr>
            </w:pPr>
          </w:p>
        </w:tc>
        <w:tc>
          <w:tcPr>
            <w:tcW w:w="1328" w:type="dxa"/>
            <w:noWrap w:val="0"/>
            <w:vAlign w:val="center"/>
          </w:tcPr>
          <w:p>
            <w:pPr>
              <w:jc w:val="center"/>
              <w:rPr>
                <w:rFonts w:hint="eastAsia"/>
                <w:b/>
                <w:color w:val="000000"/>
                <w:sz w:val="24"/>
              </w:rPr>
            </w:pPr>
          </w:p>
        </w:tc>
        <w:tc>
          <w:tcPr>
            <w:tcW w:w="2042" w:type="dxa"/>
            <w:noWrap w:val="0"/>
            <w:vAlign w:val="center"/>
          </w:tcPr>
          <w:p>
            <w:pPr>
              <w:jc w:val="center"/>
              <w:rPr>
                <w:rFonts w:hint="eastAsia"/>
                <w:b/>
                <w:color w:val="000000"/>
                <w:sz w:val="24"/>
              </w:rPr>
            </w:pPr>
          </w:p>
        </w:tc>
        <w:tc>
          <w:tcPr>
            <w:tcW w:w="2256" w:type="dxa"/>
            <w:noWrap w:val="0"/>
            <w:vAlign w:val="center"/>
          </w:tcPr>
          <w:p>
            <w:pPr>
              <w:jc w:val="center"/>
              <w:rPr>
                <w:rFonts w:hint="eastAsia"/>
                <w:b/>
                <w:color w:val="000000"/>
                <w:szCs w:val="21"/>
              </w:rPr>
            </w:pPr>
          </w:p>
        </w:tc>
        <w:tc>
          <w:tcPr>
            <w:tcW w:w="123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491" w:type="dxa"/>
            <w:noWrap w:val="0"/>
            <w:vAlign w:val="center"/>
          </w:tcPr>
          <w:p>
            <w:pPr>
              <w:jc w:val="center"/>
              <w:rPr>
                <w:rFonts w:hint="eastAsia"/>
                <w:color w:val="000000"/>
                <w:szCs w:val="21"/>
              </w:rPr>
            </w:pPr>
            <w:r>
              <w:rPr>
                <w:rFonts w:hint="eastAsia"/>
                <w:color w:val="000000"/>
                <w:szCs w:val="21"/>
              </w:rPr>
              <w:t>定值权重A</w:t>
            </w:r>
          </w:p>
        </w:tc>
        <w:tc>
          <w:tcPr>
            <w:tcW w:w="1328" w:type="dxa"/>
            <w:noWrap w:val="0"/>
            <w:vAlign w:val="center"/>
          </w:tcPr>
          <w:p>
            <w:pPr>
              <w:jc w:val="center"/>
              <w:rPr>
                <w:rFonts w:hint="eastAsia"/>
                <w:color w:val="000000"/>
                <w:szCs w:val="21"/>
              </w:rPr>
            </w:pPr>
          </w:p>
        </w:tc>
        <w:tc>
          <w:tcPr>
            <w:tcW w:w="2042" w:type="dxa"/>
            <w:noWrap w:val="0"/>
            <w:vAlign w:val="center"/>
          </w:tcPr>
          <w:p>
            <w:pPr>
              <w:jc w:val="center"/>
              <w:rPr>
                <w:rFonts w:hint="eastAsia"/>
                <w:b/>
                <w:color w:val="000000"/>
                <w:sz w:val="24"/>
              </w:rPr>
            </w:pPr>
            <w:r>
              <w:rPr>
                <w:rFonts w:hint="eastAsia"/>
                <w:b/>
                <w:color w:val="000000"/>
                <w:sz w:val="24"/>
              </w:rPr>
              <w:t>—</w:t>
            </w:r>
          </w:p>
        </w:tc>
        <w:tc>
          <w:tcPr>
            <w:tcW w:w="2256" w:type="dxa"/>
            <w:noWrap w:val="0"/>
            <w:vAlign w:val="center"/>
          </w:tcPr>
          <w:p>
            <w:pPr>
              <w:jc w:val="center"/>
              <w:rPr>
                <w:rFonts w:hint="eastAsia"/>
                <w:b/>
                <w:color w:val="000000"/>
                <w:sz w:val="24"/>
              </w:rPr>
            </w:pPr>
            <w:r>
              <w:rPr>
                <w:rFonts w:hint="eastAsia"/>
                <w:b/>
                <w:color w:val="000000"/>
                <w:sz w:val="24"/>
              </w:rPr>
              <w:t>—</w:t>
            </w:r>
          </w:p>
        </w:tc>
        <w:tc>
          <w:tcPr>
            <w:tcW w:w="123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pPr>
              <w:jc w:val="center"/>
              <w:rPr>
                <w:rFonts w:hint="eastAsia"/>
                <w:b/>
                <w:color w:val="000000"/>
                <w:sz w:val="24"/>
              </w:rPr>
            </w:pPr>
          </w:p>
        </w:tc>
        <w:tc>
          <w:tcPr>
            <w:tcW w:w="1491" w:type="dxa"/>
            <w:noWrap w:val="0"/>
            <w:vAlign w:val="center"/>
          </w:tcPr>
          <w:p>
            <w:pPr>
              <w:jc w:val="center"/>
              <w:rPr>
                <w:rFonts w:hint="eastAsia"/>
                <w:color w:val="000000"/>
                <w:szCs w:val="21"/>
              </w:rPr>
            </w:pPr>
            <w:r>
              <w:rPr>
                <w:rFonts w:hint="eastAsia"/>
                <w:color w:val="000000"/>
                <w:szCs w:val="21"/>
              </w:rPr>
              <w:t>合计</w:t>
            </w:r>
          </w:p>
        </w:tc>
        <w:tc>
          <w:tcPr>
            <w:tcW w:w="1328" w:type="dxa"/>
            <w:noWrap w:val="0"/>
            <w:vAlign w:val="center"/>
          </w:tcPr>
          <w:p>
            <w:pPr>
              <w:jc w:val="center"/>
              <w:rPr>
                <w:rFonts w:hint="eastAsia"/>
                <w:color w:val="000000"/>
                <w:szCs w:val="21"/>
              </w:rPr>
            </w:pPr>
            <w:r>
              <w:rPr>
                <w:rFonts w:hint="eastAsia"/>
                <w:color w:val="000000"/>
                <w:szCs w:val="21"/>
              </w:rPr>
              <w:t>1</w:t>
            </w:r>
          </w:p>
        </w:tc>
        <w:tc>
          <w:tcPr>
            <w:tcW w:w="2042" w:type="dxa"/>
            <w:noWrap w:val="0"/>
            <w:vAlign w:val="center"/>
          </w:tcPr>
          <w:p>
            <w:pPr>
              <w:jc w:val="center"/>
              <w:rPr>
                <w:rFonts w:hint="eastAsia"/>
                <w:b/>
                <w:color w:val="000000"/>
                <w:sz w:val="24"/>
              </w:rPr>
            </w:pPr>
            <w:r>
              <w:rPr>
                <w:rFonts w:hint="eastAsia"/>
                <w:b/>
                <w:color w:val="000000"/>
                <w:sz w:val="24"/>
              </w:rPr>
              <w:t>—</w:t>
            </w:r>
          </w:p>
        </w:tc>
        <w:tc>
          <w:tcPr>
            <w:tcW w:w="2256" w:type="dxa"/>
            <w:noWrap w:val="0"/>
            <w:vAlign w:val="center"/>
          </w:tcPr>
          <w:p>
            <w:pPr>
              <w:jc w:val="center"/>
              <w:rPr>
                <w:rFonts w:hint="eastAsia"/>
                <w:b/>
                <w:color w:val="000000"/>
                <w:sz w:val="24"/>
              </w:rPr>
            </w:pPr>
            <w:r>
              <w:rPr>
                <w:rFonts w:hint="eastAsia"/>
                <w:b/>
                <w:color w:val="000000"/>
                <w:sz w:val="24"/>
              </w:rPr>
              <w:t>—</w:t>
            </w:r>
          </w:p>
        </w:tc>
        <w:tc>
          <w:tcPr>
            <w:tcW w:w="1236" w:type="dxa"/>
            <w:noWrap w:val="0"/>
            <w:vAlign w:val="center"/>
          </w:tcPr>
          <w:p>
            <w:pPr>
              <w:jc w:val="center"/>
              <w:rPr>
                <w:rFonts w:hint="eastAsia"/>
                <w:b/>
                <w:color w:val="000000"/>
                <w:sz w:val="24"/>
              </w:rPr>
            </w:pPr>
          </w:p>
        </w:tc>
      </w:tr>
    </w:tbl>
    <w:p>
      <w:pPr>
        <w:rPr>
          <w:rFonts w:hint="eastAsia"/>
          <w:color w:val="000000"/>
          <w:sz w:val="18"/>
          <w:szCs w:val="18"/>
        </w:rPr>
      </w:pPr>
      <w:r>
        <w:rPr>
          <w:rFonts w:hint="eastAsia"/>
          <w:color w:val="000000"/>
          <w:sz w:val="18"/>
          <w:szCs w:val="18"/>
        </w:rPr>
        <w:t>注：1、“名称、规格、型号”、“基本价格指数”栏由招标人填写，基本价格指数应首先采用工程造价管理机构发布的价格指数，没有时，可采用发布的价格代替。如人工、机械费也采用本法调整，由招标人在“名称”栏填写。</w:t>
      </w:r>
    </w:p>
    <w:p>
      <w:pPr>
        <w:rPr>
          <w:rFonts w:hint="eastAsia"/>
          <w:color w:val="000000"/>
          <w:sz w:val="18"/>
          <w:szCs w:val="18"/>
        </w:rPr>
      </w:pPr>
      <w:r>
        <w:rPr>
          <w:rFonts w:hint="eastAsia"/>
          <w:color w:val="000000"/>
          <w:sz w:val="18"/>
          <w:szCs w:val="18"/>
        </w:rPr>
        <w:t>2、“变值权重”栏由招标人根据该项人工、机械费和材料、工程设备价值在投标总报价中所占的比例填写，1减去其比例为定值权重。</w:t>
      </w:r>
    </w:p>
    <w:p>
      <w:pPr>
        <w:rPr>
          <w:rFonts w:hint="eastAsia"/>
          <w:color w:val="000000"/>
          <w:sz w:val="18"/>
          <w:szCs w:val="18"/>
        </w:rPr>
      </w:pPr>
      <w:r>
        <w:rPr>
          <w:rFonts w:hint="eastAsia"/>
          <w:color w:val="000000"/>
          <w:sz w:val="18"/>
          <w:szCs w:val="18"/>
        </w:rPr>
        <w:t>3、“现行价格指数”按约定的付款证书相关周期最后一天的前42天的各项价格指数填写，该指数应首先采用工程造价管理机构发布的价格指数，没有时，可采用发布的价格代替。</w:t>
      </w:r>
    </w:p>
    <w:p>
      <w:pPr>
        <w:rPr>
          <w:rFonts w:hint="eastAsia"/>
          <w:color w:val="000000"/>
          <w:sz w:val="18"/>
          <w:szCs w:val="18"/>
        </w:rPr>
      </w:pPr>
    </w:p>
    <w:p>
      <w:pPr>
        <w:rPr>
          <w:rFonts w:hint="eastAsia"/>
          <w:color w:val="000000"/>
          <w:sz w:val="18"/>
          <w:szCs w:val="18"/>
        </w:rPr>
      </w:pPr>
    </w:p>
    <w:p>
      <w:pPr>
        <w:jc w:val="right"/>
        <w:rPr>
          <w:color w:val="000000"/>
          <w:szCs w:val="21"/>
        </w:rPr>
        <w:sectPr>
          <w:pgSz w:w="11906" w:h="16838"/>
          <w:pgMar w:top="1440" w:right="1797" w:bottom="1440" w:left="1797" w:header="851" w:footer="992" w:gutter="0"/>
          <w:cols w:space="720" w:num="1"/>
          <w:docGrid w:linePitch="312" w:charSpace="0"/>
        </w:sectPr>
      </w:pPr>
    </w:p>
    <w:p>
      <w:pPr>
        <w:spacing w:line="360" w:lineRule="auto"/>
        <w:rPr>
          <w:rFonts w:hint="eastAsia" w:ascii="宋体" w:hAnsi="宋体" w:cs="楷体_GB2312"/>
          <w:bCs/>
          <w:color w:val="000000"/>
          <w:szCs w:val="21"/>
          <w:shd w:val="clear" w:color="auto" w:fill="FFFFFF"/>
        </w:rPr>
      </w:pPr>
      <w:bookmarkStart w:id="1724" w:name="_Toc407135285"/>
      <w:bookmarkStart w:id="1725" w:name="_Toc12609439"/>
      <w:r>
        <w:rPr>
          <w:rFonts w:hint="eastAsia" w:ascii="宋体" w:hAnsi="宋体" w:cs="宋体"/>
          <w:color w:val="000000"/>
          <w:szCs w:val="21"/>
        </w:rPr>
        <w:t>2</w:t>
      </w:r>
      <w:r>
        <w:rPr>
          <w:rFonts w:hint="eastAsia" w:ascii="宋体" w:hAnsi="宋体" w:cs="楷体_GB2312"/>
          <w:bCs/>
          <w:color w:val="000000"/>
          <w:szCs w:val="21"/>
          <w:shd w:val="clear" w:color="auto" w:fill="FFFFFF"/>
        </w:rPr>
        <w:t>.方案设计完成后工程总承包项目</w:t>
      </w:r>
    </w:p>
    <w:p>
      <w:pPr>
        <w:pStyle w:val="76"/>
        <w:adjustRightInd w:val="0"/>
        <w:snapToGrid w:val="0"/>
        <w:spacing w:beforeAutospacing="0" w:afterAutospacing="0" w:line="360" w:lineRule="auto"/>
        <w:ind w:firstLine="420" w:firstLineChars="200"/>
        <w:jc w:val="both"/>
        <w:rPr>
          <w:rFonts w:cs="仿宋_GB2312"/>
          <w:color w:val="000000"/>
          <w:sz w:val="21"/>
          <w:szCs w:val="21"/>
          <w:shd w:val="clear" w:color="auto" w:fill="FFFFFF"/>
        </w:rPr>
      </w:pPr>
      <w:r>
        <w:rPr>
          <w:rFonts w:hint="eastAsia" w:cs="仿宋_GB2312"/>
          <w:color w:val="000000"/>
          <w:sz w:val="21"/>
          <w:szCs w:val="21"/>
          <w:shd w:val="clear" w:color="auto" w:fill="FFFFFF"/>
        </w:rPr>
        <w:t>2.1工程量清单编制</w:t>
      </w:r>
    </w:p>
    <w:p>
      <w:pPr>
        <w:pStyle w:val="76"/>
        <w:adjustRightInd w:val="0"/>
        <w:snapToGrid w:val="0"/>
        <w:spacing w:beforeAutospacing="0" w:afterAutospacing="0" w:line="360" w:lineRule="auto"/>
        <w:ind w:firstLine="420" w:firstLineChars="200"/>
        <w:jc w:val="both"/>
        <w:rPr>
          <w:rFonts w:hint="eastAsia" w:cs="仿宋_GB2312"/>
          <w:color w:val="000000"/>
          <w:sz w:val="21"/>
          <w:szCs w:val="21"/>
          <w:shd w:val="clear" w:color="auto" w:fill="FFFFFF"/>
        </w:rPr>
      </w:pPr>
      <w:r>
        <w:rPr>
          <w:rFonts w:hint="eastAsia" w:cs="仿宋_GB2312"/>
          <w:color w:val="000000"/>
          <w:sz w:val="21"/>
          <w:szCs w:val="21"/>
          <w:shd w:val="clear" w:color="auto" w:fill="FFFFFF"/>
        </w:rPr>
        <w:t>2.1.1招标人应根据勘探资料、招标文件、设计文件（含方案设计及深化设计）、技术配置及交付标准、类似工程工程量指标，分专业编制功能性工程量清单，并提供给投标人报价参考。</w:t>
      </w:r>
    </w:p>
    <w:p>
      <w:pPr>
        <w:pStyle w:val="76"/>
        <w:adjustRightInd w:val="0"/>
        <w:snapToGrid w:val="0"/>
        <w:spacing w:beforeAutospacing="0" w:afterAutospacing="0" w:line="360" w:lineRule="auto"/>
        <w:ind w:firstLine="420" w:firstLineChars="200"/>
        <w:jc w:val="both"/>
        <w:rPr>
          <w:rFonts w:hint="eastAsia" w:cs="仿宋_GB2312"/>
          <w:color w:val="000000"/>
          <w:sz w:val="21"/>
          <w:szCs w:val="21"/>
          <w:shd w:val="clear" w:color="auto" w:fill="FFFFFF"/>
        </w:rPr>
      </w:pPr>
      <w:r>
        <w:rPr>
          <w:rFonts w:hint="eastAsia" w:cs="仿宋_GB2312"/>
          <w:color w:val="000000"/>
          <w:sz w:val="21"/>
          <w:szCs w:val="21"/>
          <w:shd w:val="clear" w:color="auto" w:fill="FFFFFF"/>
        </w:rPr>
        <w:t>2.1.2招标人提供的功能性工程量清单存在漏项缺项的要求投标人在招标文件要求的时间内向招标人提出质疑，招标人应及时进行核对并修改完善。招标人提供的功能性工程量清单除项目设置及格式必须严格执行外，其余内容仅供投标人参考，</w:t>
      </w:r>
      <w:r>
        <w:rPr>
          <w:rFonts w:hint="eastAsia" w:cs="Times New Roman"/>
          <w:color w:val="000000"/>
          <w:sz w:val="21"/>
          <w:szCs w:val="21"/>
        </w:rPr>
        <w:t>不得将其视为要求承包人实施的工程的实际或准确的工作量，也</w:t>
      </w:r>
      <w:r>
        <w:rPr>
          <w:rFonts w:hint="eastAsia" w:cs="仿宋_GB2312"/>
          <w:color w:val="000000"/>
          <w:sz w:val="21"/>
          <w:szCs w:val="21"/>
          <w:shd w:val="clear" w:color="auto" w:fill="FFFFFF"/>
        </w:rPr>
        <w:t>不作为调整结算的依据。</w:t>
      </w:r>
    </w:p>
    <w:p>
      <w:pPr>
        <w:pStyle w:val="76"/>
        <w:adjustRightInd w:val="0"/>
        <w:snapToGrid w:val="0"/>
        <w:spacing w:beforeAutospacing="0" w:afterAutospacing="0" w:line="360" w:lineRule="auto"/>
        <w:ind w:firstLine="420" w:firstLineChars="200"/>
        <w:jc w:val="both"/>
        <w:rPr>
          <w:rFonts w:hint="eastAsia" w:cs="仿宋_GB2312"/>
          <w:color w:val="000000"/>
          <w:sz w:val="21"/>
          <w:szCs w:val="21"/>
          <w:shd w:val="clear" w:color="auto" w:fill="FFFFFF"/>
        </w:rPr>
      </w:pPr>
      <w:r>
        <w:rPr>
          <w:rFonts w:hint="eastAsia" w:cs="仿宋_GB2312"/>
          <w:color w:val="000000"/>
          <w:sz w:val="21"/>
          <w:szCs w:val="21"/>
          <w:shd w:val="clear" w:color="auto" w:fill="FFFFFF"/>
        </w:rPr>
        <w:t>2.2招标控制价编制</w:t>
      </w:r>
    </w:p>
    <w:p>
      <w:pPr>
        <w:pStyle w:val="76"/>
        <w:adjustRightInd w:val="0"/>
        <w:snapToGrid w:val="0"/>
        <w:spacing w:line="360" w:lineRule="auto"/>
        <w:ind w:firstLine="420" w:firstLineChars="200"/>
        <w:rPr>
          <w:rFonts w:hint="eastAsia"/>
          <w:color w:val="000000"/>
          <w:sz w:val="21"/>
          <w:szCs w:val="21"/>
          <w:shd w:val="clear" w:color="auto" w:fill="FFFFFF"/>
        </w:rPr>
      </w:pPr>
      <w:r>
        <w:rPr>
          <w:rFonts w:hint="eastAsia"/>
          <w:color w:val="000000"/>
          <w:sz w:val="21"/>
          <w:szCs w:val="21"/>
          <w:shd w:val="clear" w:color="auto" w:fill="FFFFFF"/>
        </w:rPr>
        <w:t>2.2.1招标人应根据</w:t>
      </w:r>
      <w:r>
        <w:rPr>
          <w:rFonts w:hint="eastAsia"/>
          <w:color w:val="000000"/>
          <w:sz w:val="21"/>
          <w:szCs w:val="21"/>
        </w:rPr>
        <w:t>经批复的可行性研究报告以及</w:t>
      </w:r>
      <w:r>
        <w:rPr>
          <w:rFonts w:hint="eastAsia"/>
          <w:color w:val="000000"/>
          <w:sz w:val="21"/>
          <w:szCs w:val="21"/>
          <w:shd w:val="clear" w:color="auto" w:fill="FFFFFF"/>
        </w:rPr>
        <w:t>建设行政主管部门颁布的估算指标、工程定额、材料设备信息价等计价依据编制招标控制价，无建设行政主管部门颁布的计价依据的参照市场价执行。</w:t>
      </w:r>
    </w:p>
    <w:p>
      <w:pPr>
        <w:pStyle w:val="76"/>
        <w:adjustRightInd w:val="0"/>
        <w:snapToGrid w:val="0"/>
        <w:spacing w:line="360" w:lineRule="auto"/>
        <w:ind w:firstLine="420" w:firstLineChars="200"/>
        <w:rPr>
          <w:rFonts w:hint="eastAsia"/>
          <w:color w:val="000000"/>
          <w:sz w:val="21"/>
          <w:szCs w:val="21"/>
          <w:shd w:val="clear" w:color="auto" w:fill="FFFFFF"/>
        </w:rPr>
      </w:pPr>
      <w:r>
        <w:rPr>
          <w:rFonts w:hint="eastAsia"/>
          <w:color w:val="000000"/>
          <w:sz w:val="21"/>
          <w:szCs w:val="21"/>
          <w:shd w:val="clear" w:color="auto" w:fill="FFFFFF"/>
        </w:rPr>
        <w:t>2.2.2 暂估价及暂列金额在招标文件中明确，编制招标控制价时应按照招标文件注明的暂估价及暂列金额填写且不可修改。</w:t>
      </w:r>
    </w:p>
    <w:p>
      <w:pPr>
        <w:pStyle w:val="76"/>
        <w:adjustRightInd w:val="0"/>
        <w:snapToGrid w:val="0"/>
        <w:spacing w:beforeAutospacing="0" w:afterAutospacing="0" w:line="360" w:lineRule="auto"/>
        <w:ind w:firstLine="420" w:firstLineChars="200"/>
        <w:jc w:val="both"/>
        <w:rPr>
          <w:rFonts w:hint="eastAsia" w:cs="仿宋_GB2312"/>
          <w:color w:val="000000"/>
          <w:sz w:val="21"/>
          <w:szCs w:val="21"/>
          <w:shd w:val="clear" w:color="auto" w:fill="FFFFFF"/>
        </w:rPr>
      </w:pPr>
      <w:r>
        <w:rPr>
          <w:rFonts w:hint="eastAsia" w:cs="仿宋_GB2312"/>
          <w:color w:val="000000"/>
          <w:sz w:val="21"/>
          <w:szCs w:val="21"/>
          <w:shd w:val="clear" w:color="auto" w:fill="FFFFFF"/>
        </w:rPr>
        <w:t>2.3工程量清单及招标控制价表格</w:t>
      </w:r>
    </w:p>
    <w:p>
      <w:pPr>
        <w:spacing w:line="360" w:lineRule="auto"/>
        <w:ind w:firstLine="420" w:firstLineChars="200"/>
        <w:rPr>
          <w:rFonts w:hint="eastAsia" w:ascii="宋体" w:hAnsi="宋体" w:cs="方正小标宋_GBK"/>
          <w:color w:val="000000"/>
          <w:szCs w:val="21"/>
        </w:rPr>
      </w:pPr>
    </w:p>
    <w:p>
      <w:pPr>
        <w:spacing w:line="360" w:lineRule="auto"/>
        <w:ind w:firstLine="420" w:firstLineChars="200"/>
        <w:rPr>
          <w:rFonts w:hint="eastAsia" w:ascii="宋体" w:hAnsi="宋体" w:cs="方正小标宋_GBK"/>
          <w:color w:val="000000"/>
          <w:szCs w:val="21"/>
        </w:rPr>
      </w:pPr>
    </w:p>
    <w:p>
      <w:pPr>
        <w:spacing w:line="360" w:lineRule="auto"/>
        <w:ind w:firstLine="420" w:firstLineChars="200"/>
        <w:rPr>
          <w:rFonts w:hint="eastAsia" w:ascii="宋体" w:hAnsi="宋体" w:cs="方正小标宋_GBK"/>
          <w:color w:val="000000"/>
          <w:szCs w:val="21"/>
        </w:rPr>
      </w:pPr>
    </w:p>
    <w:p>
      <w:pPr>
        <w:spacing w:line="360" w:lineRule="auto"/>
        <w:ind w:firstLine="420" w:firstLineChars="200"/>
        <w:rPr>
          <w:rFonts w:hint="eastAsia" w:ascii="宋体" w:hAnsi="宋体" w:cs="方正小标宋_GBK"/>
          <w:color w:val="000000"/>
          <w:szCs w:val="21"/>
        </w:rPr>
      </w:pPr>
    </w:p>
    <w:p>
      <w:pPr>
        <w:spacing w:line="360" w:lineRule="auto"/>
        <w:ind w:firstLine="420" w:firstLineChars="200"/>
        <w:rPr>
          <w:rFonts w:hint="eastAsia" w:ascii="宋体" w:hAnsi="宋体" w:cs="方正小标宋_GBK"/>
          <w:color w:val="000000"/>
          <w:szCs w:val="21"/>
        </w:rPr>
      </w:pPr>
    </w:p>
    <w:p>
      <w:pPr>
        <w:spacing w:line="360" w:lineRule="auto"/>
        <w:ind w:firstLine="420" w:firstLineChars="200"/>
        <w:rPr>
          <w:rFonts w:hint="eastAsia" w:ascii="宋体" w:hAnsi="宋体" w:cs="方正小标宋_GBK"/>
          <w:color w:val="000000"/>
          <w:szCs w:val="21"/>
        </w:rPr>
      </w:pPr>
    </w:p>
    <w:p>
      <w:pPr>
        <w:spacing w:line="360" w:lineRule="auto"/>
        <w:ind w:firstLine="420" w:firstLineChars="200"/>
        <w:rPr>
          <w:rFonts w:hint="eastAsia" w:ascii="宋体" w:hAnsi="宋体" w:cs="方正小标宋_GBK"/>
          <w:color w:val="000000"/>
          <w:szCs w:val="21"/>
        </w:rPr>
      </w:pPr>
    </w:p>
    <w:p>
      <w:pPr>
        <w:spacing w:line="360" w:lineRule="auto"/>
        <w:ind w:firstLine="420" w:firstLineChars="200"/>
        <w:rPr>
          <w:rFonts w:hint="eastAsia" w:ascii="宋体" w:hAnsi="宋体" w:cs="方正小标宋_GBK"/>
          <w:color w:val="000000"/>
          <w:szCs w:val="21"/>
        </w:rPr>
      </w:pPr>
    </w:p>
    <w:p>
      <w:pPr>
        <w:spacing w:line="360" w:lineRule="auto"/>
        <w:ind w:firstLine="420" w:firstLineChars="200"/>
        <w:rPr>
          <w:rFonts w:hint="eastAsia" w:ascii="宋体" w:hAnsi="宋体" w:cs="方正小标宋_GBK"/>
          <w:color w:val="000000"/>
          <w:szCs w:val="21"/>
        </w:rPr>
      </w:pPr>
    </w:p>
    <w:p>
      <w:pPr>
        <w:spacing w:line="360" w:lineRule="auto"/>
        <w:ind w:firstLine="420" w:firstLineChars="200"/>
        <w:rPr>
          <w:rFonts w:hint="eastAsia" w:ascii="宋体" w:hAnsi="宋体" w:cs="方正小标宋_GBK"/>
          <w:color w:val="000000"/>
          <w:szCs w:val="21"/>
        </w:rPr>
      </w:pPr>
    </w:p>
    <w:p>
      <w:pPr>
        <w:spacing w:line="360" w:lineRule="auto"/>
        <w:ind w:firstLine="420" w:firstLineChars="200"/>
        <w:rPr>
          <w:rFonts w:hint="eastAsia" w:ascii="宋体" w:hAnsi="宋体" w:cs="方正小标宋_GBK"/>
          <w:color w:val="000000"/>
          <w:szCs w:val="21"/>
        </w:rPr>
      </w:pPr>
    </w:p>
    <w:p>
      <w:pPr>
        <w:spacing w:line="360" w:lineRule="auto"/>
        <w:ind w:firstLine="420" w:firstLineChars="200"/>
        <w:rPr>
          <w:rFonts w:hint="eastAsia" w:ascii="宋体" w:hAnsi="宋体" w:cs="方正小标宋_GBK"/>
          <w:color w:val="000000"/>
          <w:szCs w:val="21"/>
        </w:rPr>
      </w:pPr>
    </w:p>
    <w:p>
      <w:pPr>
        <w:spacing w:line="360" w:lineRule="auto"/>
        <w:ind w:firstLine="420" w:firstLineChars="200"/>
        <w:rPr>
          <w:rFonts w:hint="eastAsia" w:ascii="宋体" w:hAnsi="宋体" w:cs="方正小标宋_GBK"/>
          <w:color w:val="000000"/>
          <w:szCs w:val="21"/>
        </w:rPr>
      </w:pPr>
    </w:p>
    <w:p>
      <w:pPr>
        <w:spacing w:line="360" w:lineRule="auto"/>
        <w:ind w:firstLine="420" w:firstLineChars="200"/>
        <w:rPr>
          <w:rFonts w:hint="eastAsia" w:ascii="宋体" w:hAnsi="宋体" w:cs="方正小标宋_GBK"/>
          <w:color w:val="000000"/>
          <w:szCs w:val="21"/>
        </w:rPr>
      </w:pPr>
    </w:p>
    <w:p>
      <w:pPr>
        <w:spacing w:line="360" w:lineRule="auto"/>
        <w:ind w:firstLine="420" w:firstLineChars="200"/>
        <w:rPr>
          <w:rFonts w:hint="eastAsia" w:ascii="宋体" w:hAnsi="宋体" w:cs="方正小标宋_GBK"/>
          <w:color w:val="000000"/>
          <w:szCs w:val="21"/>
        </w:rPr>
      </w:pPr>
    </w:p>
    <w:p>
      <w:pPr>
        <w:spacing w:line="360" w:lineRule="auto"/>
        <w:ind w:firstLine="420" w:firstLineChars="200"/>
        <w:rPr>
          <w:rFonts w:hint="eastAsia" w:ascii="宋体" w:hAnsi="宋体" w:cs="方正小标宋_GBK"/>
          <w:color w:val="000000"/>
          <w:szCs w:val="21"/>
        </w:rPr>
      </w:pPr>
    </w:p>
    <w:p>
      <w:pPr>
        <w:spacing w:line="360" w:lineRule="auto"/>
        <w:ind w:firstLine="420" w:firstLineChars="200"/>
        <w:rPr>
          <w:rFonts w:hint="eastAsia" w:ascii="宋体" w:hAnsi="宋体" w:cs="方正小标宋_GBK"/>
          <w:color w:val="000000"/>
          <w:szCs w:val="21"/>
        </w:rPr>
      </w:pPr>
      <w:r>
        <w:rPr>
          <w:rFonts w:hint="eastAsia" w:ascii="宋体" w:hAnsi="宋体" w:cs="方正小标宋_GBK"/>
          <w:color w:val="000000"/>
          <w:szCs w:val="21"/>
        </w:rPr>
        <w:t>表1 工程量清单封面</w:t>
      </w:r>
    </w:p>
    <w:p>
      <w:pPr>
        <w:pStyle w:val="473"/>
        <w:rPr>
          <w:color w:val="000000"/>
        </w:rPr>
      </w:pPr>
    </w:p>
    <w:p>
      <w:pPr>
        <w:pStyle w:val="473"/>
        <w:rPr>
          <w:color w:val="000000"/>
        </w:rPr>
      </w:pPr>
    </w:p>
    <w:p>
      <w:pPr>
        <w:pStyle w:val="473"/>
        <w:ind w:left="0" w:firstLine="0"/>
        <w:rPr>
          <w:color w:val="000000"/>
        </w:rPr>
      </w:pPr>
    </w:p>
    <w:p>
      <w:pPr>
        <w:pStyle w:val="473"/>
        <w:rPr>
          <w:color w:val="000000"/>
        </w:rPr>
      </w:pPr>
    </w:p>
    <w:p>
      <w:pPr>
        <w:pStyle w:val="473"/>
        <w:jc w:val="center"/>
        <w:rPr>
          <w:color w:val="000000"/>
        </w:rPr>
      </w:pPr>
      <w:r>
        <w:rPr>
          <w:b/>
          <w:color w:val="000000"/>
          <w:sz w:val="28"/>
          <w:szCs w:val="28"/>
        </w:rPr>
        <w:t>____________________________</w:t>
      </w:r>
      <w:r>
        <w:rPr>
          <w:b/>
          <w:color w:val="000000"/>
          <w:sz w:val="36"/>
          <w:szCs w:val="36"/>
        </w:rPr>
        <w:t>工程</w:t>
      </w:r>
    </w:p>
    <w:p>
      <w:pPr>
        <w:pStyle w:val="473"/>
        <w:rPr>
          <w:color w:val="000000"/>
        </w:rPr>
      </w:pPr>
      <w:r>
        <w:rPr>
          <w:color w:val="000000"/>
        </w:rPr>
        <w:t xml:space="preserve">   </w:t>
      </w:r>
    </w:p>
    <w:p>
      <w:pPr>
        <w:pStyle w:val="473"/>
        <w:rPr>
          <w:color w:val="000000"/>
        </w:rPr>
      </w:pPr>
    </w:p>
    <w:p>
      <w:pPr>
        <w:pStyle w:val="473"/>
        <w:rPr>
          <w:color w:val="000000"/>
        </w:rPr>
      </w:pPr>
    </w:p>
    <w:p>
      <w:pPr>
        <w:pStyle w:val="473"/>
        <w:rPr>
          <w:color w:val="000000"/>
        </w:rPr>
      </w:pPr>
    </w:p>
    <w:p>
      <w:pPr>
        <w:pStyle w:val="473"/>
        <w:rPr>
          <w:color w:val="000000"/>
        </w:rPr>
      </w:pPr>
    </w:p>
    <w:p>
      <w:pPr>
        <w:pStyle w:val="473"/>
        <w:rPr>
          <w:color w:val="000000"/>
        </w:rPr>
      </w:pPr>
    </w:p>
    <w:p>
      <w:pPr>
        <w:pStyle w:val="473"/>
        <w:rPr>
          <w:color w:val="000000"/>
        </w:rPr>
      </w:pPr>
    </w:p>
    <w:p>
      <w:pPr>
        <w:pStyle w:val="473"/>
        <w:rPr>
          <w:color w:val="000000"/>
        </w:rPr>
      </w:pPr>
    </w:p>
    <w:p>
      <w:pPr>
        <w:pStyle w:val="473"/>
        <w:jc w:val="center"/>
        <w:rPr>
          <w:color w:val="000000"/>
        </w:rPr>
      </w:pPr>
      <w:r>
        <w:rPr>
          <w:b/>
          <w:color w:val="000000"/>
          <w:sz w:val="52"/>
          <w:szCs w:val="52"/>
        </w:rPr>
        <w:t>招标工程量清单</w:t>
      </w:r>
    </w:p>
    <w:p>
      <w:pPr>
        <w:pStyle w:val="473"/>
        <w:rPr>
          <w:color w:val="000000"/>
        </w:rPr>
      </w:pPr>
    </w:p>
    <w:p>
      <w:pPr>
        <w:pStyle w:val="473"/>
        <w:rPr>
          <w:color w:val="000000"/>
        </w:rPr>
      </w:pPr>
    </w:p>
    <w:p>
      <w:pPr>
        <w:pStyle w:val="473"/>
        <w:rPr>
          <w:color w:val="000000"/>
        </w:rPr>
      </w:pPr>
    </w:p>
    <w:p>
      <w:pPr>
        <w:pStyle w:val="473"/>
        <w:rPr>
          <w:color w:val="000000"/>
        </w:rPr>
      </w:pPr>
    </w:p>
    <w:p>
      <w:pPr>
        <w:pStyle w:val="473"/>
        <w:rPr>
          <w:color w:val="000000"/>
        </w:rPr>
      </w:pPr>
    </w:p>
    <w:p>
      <w:pPr>
        <w:pStyle w:val="473"/>
        <w:rPr>
          <w:color w:val="000000"/>
        </w:rPr>
      </w:pPr>
    </w:p>
    <w:p>
      <w:pPr>
        <w:pStyle w:val="473"/>
        <w:jc w:val="center"/>
        <w:rPr>
          <w:color w:val="000000"/>
        </w:rPr>
      </w:pPr>
      <w:r>
        <w:rPr>
          <w:color w:val="000000"/>
          <w:sz w:val="32"/>
          <w:szCs w:val="32"/>
        </w:rPr>
        <w:t>招  标  人：_____________________</w:t>
      </w:r>
    </w:p>
    <w:p>
      <w:pPr>
        <w:pStyle w:val="473"/>
        <w:jc w:val="center"/>
        <w:rPr>
          <w:color w:val="000000"/>
        </w:rPr>
      </w:pPr>
      <w:r>
        <w:rPr>
          <w:color w:val="000000"/>
          <w:sz w:val="32"/>
          <w:szCs w:val="32"/>
        </w:rPr>
        <w:t xml:space="preserve">           </w:t>
      </w:r>
      <w:r>
        <w:rPr>
          <w:color w:val="000000"/>
          <w:szCs w:val="21"/>
        </w:rPr>
        <w:t xml:space="preserve"> (单位盖章)</w:t>
      </w:r>
    </w:p>
    <w:p>
      <w:pPr>
        <w:pStyle w:val="473"/>
        <w:jc w:val="center"/>
        <w:rPr>
          <w:color w:val="000000"/>
        </w:rPr>
      </w:pPr>
    </w:p>
    <w:p>
      <w:pPr>
        <w:pStyle w:val="473"/>
        <w:jc w:val="center"/>
        <w:rPr>
          <w:color w:val="000000"/>
        </w:rPr>
      </w:pPr>
      <w:r>
        <w:rPr>
          <w:color w:val="000000"/>
          <w:sz w:val="32"/>
          <w:szCs w:val="32"/>
        </w:rPr>
        <w:t>造价咨询人：_____________________</w:t>
      </w:r>
    </w:p>
    <w:p>
      <w:pPr>
        <w:pStyle w:val="473"/>
        <w:jc w:val="center"/>
        <w:rPr>
          <w:color w:val="000000"/>
        </w:rPr>
      </w:pPr>
      <w:r>
        <w:rPr>
          <w:color w:val="000000"/>
          <w:sz w:val="32"/>
          <w:szCs w:val="32"/>
        </w:rPr>
        <w:t xml:space="preserve">         </w:t>
      </w:r>
      <w:r>
        <w:rPr>
          <w:color w:val="000000"/>
          <w:szCs w:val="21"/>
        </w:rPr>
        <w:t xml:space="preserve">   （单位盖章）</w:t>
      </w:r>
    </w:p>
    <w:p>
      <w:pPr>
        <w:pStyle w:val="473"/>
        <w:rPr>
          <w:color w:val="000000"/>
        </w:rPr>
      </w:pPr>
    </w:p>
    <w:p>
      <w:pPr>
        <w:pStyle w:val="473"/>
        <w:rPr>
          <w:color w:val="000000"/>
        </w:rPr>
      </w:pPr>
    </w:p>
    <w:p>
      <w:pPr>
        <w:pStyle w:val="473"/>
        <w:rPr>
          <w:color w:val="000000"/>
        </w:rPr>
      </w:pPr>
    </w:p>
    <w:p>
      <w:pPr>
        <w:pStyle w:val="473"/>
        <w:rPr>
          <w:color w:val="000000"/>
        </w:rPr>
      </w:pPr>
    </w:p>
    <w:p>
      <w:pPr>
        <w:pStyle w:val="473"/>
        <w:jc w:val="center"/>
        <w:rPr>
          <w:color w:val="000000"/>
        </w:rPr>
      </w:pPr>
      <w:r>
        <w:rPr>
          <w:color w:val="000000"/>
          <w:sz w:val="32"/>
          <w:szCs w:val="32"/>
        </w:rPr>
        <w:t>年  月  日</w:t>
      </w:r>
    </w:p>
    <w:p>
      <w:pPr>
        <w:pStyle w:val="473"/>
        <w:ind w:left="0" w:firstLine="0"/>
        <w:rPr>
          <w:color w:val="000000"/>
        </w:rPr>
      </w:pPr>
      <w:r>
        <w:rPr>
          <w:rFonts w:ascii="宋体" w:hAnsi="宋体" w:cs="方正小标宋_GBK"/>
          <w:color w:val="000000"/>
          <w:szCs w:val="21"/>
        </w:rPr>
        <w:t>表</w:t>
      </w:r>
      <w:r>
        <w:rPr>
          <w:rFonts w:hint="eastAsia" w:ascii="宋体" w:hAnsi="宋体" w:cs="方正小标宋_GBK"/>
          <w:color w:val="000000"/>
          <w:szCs w:val="21"/>
        </w:rPr>
        <w:t>2</w:t>
      </w:r>
      <w:r>
        <w:rPr>
          <w:rFonts w:ascii="宋体" w:hAnsi="宋体" w:cs="方正小标宋_GBK"/>
          <w:color w:val="000000"/>
          <w:szCs w:val="21"/>
        </w:rPr>
        <w:t xml:space="preserve"> </w:t>
      </w:r>
      <w:r>
        <w:rPr>
          <w:rFonts w:hint="eastAsia" w:ascii="宋体" w:hAnsi="宋体" w:cs="方正小标宋_GBK"/>
          <w:color w:val="000000"/>
          <w:szCs w:val="21"/>
        </w:rPr>
        <w:t>招标控制价封面</w:t>
      </w:r>
    </w:p>
    <w:p>
      <w:pPr>
        <w:pStyle w:val="473"/>
        <w:ind w:left="0" w:firstLine="0"/>
        <w:rPr>
          <w:color w:val="000000"/>
        </w:rPr>
      </w:pPr>
    </w:p>
    <w:p>
      <w:pPr>
        <w:pStyle w:val="473"/>
        <w:jc w:val="center"/>
        <w:rPr>
          <w:color w:val="000000"/>
        </w:rPr>
      </w:pPr>
      <w:r>
        <w:rPr>
          <w:b/>
          <w:color w:val="000000"/>
          <w:sz w:val="28"/>
          <w:szCs w:val="28"/>
        </w:rPr>
        <w:t>____________________________</w:t>
      </w:r>
      <w:r>
        <w:rPr>
          <w:b/>
          <w:color w:val="000000"/>
          <w:sz w:val="36"/>
          <w:szCs w:val="36"/>
        </w:rPr>
        <w:t>工程</w:t>
      </w:r>
    </w:p>
    <w:p>
      <w:pPr>
        <w:pStyle w:val="473"/>
        <w:rPr>
          <w:color w:val="000000"/>
        </w:rPr>
      </w:pPr>
      <w:r>
        <w:rPr>
          <w:color w:val="000000"/>
        </w:rPr>
        <w:t xml:space="preserve">   </w:t>
      </w:r>
    </w:p>
    <w:p>
      <w:pPr>
        <w:pStyle w:val="473"/>
        <w:rPr>
          <w:color w:val="000000"/>
        </w:rPr>
      </w:pPr>
    </w:p>
    <w:p>
      <w:pPr>
        <w:pStyle w:val="473"/>
        <w:rPr>
          <w:color w:val="000000"/>
        </w:rPr>
      </w:pPr>
    </w:p>
    <w:p>
      <w:pPr>
        <w:pStyle w:val="473"/>
        <w:ind w:left="0" w:firstLine="0"/>
        <w:rPr>
          <w:color w:val="000000"/>
        </w:rPr>
      </w:pPr>
    </w:p>
    <w:p>
      <w:pPr>
        <w:pStyle w:val="473"/>
        <w:rPr>
          <w:color w:val="000000"/>
        </w:rPr>
      </w:pPr>
    </w:p>
    <w:p>
      <w:pPr>
        <w:pStyle w:val="473"/>
        <w:rPr>
          <w:color w:val="000000"/>
        </w:rPr>
      </w:pPr>
    </w:p>
    <w:p>
      <w:pPr>
        <w:pStyle w:val="473"/>
        <w:jc w:val="center"/>
        <w:rPr>
          <w:color w:val="000000"/>
        </w:rPr>
      </w:pPr>
      <w:r>
        <w:rPr>
          <w:b/>
          <w:color w:val="000000"/>
          <w:sz w:val="52"/>
          <w:szCs w:val="52"/>
        </w:rPr>
        <w:t>招标控制价</w:t>
      </w:r>
    </w:p>
    <w:p>
      <w:pPr>
        <w:pStyle w:val="473"/>
        <w:rPr>
          <w:color w:val="000000"/>
        </w:rPr>
      </w:pPr>
    </w:p>
    <w:p>
      <w:pPr>
        <w:pStyle w:val="473"/>
        <w:ind w:left="0" w:firstLine="0"/>
        <w:rPr>
          <w:color w:val="000000"/>
        </w:rPr>
      </w:pPr>
    </w:p>
    <w:p>
      <w:pPr>
        <w:pStyle w:val="473"/>
        <w:rPr>
          <w:color w:val="000000"/>
        </w:rPr>
      </w:pPr>
    </w:p>
    <w:p>
      <w:pPr>
        <w:pStyle w:val="473"/>
        <w:rPr>
          <w:color w:val="000000"/>
        </w:rPr>
      </w:pPr>
    </w:p>
    <w:p>
      <w:pPr>
        <w:pStyle w:val="473"/>
        <w:rPr>
          <w:color w:val="000000"/>
        </w:rPr>
      </w:pPr>
    </w:p>
    <w:p>
      <w:pPr>
        <w:pStyle w:val="473"/>
        <w:jc w:val="center"/>
        <w:rPr>
          <w:color w:val="000000"/>
        </w:rPr>
      </w:pPr>
      <w:r>
        <w:rPr>
          <w:color w:val="000000"/>
          <w:sz w:val="32"/>
          <w:szCs w:val="32"/>
        </w:rPr>
        <w:t>招  标  人：</w:t>
      </w:r>
      <w:r>
        <w:rPr>
          <w:color w:val="000000"/>
        </w:rPr>
        <w:t>_____________________</w:t>
      </w:r>
    </w:p>
    <w:p>
      <w:pPr>
        <w:pStyle w:val="473"/>
        <w:jc w:val="center"/>
        <w:rPr>
          <w:color w:val="000000"/>
        </w:rPr>
      </w:pPr>
      <w:r>
        <w:rPr>
          <w:color w:val="000000"/>
        </w:rPr>
        <w:t xml:space="preserve">           </w:t>
      </w:r>
      <w:r>
        <w:rPr>
          <w:color w:val="000000"/>
          <w:szCs w:val="21"/>
        </w:rPr>
        <w:t>(单位盖章)</w:t>
      </w:r>
    </w:p>
    <w:p>
      <w:pPr>
        <w:pStyle w:val="473"/>
        <w:jc w:val="center"/>
        <w:rPr>
          <w:color w:val="000000"/>
        </w:rPr>
      </w:pPr>
    </w:p>
    <w:p>
      <w:pPr>
        <w:pStyle w:val="473"/>
        <w:jc w:val="center"/>
        <w:rPr>
          <w:color w:val="000000"/>
        </w:rPr>
      </w:pPr>
    </w:p>
    <w:p>
      <w:pPr>
        <w:pStyle w:val="473"/>
        <w:jc w:val="center"/>
        <w:rPr>
          <w:color w:val="000000"/>
        </w:rPr>
      </w:pPr>
      <w:r>
        <w:rPr>
          <w:color w:val="000000"/>
          <w:sz w:val="32"/>
          <w:szCs w:val="32"/>
        </w:rPr>
        <w:t>造价咨询人：</w:t>
      </w:r>
      <w:r>
        <w:rPr>
          <w:color w:val="000000"/>
        </w:rPr>
        <w:t>_____________________</w:t>
      </w:r>
    </w:p>
    <w:p>
      <w:pPr>
        <w:pStyle w:val="473"/>
        <w:jc w:val="center"/>
        <w:rPr>
          <w:color w:val="000000"/>
        </w:rPr>
      </w:pPr>
      <w:r>
        <w:rPr>
          <w:color w:val="000000"/>
        </w:rPr>
        <w:t xml:space="preserve">            </w:t>
      </w:r>
      <w:r>
        <w:rPr>
          <w:color w:val="000000"/>
          <w:szCs w:val="21"/>
        </w:rPr>
        <w:t>（单位盖章）</w:t>
      </w:r>
    </w:p>
    <w:p>
      <w:pPr>
        <w:pStyle w:val="473"/>
        <w:rPr>
          <w:color w:val="000000"/>
        </w:rPr>
      </w:pPr>
    </w:p>
    <w:p>
      <w:pPr>
        <w:pStyle w:val="473"/>
        <w:rPr>
          <w:color w:val="000000"/>
        </w:rPr>
      </w:pPr>
    </w:p>
    <w:p>
      <w:pPr>
        <w:pStyle w:val="473"/>
        <w:ind w:left="0" w:firstLine="0"/>
        <w:rPr>
          <w:color w:val="000000"/>
        </w:rPr>
      </w:pPr>
    </w:p>
    <w:p>
      <w:pPr>
        <w:pStyle w:val="473"/>
        <w:rPr>
          <w:color w:val="000000"/>
        </w:rPr>
      </w:pPr>
    </w:p>
    <w:p>
      <w:pPr>
        <w:pStyle w:val="473"/>
        <w:rPr>
          <w:color w:val="000000"/>
        </w:rPr>
      </w:pPr>
    </w:p>
    <w:p>
      <w:pPr>
        <w:pStyle w:val="473"/>
        <w:rPr>
          <w:color w:val="000000"/>
        </w:rPr>
      </w:pPr>
    </w:p>
    <w:p>
      <w:pPr>
        <w:pStyle w:val="473"/>
        <w:ind w:left="0" w:firstLine="0"/>
        <w:jc w:val="center"/>
        <w:rPr>
          <w:color w:val="000000"/>
          <w:sz w:val="32"/>
          <w:szCs w:val="32"/>
        </w:rPr>
      </w:pPr>
      <w:r>
        <w:rPr>
          <w:color w:val="000000"/>
          <w:sz w:val="32"/>
          <w:szCs w:val="32"/>
        </w:rPr>
        <w:t>年  月  日</w:t>
      </w:r>
    </w:p>
    <w:p>
      <w:pPr>
        <w:pStyle w:val="473"/>
        <w:ind w:left="0" w:firstLine="0"/>
        <w:jc w:val="center"/>
        <w:rPr>
          <w:color w:val="000000"/>
          <w:sz w:val="32"/>
          <w:szCs w:val="32"/>
        </w:rPr>
      </w:pPr>
    </w:p>
    <w:p>
      <w:pPr>
        <w:pStyle w:val="473"/>
        <w:ind w:left="0" w:firstLine="0"/>
        <w:jc w:val="center"/>
        <w:rPr>
          <w:color w:val="000000"/>
          <w:sz w:val="32"/>
          <w:szCs w:val="32"/>
        </w:rPr>
      </w:pPr>
    </w:p>
    <w:p>
      <w:pPr>
        <w:pStyle w:val="473"/>
        <w:ind w:left="0" w:firstLine="0"/>
        <w:jc w:val="center"/>
        <w:rPr>
          <w:color w:val="000000"/>
          <w:sz w:val="32"/>
          <w:szCs w:val="32"/>
        </w:rPr>
      </w:pPr>
    </w:p>
    <w:p>
      <w:pPr>
        <w:pStyle w:val="473"/>
        <w:rPr>
          <w:color w:val="000000"/>
        </w:rPr>
      </w:pPr>
      <w:r>
        <w:rPr>
          <w:rFonts w:hint="eastAsia"/>
          <w:color w:val="000000"/>
        </w:rPr>
        <w:t>表</w:t>
      </w:r>
      <w:r>
        <w:rPr>
          <w:color w:val="000000"/>
        </w:rPr>
        <w:t xml:space="preserve">2  </w:t>
      </w:r>
      <w:r>
        <w:rPr>
          <w:rFonts w:hint="eastAsia"/>
          <w:color w:val="000000"/>
        </w:rPr>
        <w:t>招标工程量清单扉页</w:t>
      </w:r>
    </w:p>
    <w:p>
      <w:pPr>
        <w:pStyle w:val="473"/>
        <w:rPr>
          <w:color w:val="000000"/>
        </w:rPr>
      </w:pPr>
    </w:p>
    <w:p>
      <w:pPr>
        <w:pStyle w:val="473"/>
        <w:jc w:val="center"/>
        <w:rPr>
          <w:color w:val="000000"/>
        </w:rPr>
      </w:pPr>
      <w:r>
        <w:rPr>
          <w:b/>
          <w:color w:val="000000"/>
          <w:sz w:val="28"/>
          <w:szCs w:val="28"/>
        </w:rPr>
        <w:t>____________________________</w:t>
      </w:r>
      <w:r>
        <w:rPr>
          <w:b/>
          <w:color w:val="000000"/>
          <w:sz w:val="36"/>
          <w:szCs w:val="36"/>
        </w:rPr>
        <w:t>工程</w:t>
      </w:r>
    </w:p>
    <w:p>
      <w:pPr>
        <w:pStyle w:val="473"/>
        <w:ind w:left="0" w:firstLine="0"/>
        <w:rPr>
          <w:color w:val="000000"/>
        </w:rPr>
      </w:pPr>
    </w:p>
    <w:p>
      <w:pPr>
        <w:pStyle w:val="473"/>
        <w:rPr>
          <w:color w:val="000000"/>
        </w:rPr>
      </w:pPr>
    </w:p>
    <w:p>
      <w:pPr>
        <w:pStyle w:val="473"/>
        <w:jc w:val="center"/>
        <w:rPr>
          <w:color w:val="000000"/>
        </w:rPr>
      </w:pPr>
      <w:r>
        <w:rPr>
          <w:b/>
          <w:color w:val="000000"/>
          <w:sz w:val="52"/>
          <w:szCs w:val="52"/>
        </w:rPr>
        <w:t>招标工程量清单</w:t>
      </w:r>
    </w:p>
    <w:p>
      <w:pPr>
        <w:pStyle w:val="473"/>
        <w:rPr>
          <w:color w:val="000000"/>
        </w:rPr>
      </w:pPr>
    </w:p>
    <w:p>
      <w:pPr>
        <w:pStyle w:val="473"/>
        <w:rPr>
          <w:color w:val="000000"/>
        </w:rPr>
      </w:pPr>
    </w:p>
    <w:p>
      <w:pPr>
        <w:pStyle w:val="473"/>
        <w:spacing w:line="360" w:lineRule="exact"/>
        <w:rPr>
          <w:color w:val="000000"/>
        </w:rPr>
      </w:pPr>
    </w:p>
    <w:p>
      <w:pPr>
        <w:pStyle w:val="473"/>
        <w:spacing w:line="360" w:lineRule="exact"/>
        <w:rPr>
          <w:color w:val="000000"/>
        </w:rPr>
      </w:pPr>
    </w:p>
    <w:p>
      <w:pPr>
        <w:spacing w:line="360" w:lineRule="exact"/>
        <w:rPr>
          <w:rFonts w:hint="eastAsia"/>
          <w:color w:val="000000"/>
        </w:rPr>
      </w:pPr>
    </w:p>
    <w:p>
      <w:pPr>
        <w:spacing w:line="360" w:lineRule="exact"/>
        <w:rPr>
          <w:rFonts w:hint="eastAsia"/>
          <w:color w:val="000000"/>
          <w:sz w:val="24"/>
        </w:rPr>
      </w:pPr>
      <w:r>
        <w:rPr>
          <w:rFonts w:hint="eastAsia"/>
          <w:color w:val="000000"/>
          <w:sz w:val="32"/>
          <w:szCs w:val="32"/>
        </w:rPr>
        <w:t>招  标  人：</w:t>
      </w:r>
      <w:r>
        <w:rPr>
          <w:rFonts w:hint="eastAsia"/>
          <w:color w:val="000000"/>
          <w:sz w:val="24"/>
        </w:rPr>
        <w:t>_________________  　</w:t>
      </w:r>
      <w:r>
        <w:rPr>
          <w:rFonts w:hint="eastAsia"/>
          <w:color w:val="000000"/>
          <w:sz w:val="32"/>
          <w:szCs w:val="32"/>
        </w:rPr>
        <w:t>造价咨询人：</w:t>
      </w:r>
      <w:r>
        <w:rPr>
          <w:rFonts w:hint="eastAsia"/>
          <w:color w:val="000000"/>
          <w:sz w:val="24"/>
        </w:rPr>
        <w:t>__________________</w:t>
      </w:r>
    </w:p>
    <w:p>
      <w:pPr>
        <w:spacing w:line="360" w:lineRule="exact"/>
        <w:rPr>
          <w:rFonts w:hint="eastAsia"/>
          <w:color w:val="000000"/>
          <w:szCs w:val="21"/>
        </w:rPr>
      </w:pPr>
      <w:r>
        <w:rPr>
          <w:rFonts w:hint="eastAsia"/>
          <w:color w:val="000000"/>
          <w:sz w:val="24"/>
        </w:rPr>
        <w:t xml:space="preserve">       </w:t>
      </w:r>
      <w:r>
        <w:rPr>
          <w:rFonts w:hint="eastAsia"/>
          <w:color w:val="000000"/>
          <w:szCs w:val="21"/>
        </w:rPr>
        <w:t xml:space="preserve">              （单位盖章）                          （单位资质专用章）</w:t>
      </w:r>
    </w:p>
    <w:p>
      <w:pPr>
        <w:spacing w:line="360" w:lineRule="exact"/>
        <w:rPr>
          <w:rFonts w:hint="eastAsia"/>
          <w:color w:val="000000"/>
          <w:sz w:val="24"/>
        </w:rPr>
      </w:pPr>
      <w:r>
        <w:rPr>
          <w:rFonts w:hint="eastAsia"/>
          <w:color w:val="000000"/>
          <w:sz w:val="24"/>
        </w:rPr>
        <w:t>　</w:t>
      </w:r>
    </w:p>
    <w:p>
      <w:pPr>
        <w:spacing w:line="360" w:lineRule="exact"/>
        <w:rPr>
          <w:rFonts w:hint="eastAsia"/>
          <w:color w:val="000000"/>
          <w:sz w:val="24"/>
        </w:rPr>
      </w:pPr>
    </w:p>
    <w:p>
      <w:pPr>
        <w:spacing w:line="360" w:lineRule="exact"/>
        <w:rPr>
          <w:rFonts w:hint="eastAsia"/>
          <w:color w:val="000000"/>
          <w:sz w:val="32"/>
          <w:szCs w:val="32"/>
        </w:rPr>
      </w:pPr>
      <w:r>
        <w:rPr>
          <w:rFonts w:hint="eastAsia"/>
          <w:color w:val="000000"/>
          <w:sz w:val="32"/>
          <w:szCs w:val="32"/>
        </w:rPr>
        <w:t xml:space="preserve">法定代表人  </w:t>
      </w:r>
      <w:r>
        <w:rPr>
          <w:rFonts w:hint="eastAsia"/>
          <w:color w:val="000000"/>
          <w:sz w:val="24"/>
        </w:rPr>
        <w:t xml:space="preserve">                   　</w:t>
      </w:r>
      <w:r>
        <w:rPr>
          <w:rFonts w:hint="eastAsia"/>
          <w:color w:val="000000"/>
          <w:sz w:val="32"/>
          <w:szCs w:val="32"/>
        </w:rPr>
        <w:t>法定代表人</w:t>
      </w:r>
    </w:p>
    <w:p>
      <w:pPr>
        <w:spacing w:line="360" w:lineRule="exact"/>
        <w:rPr>
          <w:rFonts w:hint="eastAsia"/>
          <w:color w:val="000000"/>
          <w:sz w:val="24"/>
        </w:rPr>
      </w:pPr>
      <w:r>
        <w:rPr>
          <w:rFonts w:hint="eastAsia"/>
          <w:color w:val="000000"/>
          <w:sz w:val="32"/>
          <w:szCs w:val="32"/>
        </w:rPr>
        <w:t>或其授权人：</w:t>
      </w:r>
      <w:r>
        <w:rPr>
          <w:rFonts w:hint="eastAsia"/>
          <w:color w:val="000000"/>
          <w:sz w:val="24"/>
        </w:rPr>
        <w:t xml:space="preserve">__________________　 </w:t>
      </w:r>
      <w:r>
        <w:rPr>
          <w:rFonts w:hint="eastAsia"/>
          <w:color w:val="000000"/>
          <w:sz w:val="32"/>
          <w:szCs w:val="32"/>
        </w:rPr>
        <w:t>或其授权人：</w:t>
      </w:r>
      <w:r>
        <w:rPr>
          <w:rFonts w:hint="eastAsia"/>
          <w:color w:val="000000"/>
          <w:sz w:val="24"/>
        </w:rPr>
        <w:t>___________________</w:t>
      </w:r>
    </w:p>
    <w:p>
      <w:pPr>
        <w:spacing w:line="360" w:lineRule="exact"/>
        <w:rPr>
          <w:rFonts w:hint="eastAsia"/>
          <w:color w:val="000000"/>
          <w:szCs w:val="21"/>
        </w:rPr>
      </w:pPr>
      <w:r>
        <w:rPr>
          <w:rFonts w:hint="eastAsia"/>
          <w:color w:val="000000"/>
          <w:sz w:val="24"/>
        </w:rPr>
        <w:t xml:space="preserve">          </w:t>
      </w:r>
      <w:r>
        <w:rPr>
          <w:rFonts w:hint="eastAsia"/>
          <w:color w:val="000000"/>
          <w:szCs w:val="21"/>
        </w:rPr>
        <w:t xml:space="preserve">       （签字或盖章）       </w:t>
      </w:r>
      <w:r>
        <w:rPr>
          <w:rFonts w:hint="eastAsia"/>
          <w:color w:val="000000"/>
          <w:sz w:val="24"/>
        </w:rPr>
        <w:t xml:space="preserve">                 　  </w:t>
      </w:r>
      <w:r>
        <w:rPr>
          <w:rFonts w:hint="eastAsia"/>
          <w:color w:val="000000"/>
          <w:szCs w:val="21"/>
        </w:rPr>
        <w:t>（签字或盖章）</w:t>
      </w:r>
    </w:p>
    <w:p>
      <w:pPr>
        <w:spacing w:line="360" w:lineRule="exact"/>
        <w:rPr>
          <w:rFonts w:hint="eastAsia"/>
          <w:color w:val="000000"/>
          <w:sz w:val="24"/>
        </w:rPr>
      </w:pPr>
    </w:p>
    <w:p>
      <w:pPr>
        <w:spacing w:line="360" w:lineRule="exact"/>
        <w:rPr>
          <w:rFonts w:hint="eastAsia"/>
          <w:color w:val="000000"/>
          <w:sz w:val="24"/>
        </w:rPr>
      </w:pPr>
    </w:p>
    <w:p>
      <w:pPr>
        <w:spacing w:line="360" w:lineRule="exact"/>
        <w:rPr>
          <w:rFonts w:hint="eastAsia"/>
          <w:color w:val="000000"/>
          <w:sz w:val="24"/>
        </w:rPr>
      </w:pPr>
      <w:r>
        <w:rPr>
          <w:rFonts w:hint="eastAsia"/>
          <w:color w:val="000000"/>
          <w:sz w:val="32"/>
          <w:szCs w:val="32"/>
        </w:rPr>
        <w:t>编  制  人：</w:t>
      </w:r>
      <w:r>
        <w:rPr>
          <w:rFonts w:hint="eastAsia"/>
          <w:color w:val="000000"/>
          <w:sz w:val="24"/>
        </w:rPr>
        <w:t>___________________　</w:t>
      </w:r>
      <w:r>
        <w:rPr>
          <w:rFonts w:hint="eastAsia"/>
          <w:color w:val="000000"/>
          <w:sz w:val="32"/>
          <w:szCs w:val="32"/>
        </w:rPr>
        <w:t>复  核  人：</w:t>
      </w:r>
      <w:r>
        <w:rPr>
          <w:rFonts w:hint="eastAsia"/>
          <w:color w:val="000000"/>
          <w:sz w:val="24"/>
        </w:rPr>
        <w:t>___________________</w:t>
      </w:r>
    </w:p>
    <w:p>
      <w:pPr>
        <w:spacing w:line="360" w:lineRule="exact"/>
        <w:rPr>
          <w:rFonts w:hint="eastAsia"/>
          <w:color w:val="000000"/>
          <w:szCs w:val="21"/>
        </w:rPr>
      </w:pPr>
      <w:r>
        <w:rPr>
          <w:rFonts w:hint="eastAsia"/>
          <w:color w:val="000000"/>
          <w:sz w:val="24"/>
        </w:rPr>
        <w:t xml:space="preserve">         </w:t>
      </w:r>
      <w:r>
        <w:rPr>
          <w:rFonts w:hint="eastAsia"/>
          <w:color w:val="000000"/>
          <w:szCs w:val="21"/>
        </w:rPr>
        <w:t xml:space="preserve">           （造价人员签字）          　          （造价工程师签字盖专用章）</w:t>
      </w:r>
    </w:p>
    <w:p>
      <w:pPr>
        <w:spacing w:line="360" w:lineRule="exact"/>
        <w:rPr>
          <w:rFonts w:hint="eastAsia"/>
          <w:color w:val="000000"/>
          <w:sz w:val="24"/>
        </w:rPr>
      </w:pPr>
    </w:p>
    <w:p>
      <w:pPr>
        <w:spacing w:line="360" w:lineRule="exact"/>
        <w:rPr>
          <w:rFonts w:hint="eastAsia"/>
          <w:color w:val="000000"/>
          <w:sz w:val="24"/>
        </w:rPr>
      </w:pPr>
    </w:p>
    <w:p>
      <w:pPr>
        <w:spacing w:line="360" w:lineRule="exact"/>
        <w:rPr>
          <w:rFonts w:hint="eastAsia"/>
          <w:color w:val="000000"/>
          <w:sz w:val="24"/>
        </w:rPr>
      </w:pPr>
    </w:p>
    <w:p>
      <w:pPr>
        <w:spacing w:line="360" w:lineRule="exact"/>
        <w:rPr>
          <w:rFonts w:hint="eastAsia"/>
          <w:color w:val="000000"/>
          <w:sz w:val="24"/>
        </w:rPr>
      </w:pPr>
    </w:p>
    <w:p>
      <w:pPr>
        <w:spacing w:line="360" w:lineRule="exact"/>
        <w:rPr>
          <w:rFonts w:hint="eastAsia"/>
          <w:color w:val="000000"/>
          <w:sz w:val="24"/>
        </w:rPr>
      </w:pPr>
    </w:p>
    <w:p>
      <w:pPr>
        <w:rPr>
          <w:rFonts w:hint="eastAsia"/>
          <w:color w:val="000000"/>
          <w:sz w:val="32"/>
          <w:szCs w:val="32"/>
        </w:rPr>
      </w:pPr>
      <w:r>
        <w:rPr>
          <w:rFonts w:hint="eastAsia"/>
          <w:color w:val="000000"/>
          <w:sz w:val="32"/>
          <w:szCs w:val="32"/>
        </w:rPr>
        <w:t>编制时间：  年  月  日         复核时间：  年  月  日</w:t>
      </w:r>
    </w:p>
    <w:p>
      <w:pPr>
        <w:rPr>
          <w:rFonts w:hint="eastAsia"/>
          <w:color w:val="000000"/>
        </w:rPr>
      </w:pPr>
    </w:p>
    <w:p>
      <w:pPr>
        <w:pStyle w:val="473"/>
        <w:rPr>
          <w:rFonts w:hint="eastAsia"/>
          <w:color w:val="000000"/>
        </w:rPr>
      </w:pPr>
    </w:p>
    <w:p>
      <w:pPr>
        <w:pStyle w:val="473"/>
        <w:rPr>
          <w:rFonts w:hint="eastAsia"/>
          <w:color w:val="000000"/>
        </w:rPr>
      </w:pPr>
    </w:p>
    <w:p>
      <w:pPr>
        <w:pStyle w:val="473"/>
        <w:rPr>
          <w:rFonts w:hint="eastAsia"/>
          <w:color w:val="000000"/>
        </w:rPr>
      </w:pPr>
    </w:p>
    <w:p>
      <w:pPr>
        <w:pStyle w:val="473"/>
        <w:rPr>
          <w:rFonts w:hint="eastAsia"/>
          <w:color w:val="000000"/>
        </w:rPr>
      </w:pPr>
    </w:p>
    <w:p>
      <w:pPr>
        <w:pStyle w:val="473"/>
        <w:rPr>
          <w:rFonts w:hint="eastAsia"/>
          <w:color w:val="000000"/>
        </w:rPr>
      </w:pPr>
    </w:p>
    <w:p>
      <w:pPr>
        <w:pStyle w:val="473"/>
        <w:rPr>
          <w:rFonts w:hint="eastAsia"/>
          <w:color w:val="000000"/>
        </w:rPr>
      </w:pPr>
    </w:p>
    <w:p>
      <w:pPr>
        <w:pStyle w:val="473"/>
        <w:rPr>
          <w:color w:val="000000"/>
        </w:rPr>
      </w:pPr>
      <w:r>
        <w:rPr>
          <w:rFonts w:hint="eastAsia"/>
          <w:color w:val="000000"/>
        </w:rPr>
        <w:t>表</w:t>
      </w:r>
      <w:r>
        <w:rPr>
          <w:color w:val="000000"/>
        </w:rPr>
        <w:t>2</w:t>
      </w:r>
      <w:r>
        <w:rPr>
          <w:rFonts w:hint="eastAsia"/>
          <w:color w:val="000000"/>
        </w:rPr>
        <w:t>招标控制价扉页</w:t>
      </w:r>
    </w:p>
    <w:p>
      <w:pPr>
        <w:pStyle w:val="473"/>
        <w:rPr>
          <w:rFonts w:hint="eastAsia"/>
          <w:color w:val="000000"/>
        </w:rPr>
      </w:pPr>
    </w:p>
    <w:p>
      <w:pPr>
        <w:pStyle w:val="473"/>
        <w:rPr>
          <w:color w:val="000000"/>
        </w:rPr>
      </w:pPr>
    </w:p>
    <w:p>
      <w:pPr>
        <w:spacing w:line="360" w:lineRule="exact"/>
        <w:jc w:val="center"/>
        <w:rPr>
          <w:rFonts w:hint="eastAsia"/>
          <w:b/>
          <w:color w:val="000000"/>
          <w:sz w:val="36"/>
          <w:szCs w:val="36"/>
        </w:rPr>
      </w:pPr>
      <w:r>
        <w:rPr>
          <w:rFonts w:hint="eastAsia"/>
          <w:b/>
          <w:color w:val="000000"/>
          <w:sz w:val="28"/>
          <w:szCs w:val="28"/>
        </w:rPr>
        <w:t>____________________________</w:t>
      </w:r>
      <w:r>
        <w:rPr>
          <w:rFonts w:hint="eastAsia"/>
          <w:b/>
          <w:color w:val="000000"/>
          <w:sz w:val="36"/>
          <w:szCs w:val="36"/>
        </w:rPr>
        <w:t>工程</w:t>
      </w:r>
    </w:p>
    <w:p>
      <w:pPr>
        <w:spacing w:line="360" w:lineRule="exact"/>
        <w:rPr>
          <w:rFonts w:hint="eastAsia"/>
          <w:color w:val="000000"/>
        </w:rPr>
      </w:pPr>
      <w:r>
        <w:rPr>
          <w:rFonts w:hint="eastAsia"/>
          <w:color w:val="000000"/>
        </w:rPr>
        <w:t xml:space="preserve">   </w:t>
      </w:r>
    </w:p>
    <w:p>
      <w:pPr>
        <w:spacing w:line="360" w:lineRule="exact"/>
        <w:rPr>
          <w:rFonts w:hint="eastAsia"/>
          <w:color w:val="000000"/>
        </w:rPr>
      </w:pPr>
    </w:p>
    <w:p>
      <w:pPr>
        <w:spacing w:line="360" w:lineRule="exact"/>
        <w:rPr>
          <w:rFonts w:hint="eastAsia"/>
          <w:color w:val="000000"/>
        </w:rPr>
      </w:pPr>
    </w:p>
    <w:p>
      <w:pPr>
        <w:spacing w:line="360" w:lineRule="exact"/>
        <w:rPr>
          <w:rFonts w:hint="eastAsia"/>
          <w:color w:val="000000"/>
        </w:rPr>
      </w:pPr>
    </w:p>
    <w:p>
      <w:pPr>
        <w:jc w:val="center"/>
        <w:rPr>
          <w:rFonts w:hint="eastAsia"/>
          <w:b/>
          <w:color w:val="000000"/>
          <w:sz w:val="52"/>
          <w:szCs w:val="52"/>
        </w:rPr>
      </w:pPr>
      <w:r>
        <w:rPr>
          <w:rFonts w:hint="eastAsia"/>
          <w:b/>
          <w:color w:val="000000"/>
          <w:sz w:val="52"/>
          <w:szCs w:val="52"/>
        </w:rPr>
        <w:t>招标控制价</w:t>
      </w:r>
    </w:p>
    <w:p>
      <w:pPr>
        <w:spacing w:line="360" w:lineRule="exact"/>
        <w:rPr>
          <w:rFonts w:hint="eastAsia"/>
          <w:color w:val="000000"/>
        </w:rPr>
      </w:pPr>
    </w:p>
    <w:p>
      <w:pPr>
        <w:spacing w:line="360" w:lineRule="exact"/>
        <w:rPr>
          <w:rFonts w:hint="eastAsia"/>
          <w:color w:val="000000"/>
          <w:sz w:val="24"/>
        </w:rPr>
      </w:pPr>
    </w:p>
    <w:p>
      <w:pPr>
        <w:spacing w:line="360" w:lineRule="exact"/>
        <w:rPr>
          <w:rFonts w:hint="eastAsia"/>
          <w:color w:val="000000"/>
          <w:sz w:val="24"/>
        </w:rPr>
      </w:pPr>
      <w:r>
        <w:rPr>
          <w:rFonts w:hint="eastAsia"/>
          <w:color w:val="000000"/>
          <w:sz w:val="32"/>
          <w:szCs w:val="32"/>
        </w:rPr>
        <w:t>招标控制价（小写）：</w:t>
      </w:r>
      <w:r>
        <w:rPr>
          <w:rFonts w:hint="eastAsia"/>
          <w:color w:val="000000"/>
          <w:sz w:val="24"/>
        </w:rPr>
        <w:t>_______________________</w:t>
      </w:r>
    </w:p>
    <w:p>
      <w:pPr>
        <w:spacing w:line="360" w:lineRule="exact"/>
        <w:rPr>
          <w:rFonts w:hint="eastAsia"/>
          <w:color w:val="000000"/>
          <w:sz w:val="24"/>
        </w:rPr>
      </w:pPr>
      <w:r>
        <w:rPr>
          <w:rFonts w:hint="eastAsia"/>
          <w:color w:val="000000"/>
          <w:sz w:val="24"/>
        </w:rPr>
        <w:t xml:space="preserve">          </w:t>
      </w:r>
    </w:p>
    <w:p>
      <w:pPr>
        <w:spacing w:line="360" w:lineRule="exact"/>
        <w:ind w:firstLine="1600" w:firstLineChars="500"/>
        <w:rPr>
          <w:rFonts w:hint="eastAsia"/>
          <w:color w:val="000000"/>
          <w:sz w:val="24"/>
        </w:rPr>
      </w:pPr>
      <w:r>
        <w:rPr>
          <w:rFonts w:hint="eastAsia"/>
          <w:color w:val="000000"/>
          <w:sz w:val="32"/>
          <w:szCs w:val="32"/>
        </w:rPr>
        <w:t>（大写）：</w:t>
      </w:r>
      <w:r>
        <w:rPr>
          <w:rFonts w:hint="eastAsia"/>
          <w:color w:val="000000"/>
          <w:sz w:val="24"/>
        </w:rPr>
        <w:t>________________________</w:t>
      </w:r>
    </w:p>
    <w:p>
      <w:pPr>
        <w:spacing w:line="360" w:lineRule="exact"/>
        <w:rPr>
          <w:rFonts w:hint="eastAsia"/>
          <w:color w:val="000000"/>
        </w:rPr>
      </w:pPr>
    </w:p>
    <w:p>
      <w:pPr>
        <w:spacing w:line="360" w:lineRule="exact"/>
        <w:rPr>
          <w:rFonts w:hint="eastAsia"/>
          <w:color w:val="000000"/>
        </w:rPr>
      </w:pPr>
    </w:p>
    <w:p>
      <w:pPr>
        <w:spacing w:line="360" w:lineRule="exact"/>
        <w:rPr>
          <w:rFonts w:hint="eastAsia"/>
          <w:color w:val="000000"/>
        </w:rPr>
      </w:pPr>
    </w:p>
    <w:p>
      <w:pPr>
        <w:spacing w:line="360" w:lineRule="exact"/>
        <w:rPr>
          <w:rFonts w:hint="eastAsia"/>
          <w:color w:val="000000"/>
          <w:sz w:val="24"/>
        </w:rPr>
      </w:pPr>
      <w:r>
        <w:rPr>
          <w:rFonts w:hint="eastAsia"/>
          <w:color w:val="000000"/>
          <w:sz w:val="32"/>
          <w:szCs w:val="32"/>
        </w:rPr>
        <w:t>招  标  人：</w:t>
      </w:r>
      <w:r>
        <w:rPr>
          <w:rFonts w:hint="eastAsia"/>
          <w:color w:val="000000"/>
          <w:sz w:val="24"/>
        </w:rPr>
        <w:t>_________________    　</w:t>
      </w:r>
      <w:r>
        <w:rPr>
          <w:rFonts w:hint="eastAsia"/>
          <w:color w:val="000000"/>
          <w:sz w:val="32"/>
          <w:szCs w:val="32"/>
        </w:rPr>
        <w:t>造价咨询人：</w:t>
      </w:r>
      <w:r>
        <w:rPr>
          <w:rFonts w:hint="eastAsia"/>
          <w:color w:val="000000"/>
          <w:sz w:val="24"/>
        </w:rPr>
        <w:t>__________________</w:t>
      </w:r>
    </w:p>
    <w:p>
      <w:pPr>
        <w:spacing w:line="360" w:lineRule="exact"/>
        <w:rPr>
          <w:rFonts w:hint="eastAsia"/>
          <w:color w:val="000000"/>
          <w:szCs w:val="21"/>
        </w:rPr>
      </w:pPr>
      <w:r>
        <w:rPr>
          <w:rFonts w:hint="eastAsia"/>
          <w:color w:val="000000"/>
          <w:sz w:val="24"/>
        </w:rPr>
        <w:t xml:space="preserve">       </w:t>
      </w:r>
      <w:r>
        <w:rPr>
          <w:rFonts w:hint="eastAsia"/>
          <w:color w:val="000000"/>
          <w:szCs w:val="21"/>
        </w:rPr>
        <w:t xml:space="preserve">              （单位盖章）                        　    （单位资质专用章）</w:t>
      </w:r>
    </w:p>
    <w:p>
      <w:pPr>
        <w:spacing w:line="360" w:lineRule="exact"/>
        <w:rPr>
          <w:rFonts w:hint="eastAsia"/>
          <w:color w:val="000000"/>
          <w:sz w:val="24"/>
        </w:rPr>
      </w:pPr>
    </w:p>
    <w:p>
      <w:pPr>
        <w:spacing w:line="360" w:lineRule="exact"/>
        <w:rPr>
          <w:rFonts w:hint="eastAsia"/>
          <w:color w:val="000000"/>
          <w:sz w:val="24"/>
        </w:rPr>
      </w:pPr>
    </w:p>
    <w:p>
      <w:pPr>
        <w:spacing w:line="360" w:lineRule="exact"/>
        <w:rPr>
          <w:rFonts w:hint="eastAsia"/>
          <w:color w:val="000000"/>
          <w:sz w:val="32"/>
          <w:szCs w:val="32"/>
        </w:rPr>
      </w:pPr>
      <w:r>
        <w:rPr>
          <w:rFonts w:hint="eastAsia"/>
          <w:color w:val="000000"/>
          <w:sz w:val="32"/>
          <w:szCs w:val="32"/>
        </w:rPr>
        <w:t xml:space="preserve">法定代表人  </w:t>
      </w:r>
      <w:r>
        <w:rPr>
          <w:rFonts w:hint="eastAsia"/>
          <w:color w:val="000000"/>
          <w:sz w:val="24"/>
        </w:rPr>
        <w:t xml:space="preserve">                   　</w:t>
      </w:r>
      <w:r>
        <w:rPr>
          <w:rFonts w:hint="eastAsia"/>
          <w:color w:val="000000"/>
          <w:sz w:val="32"/>
          <w:szCs w:val="32"/>
        </w:rPr>
        <w:t>法定代表人</w:t>
      </w:r>
    </w:p>
    <w:p>
      <w:pPr>
        <w:spacing w:line="360" w:lineRule="exact"/>
        <w:rPr>
          <w:rFonts w:hint="eastAsia"/>
          <w:color w:val="000000"/>
          <w:sz w:val="24"/>
        </w:rPr>
      </w:pPr>
      <w:r>
        <w:rPr>
          <w:rFonts w:hint="eastAsia"/>
          <w:color w:val="000000"/>
          <w:sz w:val="32"/>
          <w:szCs w:val="32"/>
        </w:rPr>
        <w:t>或其授权人：</w:t>
      </w:r>
      <w:r>
        <w:rPr>
          <w:rFonts w:hint="eastAsia"/>
          <w:color w:val="000000"/>
          <w:sz w:val="24"/>
        </w:rPr>
        <w:t>__________________ 　</w:t>
      </w:r>
      <w:r>
        <w:rPr>
          <w:rFonts w:hint="eastAsia"/>
          <w:color w:val="000000"/>
          <w:sz w:val="32"/>
          <w:szCs w:val="32"/>
        </w:rPr>
        <w:t>或其授权人：</w:t>
      </w:r>
      <w:r>
        <w:rPr>
          <w:rFonts w:hint="eastAsia"/>
          <w:color w:val="000000"/>
          <w:sz w:val="24"/>
        </w:rPr>
        <w:t>___________________</w:t>
      </w:r>
    </w:p>
    <w:p>
      <w:pPr>
        <w:spacing w:line="360" w:lineRule="exact"/>
        <w:rPr>
          <w:rFonts w:hint="eastAsia"/>
          <w:color w:val="000000"/>
          <w:szCs w:val="21"/>
        </w:rPr>
      </w:pPr>
      <w:r>
        <w:rPr>
          <w:rFonts w:hint="eastAsia"/>
          <w:color w:val="000000"/>
          <w:sz w:val="24"/>
        </w:rPr>
        <w:t xml:space="preserve">          </w:t>
      </w:r>
      <w:r>
        <w:rPr>
          <w:rFonts w:hint="eastAsia"/>
          <w:color w:val="000000"/>
          <w:szCs w:val="21"/>
        </w:rPr>
        <w:t xml:space="preserve">          （签字或盖章）       </w:t>
      </w:r>
      <w:r>
        <w:rPr>
          <w:rFonts w:hint="eastAsia"/>
          <w:color w:val="000000"/>
          <w:sz w:val="24"/>
        </w:rPr>
        <w:t xml:space="preserve">               　  </w:t>
      </w:r>
      <w:r>
        <w:rPr>
          <w:rFonts w:hint="eastAsia"/>
          <w:color w:val="000000"/>
          <w:szCs w:val="21"/>
        </w:rPr>
        <w:t>（签字或盖章）</w:t>
      </w:r>
    </w:p>
    <w:p>
      <w:pPr>
        <w:spacing w:line="360" w:lineRule="exact"/>
        <w:rPr>
          <w:rFonts w:hint="eastAsia"/>
          <w:color w:val="000000"/>
          <w:sz w:val="24"/>
        </w:rPr>
      </w:pPr>
    </w:p>
    <w:p>
      <w:pPr>
        <w:spacing w:line="360" w:lineRule="exact"/>
        <w:rPr>
          <w:rFonts w:hint="eastAsia"/>
          <w:color w:val="000000"/>
          <w:sz w:val="24"/>
        </w:rPr>
      </w:pPr>
    </w:p>
    <w:p>
      <w:pPr>
        <w:spacing w:line="360" w:lineRule="exact"/>
        <w:rPr>
          <w:rFonts w:hint="eastAsia"/>
          <w:color w:val="000000"/>
          <w:sz w:val="24"/>
        </w:rPr>
      </w:pPr>
      <w:r>
        <w:rPr>
          <w:rFonts w:hint="eastAsia"/>
          <w:color w:val="000000"/>
          <w:sz w:val="32"/>
          <w:szCs w:val="32"/>
        </w:rPr>
        <w:t>编  制  人：</w:t>
      </w:r>
      <w:r>
        <w:rPr>
          <w:rFonts w:hint="eastAsia"/>
          <w:color w:val="000000"/>
          <w:sz w:val="24"/>
        </w:rPr>
        <w:t>___________________　</w:t>
      </w:r>
      <w:r>
        <w:rPr>
          <w:rFonts w:hint="eastAsia"/>
          <w:color w:val="000000"/>
          <w:sz w:val="32"/>
          <w:szCs w:val="32"/>
        </w:rPr>
        <w:t>复  核  人：</w:t>
      </w:r>
      <w:r>
        <w:rPr>
          <w:rFonts w:hint="eastAsia"/>
          <w:color w:val="000000"/>
          <w:sz w:val="24"/>
        </w:rPr>
        <w:t>___________________</w:t>
      </w:r>
    </w:p>
    <w:p>
      <w:pPr>
        <w:spacing w:line="360" w:lineRule="exact"/>
        <w:rPr>
          <w:rFonts w:hint="eastAsia"/>
          <w:color w:val="000000"/>
          <w:szCs w:val="21"/>
        </w:rPr>
      </w:pPr>
      <w:r>
        <w:rPr>
          <w:rFonts w:hint="eastAsia"/>
          <w:color w:val="000000"/>
          <w:sz w:val="24"/>
        </w:rPr>
        <w:t xml:space="preserve">         </w:t>
      </w:r>
      <w:r>
        <w:rPr>
          <w:rFonts w:hint="eastAsia"/>
          <w:color w:val="000000"/>
          <w:szCs w:val="21"/>
        </w:rPr>
        <w:t xml:space="preserve">          （造价人员签字）                  　  （造价工程师签字盖专用章）</w:t>
      </w:r>
    </w:p>
    <w:p>
      <w:pPr>
        <w:spacing w:line="360" w:lineRule="exact"/>
        <w:rPr>
          <w:rFonts w:hint="eastAsia"/>
          <w:color w:val="000000"/>
          <w:sz w:val="24"/>
        </w:rPr>
      </w:pPr>
    </w:p>
    <w:p>
      <w:pPr>
        <w:spacing w:line="360" w:lineRule="exact"/>
        <w:rPr>
          <w:rFonts w:hint="eastAsia"/>
          <w:color w:val="000000"/>
          <w:sz w:val="24"/>
        </w:rPr>
      </w:pPr>
    </w:p>
    <w:p>
      <w:pPr>
        <w:spacing w:line="360" w:lineRule="exact"/>
        <w:rPr>
          <w:rFonts w:hint="eastAsia"/>
          <w:color w:val="000000"/>
          <w:sz w:val="24"/>
        </w:rPr>
      </w:pPr>
    </w:p>
    <w:p>
      <w:pPr>
        <w:spacing w:line="360" w:lineRule="exact"/>
        <w:rPr>
          <w:rFonts w:hint="eastAsia"/>
          <w:color w:val="000000"/>
          <w:sz w:val="32"/>
          <w:szCs w:val="32"/>
        </w:rPr>
      </w:pPr>
      <w:r>
        <w:rPr>
          <w:rFonts w:hint="eastAsia"/>
          <w:color w:val="000000"/>
          <w:sz w:val="32"/>
          <w:szCs w:val="32"/>
        </w:rPr>
        <w:t>编制时间：  年  月  日       复核时间：  年  月  日</w:t>
      </w:r>
    </w:p>
    <w:p>
      <w:pPr>
        <w:spacing w:line="360" w:lineRule="exact"/>
        <w:rPr>
          <w:rFonts w:hint="eastAsia"/>
          <w:color w:val="000000"/>
        </w:rPr>
      </w:pPr>
    </w:p>
    <w:p>
      <w:pPr>
        <w:pStyle w:val="473"/>
        <w:ind w:left="0" w:firstLine="0"/>
        <w:jc w:val="left"/>
        <w:rPr>
          <w:rFonts w:hint="eastAsia"/>
          <w:b/>
          <w:color w:val="000000"/>
          <w:sz w:val="36"/>
          <w:szCs w:val="36"/>
        </w:rPr>
      </w:pPr>
    </w:p>
    <w:p>
      <w:pPr>
        <w:pStyle w:val="473"/>
        <w:ind w:left="0" w:firstLine="0"/>
        <w:jc w:val="left"/>
        <w:rPr>
          <w:rFonts w:hint="eastAsia"/>
          <w:b/>
          <w:color w:val="000000"/>
          <w:sz w:val="36"/>
          <w:szCs w:val="36"/>
        </w:rPr>
      </w:pPr>
    </w:p>
    <w:p>
      <w:pPr>
        <w:pStyle w:val="473"/>
        <w:ind w:left="0" w:firstLine="0"/>
        <w:jc w:val="left"/>
        <w:rPr>
          <w:rFonts w:hint="eastAsia"/>
          <w:b/>
          <w:color w:val="000000"/>
          <w:sz w:val="36"/>
          <w:szCs w:val="36"/>
        </w:rPr>
      </w:pPr>
    </w:p>
    <w:p>
      <w:pPr>
        <w:pStyle w:val="473"/>
        <w:ind w:left="0" w:firstLine="0"/>
        <w:jc w:val="left"/>
        <w:rPr>
          <w:rFonts w:hint="eastAsia" w:ascii="宋体" w:hAnsi="宋体"/>
          <w:color w:val="000000"/>
          <w:sz w:val="21"/>
          <w:szCs w:val="21"/>
        </w:rPr>
      </w:pPr>
      <w:r>
        <w:rPr>
          <w:rFonts w:hint="eastAsia" w:ascii="宋体" w:hAnsi="宋体"/>
          <w:color w:val="000000"/>
          <w:sz w:val="21"/>
          <w:szCs w:val="21"/>
        </w:rPr>
        <w:t>表</w:t>
      </w:r>
      <w:r>
        <w:rPr>
          <w:rFonts w:ascii="宋体" w:hAnsi="宋体"/>
          <w:color w:val="000000"/>
          <w:sz w:val="21"/>
          <w:szCs w:val="21"/>
        </w:rPr>
        <w:t xml:space="preserve">3  </w:t>
      </w:r>
      <w:r>
        <w:rPr>
          <w:rFonts w:hint="eastAsia" w:ascii="宋体" w:hAnsi="宋体"/>
          <w:color w:val="000000"/>
          <w:sz w:val="21"/>
          <w:szCs w:val="21"/>
        </w:rPr>
        <w:t>编制说明</w:t>
      </w:r>
    </w:p>
    <w:p>
      <w:pPr>
        <w:pStyle w:val="473"/>
        <w:ind w:left="0" w:firstLine="0"/>
        <w:jc w:val="center"/>
        <w:rPr>
          <w:color w:val="000000"/>
        </w:rPr>
      </w:pPr>
      <w:r>
        <w:rPr>
          <w:rFonts w:hint="eastAsia"/>
          <w:b/>
          <w:color w:val="000000"/>
          <w:sz w:val="36"/>
          <w:szCs w:val="36"/>
        </w:rPr>
        <w:t>编  制</w:t>
      </w:r>
      <w:r>
        <w:rPr>
          <w:b/>
          <w:color w:val="000000"/>
          <w:sz w:val="36"/>
          <w:szCs w:val="36"/>
        </w:rPr>
        <w:t xml:space="preserve">  说  明</w:t>
      </w:r>
    </w:p>
    <w:p>
      <w:pPr>
        <w:pStyle w:val="473"/>
        <w:ind w:left="0" w:firstLine="0"/>
        <w:rPr>
          <w:color w:val="000000"/>
        </w:rPr>
      </w:pPr>
      <w:r>
        <w:rPr>
          <w:color w:val="000000"/>
        </w:rPr>
        <w:t>工程名称：                                               第  页 共  页</w:t>
      </w:r>
    </w:p>
    <w:tbl>
      <w:tblPr>
        <w:tblStyle w:val="83"/>
        <w:tblW w:w="0" w:type="auto"/>
        <w:tblInd w:w="0" w:type="dxa"/>
        <w:tblLayout w:type="autofit"/>
        <w:tblCellMar>
          <w:top w:w="0" w:type="dxa"/>
          <w:left w:w="108" w:type="dxa"/>
          <w:bottom w:w="0" w:type="dxa"/>
          <w:right w:w="108" w:type="dxa"/>
        </w:tblCellMar>
      </w:tblPr>
      <w:tblGrid>
        <w:gridCol w:w="8660"/>
      </w:tblGrid>
      <w:tr>
        <w:tblPrEx>
          <w:tblCellMar>
            <w:top w:w="0" w:type="dxa"/>
            <w:left w:w="108" w:type="dxa"/>
            <w:bottom w:w="0" w:type="dxa"/>
            <w:right w:w="108" w:type="dxa"/>
          </w:tblCellMar>
        </w:tblPrEx>
        <w:trPr>
          <w:wBefore w:w="0" w:type="dxa"/>
          <w:wAfter w:w="0" w:type="dxa"/>
          <w:trHeight w:val="12294" w:hRule="atLeast"/>
        </w:trPr>
        <w:tc>
          <w:tcPr>
            <w:tcW w:w="8660" w:type="dxa"/>
            <w:tcBorders>
              <w:top w:val="single" w:color="auto" w:sz="4" w:space="0"/>
              <w:left w:val="single" w:color="auto" w:sz="4" w:space="0"/>
              <w:bottom w:val="single" w:color="auto" w:sz="4" w:space="0"/>
              <w:right w:val="single" w:color="auto" w:sz="4" w:space="0"/>
            </w:tcBorders>
            <w:noWrap w:val="0"/>
            <w:vAlign w:val="top"/>
          </w:tcPr>
          <w:p>
            <w:pPr>
              <w:pStyle w:val="473"/>
              <w:rPr>
                <w:color w:val="000000"/>
              </w:rPr>
            </w:pPr>
          </w:p>
          <w:p>
            <w:pPr>
              <w:pStyle w:val="473"/>
              <w:rPr>
                <w:color w:val="000000"/>
              </w:rPr>
            </w:pPr>
          </w:p>
        </w:tc>
      </w:tr>
    </w:tbl>
    <w:p>
      <w:pPr>
        <w:spacing w:line="360" w:lineRule="auto"/>
        <w:ind w:firstLine="420" w:firstLineChars="200"/>
        <w:rPr>
          <w:rFonts w:hint="eastAsia" w:ascii="宋体" w:hAnsi="宋体" w:cs="方正小标宋_GBK"/>
          <w:color w:val="000000"/>
          <w:szCs w:val="21"/>
        </w:rPr>
      </w:pPr>
    </w:p>
    <w:p>
      <w:pPr>
        <w:spacing w:line="360" w:lineRule="auto"/>
        <w:ind w:firstLine="420" w:firstLineChars="200"/>
        <w:rPr>
          <w:rFonts w:hint="eastAsia" w:ascii="宋体" w:hAnsi="宋体" w:cs="方正小标宋_GBK"/>
          <w:color w:val="000000"/>
          <w:szCs w:val="21"/>
        </w:rPr>
      </w:pPr>
    </w:p>
    <w:p>
      <w:pPr>
        <w:spacing w:line="360" w:lineRule="auto"/>
        <w:ind w:firstLine="420" w:firstLineChars="200"/>
        <w:rPr>
          <w:rFonts w:hint="eastAsia" w:ascii="宋体" w:hAnsi="宋体"/>
          <w:color w:val="000000"/>
          <w:szCs w:val="21"/>
        </w:rPr>
      </w:pPr>
      <w:r>
        <w:rPr>
          <w:rFonts w:hint="eastAsia" w:ascii="宋体" w:hAnsi="宋体" w:cs="方正小标宋_GBK"/>
          <w:color w:val="000000"/>
          <w:szCs w:val="21"/>
        </w:rPr>
        <w:t>表4 工程总承包项目费用</w:t>
      </w:r>
      <w:r>
        <w:rPr>
          <w:rFonts w:hint="eastAsia" w:ascii="宋体" w:hAnsi="宋体"/>
          <w:color w:val="000000"/>
          <w:szCs w:val="21"/>
        </w:rPr>
        <w:t>汇总表</w:t>
      </w:r>
    </w:p>
    <w:p>
      <w:pPr>
        <w:spacing w:line="360" w:lineRule="auto"/>
        <w:jc w:val="center"/>
        <w:rPr>
          <w:rFonts w:ascii="宋体" w:hAnsi="宋体"/>
          <w:b/>
          <w:color w:val="000000"/>
          <w:sz w:val="36"/>
          <w:szCs w:val="36"/>
        </w:rPr>
      </w:pPr>
      <w:r>
        <w:rPr>
          <w:rFonts w:hint="eastAsia" w:ascii="宋体" w:hAnsi="宋体" w:cs="方正小标宋_GBK"/>
          <w:b/>
          <w:color w:val="000000"/>
          <w:sz w:val="36"/>
          <w:szCs w:val="36"/>
        </w:rPr>
        <w:t>工程总承包项目</w:t>
      </w:r>
      <w:r>
        <w:rPr>
          <w:rFonts w:hint="eastAsia" w:ascii="宋体" w:hAnsi="宋体"/>
          <w:b/>
          <w:color w:val="000000"/>
          <w:sz w:val="36"/>
          <w:szCs w:val="36"/>
        </w:rPr>
        <w:t>费用汇总表</w:t>
      </w:r>
    </w:p>
    <w:p>
      <w:pPr>
        <w:spacing w:line="360" w:lineRule="auto"/>
        <w:jc w:val="left"/>
        <w:rPr>
          <w:rFonts w:ascii="宋体" w:hAnsi="宋体"/>
          <w:color w:val="000000"/>
          <w:szCs w:val="21"/>
        </w:rPr>
      </w:pPr>
    </w:p>
    <w:p>
      <w:pPr>
        <w:pStyle w:val="473"/>
        <w:ind w:left="0" w:firstLine="240" w:firstLineChars="100"/>
        <w:rPr>
          <w:color w:val="000000"/>
        </w:rPr>
      </w:pPr>
      <w:r>
        <w:rPr>
          <w:color w:val="000000"/>
        </w:rPr>
        <w:t>工程名称：                                            第  页 共  页</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87"/>
        <w:gridCol w:w="2551"/>
        <w:gridCol w:w="2126"/>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87" w:type="dxa"/>
            <w:noWrap w:val="0"/>
            <w:tcMar>
              <w:top w:w="0" w:type="dxa"/>
              <w:left w:w="108" w:type="dxa"/>
              <w:bottom w:w="0" w:type="dxa"/>
              <w:right w:w="108" w:type="dxa"/>
            </w:tcMar>
            <w:vAlign w:val="center"/>
          </w:tcPr>
          <w:p>
            <w:pPr>
              <w:spacing w:line="400" w:lineRule="exact"/>
              <w:jc w:val="center"/>
              <w:rPr>
                <w:rFonts w:ascii="宋体" w:hAnsi="宋体"/>
                <w:color w:val="000000"/>
                <w:szCs w:val="21"/>
              </w:rPr>
            </w:pPr>
            <w:r>
              <w:rPr>
                <w:rFonts w:hint="eastAsia" w:ascii="宋体" w:hAnsi="宋体"/>
                <w:color w:val="000000"/>
                <w:szCs w:val="21"/>
              </w:rPr>
              <w:t>序号</w:t>
            </w:r>
          </w:p>
        </w:tc>
        <w:tc>
          <w:tcPr>
            <w:tcW w:w="2551" w:type="dxa"/>
            <w:noWrap w:val="0"/>
            <w:tcMar>
              <w:top w:w="0" w:type="dxa"/>
              <w:left w:w="108" w:type="dxa"/>
              <w:bottom w:w="0" w:type="dxa"/>
              <w:right w:w="108" w:type="dxa"/>
            </w:tcMar>
            <w:vAlign w:val="center"/>
          </w:tcPr>
          <w:p>
            <w:pPr>
              <w:spacing w:line="400" w:lineRule="exact"/>
              <w:jc w:val="center"/>
              <w:rPr>
                <w:rFonts w:ascii="宋体" w:hAnsi="宋体"/>
                <w:color w:val="000000"/>
                <w:szCs w:val="21"/>
              </w:rPr>
            </w:pPr>
            <w:r>
              <w:rPr>
                <w:rFonts w:hint="eastAsia" w:ascii="宋体" w:hAnsi="宋体"/>
                <w:color w:val="000000"/>
                <w:szCs w:val="21"/>
              </w:rPr>
              <w:t>项目名称</w:t>
            </w:r>
          </w:p>
        </w:tc>
        <w:tc>
          <w:tcPr>
            <w:tcW w:w="2126" w:type="dxa"/>
            <w:noWrap w:val="0"/>
            <w:tcMar>
              <w:top w:w="0" w:type="dxa"/>
              <w:left w:w="108" w:type="dxa"/>
              <w:bottom w:w="0" w:type="dxa"/>
              <w:right w:w="108" w:type="dxa"/>
            </w:tcMar>
            <w:vAlign w:val="center"/>
          </w:tcPr>
          <w:p>
            <w:pPr>
              <w:spacing w:line="400" w:lineRule="exact"/>
              <w:jc w:val="center"/>
              <w:rPr>
                <w:rFonts w:ascii="宋体" w:hAnsi="宋体"/>
                <w:color w:val="000000"/>
                <w:szCs w:val="21"/>
              </w:rPr>
            </w:pPr>
            <w:r>
              <w:rPr>
                <w:rFonts w:hint="eastAsia" w:ascii="宋体" w:hAnsi="宋体"/>
                <w:color w:val="000000"/>
                <w:szCs w:val="21"/>
              </w:rPr>
              <w:t>金额（元）</w:t>
            </w:r>
          </w:p>
        </w:tc>
        <w:tc>
          <w:tcPr>
            <w:tcW w:w="2529" w:type="dxa"/>
            <w:noWrap w:val="0"/>
            <w:tcMar>
              <w:top w:w="0" w:type="dxa"/>
              <w:left w:w="108" w:type="dxa"/>
              <w:bottom w:w="0" w:type="dxa"/>
              <w:right w:w="108" w:type="dxa"/>
            </w:tcMar>
            <w:vAlign w:val="center"/>
          </w:tcPr>
          <w:p>
            <w:pPr>
              <w:spacing w:line="400" w:lineRule="exact"/>
              <w:jc w:val="center"/>
              <w:rPr>
                <w:rFonts w:ascii="宋体" w:hAnsi="宋体"/>
                <w:color w:val="000000"/>
                <w:szCs w:val="21"/>
              </w:rPr>
            </w:pPr>
            <w:r>
              <w:rPr>
                <w:rFonts w:hint="eastAsia" w:ascii="宋体" w:hAnsi="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87" w:type="dxa"/>
            <w:noWrap w:val="0"/>
            <w:tcMar>
              <w:top w:w="0" w:type="dxa"/>
              <w:left w:w="108" w:type="dxa"/>
              <w:bottom w:w="0" w:type="dxa"/>
              <w:right w:w="108" w:type="dxa"/>
            </w:tcMar>
            <w:vAlign w:val="center"/>
          </w:tcPr>
          <w:p>
            <w:pPr>
              <w:spacing w:line="400" w:lineRule="exact"/>
              <w:jc w:val="center"/>
              <w:rPr>
                <w:rFonts w:ascii="宋体" w:hAnsi="宋体"/>
                <w:color w:val="000000"/>
                <w:szCs w:val="21"/>
              </w:rPr>
            </w:pPr>
            <w:r>
              <w:rPr>
                <w:rFonts w:ascii="宋体" w:hAnsi="宋体"/>
                <w:color w:val="000000"/>
                <w:szCs w:val="21"/>
              </w:rPr>
              <w:t>1</w:t>
            </w:r>
          </w:p>
        </w:tc>
        <w:tc>
          <w:tcPr>
            <w:tcW w:w="2551" w:type="dxa"/>
            <w:noWrap w:val="0"/>
            <w:tcMar>
              <w:top w:w="0" w:type="dxa"/>
              <w:left w:w="108" w:type="dxa"/>
              <w:bottom w:w="0" w:type="dxa"/>
              <w:right w:w="108" w:type="dxa"/>
            </w:tcMar>
            <w:vAlign w:val="center"/>
          </w:tcPr>
          <w:p>
            <w:pPr>
              <w:spacing w:line="400" w:lineRule="exact"/>
              <w:jc w:val="center"/>
              <w:rPr>
                <w:rFonts w:ascii="宋体" w:hAnsi="宋体"/>
                <w:color w:val="000000"/>
                <w:szCs w:val="21"/>
              </w:rPr>
            </w:pPr>
            <w:r>
              <w:rPr>
                <w:rFonts w:hint="eastAsia" w:ascii="宋体" w:hAnsi="宋体"/>
                <w:color w:val="000000"/>
                <w:szCs w:val="21"/>
              </w:rPr>
              <w:t>设计费</w:t>
            </w:r>
          </w:p>
        </w:tc>
        <w:tc>
          <w:tcPr>
            <w:tcW w:w="2126" w:type="dxa"/>
            <w:noWrap w:val="0"/>
            <w:tcMar>
              <w:top w:w="0" w:type="dxa"/>
              <w:left w:w="108" w:type="dxa"/>
              <w:bottom w:w="0" w:type="dxa"/>
              <w:right w:w="108" w:type="dxa"/>
            </w:tcMar>
            <w:vAlign w:val="center"/>
          </w:tcPr>
          <w:p>
            <w:pPr>
              <w:spacing w:line="400" w:lineRule="exact"/>
              <w:rPr>
                <w:rFonts w:ascii="宋体" w:hAnsi="宋体"/>
                <w:color w:val="000000"/>
                <w:szCs w:val="21"/>
              </w:rPr>
            </w:pPr>
          </w:p>
        </w:tc>
        <w:tc>
          <w:tcPr>
            <w:tcW w:w="2529" w:type="dxa"/>
            <w:noWrap w:val="0"/>
            <w:tcMar>
              <w:top w:w="0" w:type="dxa"/>
              <w:left w:w="108" w:type="dxa"/>
              <w:bottom w:w="0" w:type="dxa"/>
              <w:right w:w="108" w:type="dxa"/>
            </w:tcMar>
            <w:vAlign w:val="center"/>
          </w:tcPr>
          <w:p>
            <w:pPr>
              <w:spacing w:line="400" w:lineRule="exact"/>
              <w:ind w:right="839"/>
              <w:rPr>
                <w:rFonts w:ascii="宋体" w:hAnsi="宋体"/>
                <w:color w:val="000000"/>
                <w:szCs w:val="21"/>
              </w:rPr>
            </w:pPr>
            <w:r>
              <w:rPr>
                <w:rFonts w:hint="eastAsia" w:ascii="宋体" w:hAnsi="宋体"/>
                <w:color w:val="000000"/>
                <w:szCs w:val="21"/>
              </w:rPr>
              <w:t>如要求提供</w:t>
            </w:r>
            <w:r>
              <w:rPr>
                <w:rFonts w:ascii="宋体" w:hAnsi="宋体"/>
                <w:color w:val="000000"/>
                <w:szCs w:val="21"/>
              </w:rPr>
              <w:t>BIM</w:t>
            </w:r>
            <w:r>
              <w:rPr>
                <w:rFonts w:hint="eastAsia" w:ascii="宋体" w:hAnsi="宋体"/>
                <w:color w:val="000000"/>
                <w:szCs w:val="21"/>
              </w:rPr>
              <w:t>模型，包含</w:t>
            </w:r>
            <w:r>
              <w:rPr>
                <w:rFonts w:ascii="宋体" w:hAnsi="宋体"/>
                <w:color w:val="000000"/>
                <w:szCs w:val="21"/>
              </w:rPr>
              <w:t>BIM</w:t>
            </w:r>
            <w:r>
              <w:rPr>
                <w:rFonts w:hint="eastAsia" w:ascii="宋体" w:hAnsi="宋体"/>
                <w:color w:val="000000"/>
                <w:szCs w:val="21"/>
              </w:rPr>
              <w:t>建模费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87" w:type="dxa"/>
            <w:noWrap w:val="0"/>
            <w:tcMar>
              <w:top w:w="0" w:type="dxa"/>
              <w:left w:w="108" w:type="dxa"/>
              <w:bottom w:w="0" w:type="dxa"/>
              <w:right w:w="108" w:type="dxa"/>
            </w:tcMar>
            <w:vAlign w:val="center"/>
          </w:tcPr>
          <w:p>
            <w:pPr>
              <w:spacing w:line="400" w:lineRule="exact"/>
              <w:jc w:val="center"/>
              <w:rPr>
                <w:rFonts w:ascii="宋体" w:hAnsi="宋体"/>
                <w:color w:val="000000"/>
                <w:szCs w:val="21"/>
              </w:rPr>
            </w:pPr>
            <w:r>
              <w:rPr>
                <w:rFonts w:ascii="宋体" w:hAnsi="宋体"/>
                <w:color w:val="000000"/>
                <w:szCs w:val="21"/>
              </w:rPr>
              <w:t>2</w:t>
            </w:r>
          </w:p>
        </w:tc>
        <w:tc>
          <w:tcPr>
            <w:tcW w:w="2551" w:type="dxa"/>
            <w:noWrap w:val="0"/>
            <w:tcMar>
              <w:top w:w="0" w:type="dxa"/>
              <w:left w:w="108" w:type="dxa"/>
              <w:bottom w:w="0" w:type="dxa"/>
              <w:right w:w="108" w:type="dxa"/>
            </w:tcMar>
            <w:vAlign w:val="center"/>
          </w:tcPr>
          <w:p>
            <w:pPr>
              <w:spacing w:line="400" w:lineRule="exact"/>
              <w:jc w:val="center"/>
              <w:rPr>
                <w:rFonts w:ascii="宋体" w:hAnsi="宋体"/>
                <w:color w:val="000000"/>
                <w:szCs w:val="21"/>
              </w:rPr>
            </w:pPr>
            <w:r>
              <w:rPr>
                <w:rFonts w:hint="eastAsia" w:ascii="宋体" w:hAnsi="宋体"/>
                <w:color w:val="000000"/>
                <w:szCs w:val="21"/>
              </w:rPr>
              <w:t>建筑安装工程费</w:t>
            </w:r>
          </w:p>
        </w:tc>
        <w:tc>
          <w:tcPr>
            <w:tcW w:w="2126" w:type="dxa"/>
            <w:noWrap w:val="0"/>
            <w:tcMar>
              <w:top w:w="0" w:type="dxa"/>
              <w:left w:w="108" w:type="dxa"/>
              <w:bottom w:w="0" w:type="dxa"/>
              <w:right w:w="108" w:type="dxa"/>
            </w:tcMar>
            <w:vAlign w:val="center"/>
          </w:tcPr>
          <w:p>
            <w:pPr>
              <w:widowControl/>
              <w:spacing w:line="400" w:lineRule="exact"/>
              <w:ind w:right="525"/>
              <w:jc w:val="right"/>
              <w:rPr>
                <w:rFonts w:ascii="宋体" w:hAnsi="宋体"/>
                <w:color w:val="000000"/>
                <w:szCs w:val="21"/>
              </w:rPr>
            </w:pPr>
            <w:r>
              <w:rPr>
                <w:rFonts w:hint="eastAsia" w:ascii="宋体" w:hAnsi="宋体"/>
                <w:color w:val="000000"/>
                <w:szCs w:val="21"/>
              </w:rPr>
              <w:t>2.1+2.2+</w:t>
            </w:r>
            <w:r>
              <w:rPr>
                <w:rFonts w:ascii="宋体" w:hAnsi="宋体"/>
                <w:color w:val="000000"/>
                <w:szCs w:val="21"/>
              </w:rPr>
              <w:t>……</w:t>
            </w:r>
          </w:p>
        </w:tc>
        <w:tc>
          <w:tcPr>
            <w:tcW w:w="2529" w:type="dxa"/>
            <w:noWrap w:val="0"/>
            <w:tcMar>
              <w:top w:w="0" w:type="dxa"/>
              <w:left w:w="108" w:type="dxa"/>
              <w:bottom w:w="0" w:type="dxa"/>
              <w:right w:w="108" w:type="dxa"/>
            </w:tcMar>
            <w:vAlign w:val="center"/>
          </w:tcPr>
          <w:p>
            <w:pPr>
              <w:spacing w:line="400" w:lineRule="exac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87" w:type="dxa"/>
            <w:noWrap w:val="0"/>
            <w:tcMar>
              <w:top w:w="0" w:type="dxa"/>
              <w:left w:w="108" w:type="dxa"/>
              <w:bottom w:w="0" w:type="dxa"/>
              <w:right w:w="108" w:type="dxa"/>
            </w:tcMar>
            <w:vAlign w:val="center"/>
          </w:tcPr>
          <w:p>
            <w:pPr>
              <w:spacing w:line="400" w:lineRule="exact"/>
              <w:jc w:val="center"/>
              <w:rPr>
                <w:rFonts w:ascii="宋体" w:hAnsi="宋体"/>
                <w:color w:val="000000"/>
                <w:szCs w:val="21"/>
              </w:rPr>
            </w:pPr>
            <w:r>
              <w:rPr>
                <w:rFonts w:ascii="宋体" w:hAnsi="宋体"/>
                <w:color w:val="000000"/>
                <w:szCs w:val="21"/>
              </w:rPr>
              <w:t>2.1</w:t>
            </w:r>
          </w:p>
        </w:tc>
        <w:tc>
          <w:tcPr>
            <w:tcW w:w="2551" w:type="dxa"/>
            <w:noWrap w:val="0"/>
            <w:tcMar>
              <w:top w:w="0" w:type="dxa"/>
              <w:left w:w="108" w:type="dxa"/>
              <w:bottom w:w="0" w:type="dxa"/>
              <w:right w:w="108" w:type="dxa"/>
            </w:tcMar>
            <w:vAlign w:val="center"/>
          </w:tcPr>
          <w:p>
            <w:pPr>
              <w:spacing w:line="400" w:lineRule="exact"/>
              <w:jc w:val="center"/>
              <w:rPr>
                <w:rFonts w:ascii="宋体" w:hAnsi="宋体"/>
                <w:color w:val="000000"/>
                <w:szCs w:val="21"/>
              </w:rPr>
            </w:pPr>
            <w:r>
              <w:rPr>
                <w:rFonts w:hint="eastAsia" w:ascii="宋体" w:hAnsi="宋体"/>
                <w:color w:val="000000"/>
                <w:szCs w:val="21"/>
              </w:rPr>
              <w:t>单项工程</w:t>
            </w:r>
            <w:r>
              <w:rPr>
                <w:rFonts w:ascii="宋体" w:hAnsi="宋体"/>
                <w:color w:val="000000"/>
                <w:szCs w:val="21"/>
              </w:rPr>
              <w:t>1</w:t>
            </w:r>
          </w:p>
        </w:tc>
        <w:tc>
          <w:tcPr>
            <w:tcW w:w="2126" w:type="dxa"/>
            <w:noWrap w:val="0"/>
            <w:tcMar>
              <w:top w:w="0" w:type="dxa"/>
              <w:left w:w="108" w:type="dxa"/>
              <w:bottom w:w="0" w:type="dxa"/>
              <w:right w:w="108" w:type="dxa"/>
            </w:tcMar>
            <w:vAlign w:val="center"/>
          </w:tcPr>
          <w:p>
            <w:pPr>
              <w:widowControl/>
              <w:spacing w:line="400" w:lineRule="exact"/>
              <w:jc w:val="right"/>
              <w:rPr>
                <w:rFonts w:ascii="宋体" w:hAnsi="宋体"/>
                <w:color w:val="000000"/>
                <w:szCs w:val="21"/>
              </w:rPr>
            </w:pPr>
            <w:r>
              <w:rPr>
                <w:rFonts w:hint="eastAsia" w:ascii="宋体" w:hAnsi="宋体"/>
                <w:color w:val="000000"/>
                <w:szCs w:val="21"/>
              </w:rPr>
              <w:t>2.1.1+2.1.2+2.1.3</w:t>
            </w:r>
          </w:p>
        </w:tc>
        <w:tc>
          <w:tcPr>
            <w:tcW w:w="2529" w:type="dxa"/>
            <w:noWrap w:val="0"/>
            <w:tcMar>
              <w:top w:w="0" w:type="dxa"/>
              <w:left w:w="108" w:type="dxa"/>
              <w:bottom w:w="0" w:type="dxa"/>
              <w:right w:w="108" w:type="dxa"/>
            </w:tcMar>
            <w:vAlign w:val="center"/>
          </w:tcPr>
          <w:p>
            <w:pPr>
              <w:widowControl/>
              <w:spacing w:line="400" w:lineRule="exact"/>
              <w:jc w:val="left"/>
              <w:rPr>
                <w:rFonts w:ascii="宋体" w:hAnsi="宋体" w:cs="黑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87" w:type="dxa"/>
            <w:noWrap w:val="0"/>
            <w:tcMar>
              <w:top w:w="0" w:type="dxa"/>
              <w:left w:w="108" w:type="dxa"/>
              <w:bottom w:w="0" w:type="dxa"/>
              <w:right w:w="108" w:type="dxa"/>
            </w:tcMar>
            <w:vAlign w:val="center"/>
          </w:tcPr>
          <w:p>
            <w:pPr>
              <w:spacing w:line="400" w:lineRule="exact"/>
              <w:jc w:val="center"/>
              <w:rPr>
                <w:rFonts w:ascii="宋体" w:hAnsi="宋体"/>
                <w:color w:val="000000"/>
                <w:szCs w:val="21"/>
              </w:rPr>
            </w:pPr>
            <w:r>
              <w:rPr>
                <w:rFonts w:ascii="宋体" w:hAnsi="宋体"/>
                <w:color w:val="000000"/>
                <w:szCs w:val="21"/>
              </w:rPr>
              <w:t>2.1.1</w:t>
            </w:r>
          </w:p>
        </w:tc>
        <w:tc>
          <w:tcPr>
            <w:tcW w:w="2551" w:type="dxa"/>
            <w:noWrap w:val="0"/>
            <w:tcMar>
              <w:top w:w="0" w:type="dxa"/>
              <w:left w:w="108" w:type="dxa"/>
              <w:bottom w:w="0" w:type="dxa"/>
              <w:right w:w="108" w:type="dxa"/>
            </w:tcMar>
            <w:vAlign w:val="center"/>
          </w:tcPr>
          <w:p>
            <w:pPr>
              <w:spacing w:line="400" w:lineRule="exact"/>
              <w:jc w:val="center"/>
              <w:rPr>
                <w:rFonts w:ascii="宋体" w:hAnsi="宋体"/>
                <w:color w:val="000000"/>
                <w:szCs w:val="21"/>
              </w:rPr>
            </w:pPr>
            <w:r>
              <w:rPr>
                <w:rFonts w:hint="eastAsia" w:ascii="宋体" w:hAnsi="宋体"/>
                <w:color w:val="000000"/>
                <w:szCs w:val="21"/>
              </w:rPr>
              <w:t>固定总价</w:t>
            </w:r>
          </w:p>
        </w:tc>
        <w:tc>
          <w:tcPr>
            <w:tcW w:w="2126" w:type="dxa"/>
            <w:noWrap w:val="0"/>
            <w:tcMar>
              <w:top w:w="0" w:type="dxa"/>
              <w:left w:w="108" w:type="dxa"/>
              <w:bottom w:w="0" w:type="dxa"/>
              <w:right w:w="108" w:type="dxa"/>
            </w:tcMar>
            <w:vAlign w:val="center"/>
          </w:tcPr>
          <w:p>
            <w:pPr>
              <w:widowControl/>
              <w:spacing w:line="400" w:lineRule="exact"/>
              <w:jc w:val="right"/>
              <w:rPr>
                <w:rFonts w:ascii="宋体" w:hAnsi="宋体"/>
                <w:color w:val="000000"/>
                <w:szCs w:val="21"/>
              </w:rPr>
            </w:pPr>
          </w:p>
        </w:tc>
        <w:tc>
          <w:tcPr>
            <w:tcW w:w="2529" w:type="dxa"/>
            <w:noWrap w:val="0"/>
            <w:tcMar>
              <w:top w:w="0" w:type="dxa"/>
              <w:left w:w="108" w:type="dxa"/>
              <w:bottom w:w="0" w:type="dxa"/>
              <w:right w:w="108" w:type="dxa"/>
            </w:tcMar>
            <w:vAlign w:val="center"/>
          </w:tcPr>
          <w:p>
            <w:pPr>
              <w:widowControl/>
              <w:spacing w:line="400" w:lineRule="exact"/>
              <w:jc w:val="left"/>
              <w:rPr>
                <w:rFonts w:ascii="宋体" w:hAnsi="宋体" w:cs="黑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87" w:type="dxa"/>
            <w:noWrap w:val="0"/>
            <w:tcMar>
              <w:top w:w="0" w:type="dxa"/>
              <w:left w:w="108" w:type="dxa"/>
              <w:bottom w:w="0" w:type="dxa"/>
              <w:right w:w="108" w:type="dxa"/>
            </w:tcMar>
            <w:vAlign w:val="center"/>
          </w:tcPr>
          <w:p>
            <w:pPr>
              <w:widowControl/>
              <w:spacing w:line="400" w:lineRule="exact"/>
              <w:jc w:val="center"/>
              <w:rPr>
                <w:rFonts w:ascii="宋体" w:hAnsi="宋体"/>
                <w:bCs/>
                <w:color w:val="000000"/>
                <w:szCs w:val="21"/>
              </w:rPr>
            </w:pPr>
          </w:p>
        </w:tc>
        <w:tc>
          <w:tcPr>
            <w:tcW w:w="2551" w:type="dxa"/>
            <w:noWrap w:val="0"/>
            <w:tcMar>
              <w:top w:w="0" w:type="dxa"/>
              <w:left w:w="108" w:type="dxa"/>
              <w:bottom w:w="0" w:type="dxa"/>
              <w:right w:w="108" w:type="dxa"/>
            </w:tcMar>
            <w:vAlign w:val="center"/>
          </w:tcPr>
          <w:p>
            <w:pPr>
              <w:spacing w:line="400" w:lineRule="exact"/>
              <w:jc w:val="center"/>
              <w:rPr>
                <w:rFonts w:ascii="宋体" w:hAnsi="宋体"/>
                <w:color w:val="000000"/>
                <w:szCs w:val="21"/>
              </w:rPr>
            </w:pPr>
            <w:r>
              <w:rPr>
                <w:rFonts w:hint="eastAsia" w:ascii="宋体" w:hAnsi="宋体"/>
                <w:color w:val="000000"/>
                <w:szCs w:val="21"/>
              </w:rPr>
              <w:t>其中：安全文明施工费</w:t>
            </w:r>
          </w:p>
        </w:tc>
        <w:tc>
          <w:tcPr>
            <w:tcW w:w="2126" w:type="dxa"/>
            <w:noWrap w:val="0"/>
            <w:tcMar>
              <w:top w:w="0" w:type="dxa"/>
              <w:left w:w="108" w:type="dxa"/>
              <w:bottom w:w="0" w:type="dxa"/>
              <w:right w:w="108" w:type="dxa"/>
            </w:tcMar>
            <w:vAlign w:val="center"/>
          </w:tcPr>
          <w:p>
            <w:pPr>
              <w:widowControl/>
              <w:spacing w:line="400" w:lineRule="exact"/>
              <w:jc w:val="center"/>
              <w:rPr>
                <w:rFonts w:ascii="宋体" w:hAnsi="宋体"/>
                <w:bCs/>
                <w:color w:val="000000"/>
                <w:szCs w:val="21"/>
              </w:rPr>
            </w:pPr>
          </w:p>
        </w:tc>
        <w:tc>
          <w:tcPr>
            <w:tcW w:w="2529" w:type="dxa"/>
            <w:noWrap w:val="0"/>
            <w:tcMar>
              <w:top w:w="0" w:type="dxa"/>
              <w:left w:w="108" w:type="dxa"/>
              <w:bottom w:w="0" w:type="dxa"/>
              <w:right w:w="108" w:type="dxa"/>
            </w:tcMar>
            <w:vAlign w:val="center"/>
          </w:tcPr>
          <w:p>
            <w:pPr>
              <w:spacing w:line="4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87" w:type="dxa"/>
            <w:noWrap w:val="0"/>
            <w:tcMar>
              <w:top w:w="0" w:type="dxa"/>
              <w:left w:w="108" w:type="dxa"/>
              <w:bottom w:w="0" w:type="dxa"/>
              <w:right w:w="108" w:type="dxa"/>
            </w:tcMar>
            <w:vAlign w:val="center"/>
          </w:tcPr>
          <w:p>
            <w:pPr>
              <w:spacing w:line="400" w:lineRule="exact"/>
              <w:jc w:val="center"/>
              <w:rPr>
                <w:rFonts w:ascii="宋体" w:hAnsi="宋体"/>
                <w:color w:val="000000"/>
                <w:szCs w:val="21"/>
              </w:rPr>
            </w:pPr>
            <w:r>
              <w:rPr>
                <w:rFonts w:ascii="宋体" w:hAnsi="宋体"/>
                <w:color w:val="000000"/>
                <w:szCs w:val="21"/>
              </w:rPr>
              <w:t>2.1.2</w:t>
            </w:r>
          </w:p>
        </w:tc>
        <w:tc>
          <w:tcPr>
            <w:tcW w:w="2551" w:type="dxa"/>
            <w:noWrap w:val="0"/>
            <w:tcMar>
              <w:top w:w="0" w:type="dxa"/>
              <w:left w:w="108" w:type="dxa"/>
              <w:bottom w:w="0" w:type="dxa"/>
              <w:right w:w="108" w:type="dxa"/>
            </w:tcMar>
            <w:vAlign w:val="center"/>
          </w:tcPr>
          <w:p>
            <w:pPr>
              <w:spacing w:line="400" w:lineRule="exact"/>
              <w:jc w:val="center"/>
              <w:rPr>
                <w:rFonts w:ascii="宋体" w:hAnsi="宋体"/>
                <w:color w:val="000000"/>
                <w:szCs w:val="21"/>
              </w:rPr>
            </w:pPr>
            <w:r>
              <w:rPr>
                <w:rFonts w:hint="eastAsia" w:ascii="宋体" w:hAnsi="宋体"/>
                <w:color w:val="000000"/>
                <w:szCs w:val="21"/>
              </w:rPr>
              <w:t>暂估价</w:t>
            </w:r>
          </w:p>
        </w:tc>
        <w:tc>
          <w:tcPr>
            <w:tcW w:w="2126" w:type="dxa"/>
            <w:noWrap w:val="0"/>
            <w:tcMar>
              <w:top w:w="0" w:type="dxa"/>
              <w:left w:w="108" w:type="dxa"/>
              <w:bottom w:w="0" w:type="dxa"/>
              <w:right w:w="108" w:type="dxa"/>
            </w:tcMar>
            <w:vAlign w:val="center"/>
          </w:tcPr>
          <w:p>
            <w:pPr>
              <w:widowControl/>
              <w:spacing w:line="400" w:lineRule="exact"/>
              <w:jc w:val="right"/>
              <w:rPr>
                <w:rFonts w:ascii="宋体" w:hAnsi="宋体"/>
                <w:color w:val="000000"/>
                <w:szCs w:val="21"/>
              </w:rPr>
            </w:pPr>
          </w:p>
        </w:tc>
        <w:tc>
          <w:tcPr>
            <w:tcW w:w="2529" w:type="dxa"/>
            <w:noWrap w:val="0"/>
            <w:tcMar>
              <w:top w:w="0" w:type="dxa"/>
              <w:left w:w="108" w:type="dxa"/>
              <w:bottom w:w="0" w:type="dxa"/>
              <w:right w:w="108" w:type="dxa"/>
            </w:tcMar>
            <w:vAlign w:val="center"/>
          </w:tcPr>
          <w:p>
            <w:pPr>
              <w:widowControl/>
              <w:spacing w:line="400" w:lineRule="exact"/>
              <w:jc w:val="left"/>
              <w:rPr>
                <w:rFonts w:ascii="宋体" w:hAnsi="宋体" w:cs="黑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87" w:type="dxa"/>
            <w:noWrap w:val="0"/>
            <w:tcMar>
              <w:top w:w="0" w:type="dxa"/>
              <w:left w:w="108" w:type="dxa"/>
              <w:bottom w:w="0" w:type="dxa"/>
              <w:right w:w="108" w:type="dxa"/>
            </w:tcMar>
            <w:vAlign w:val="center"/>
          </w:tcPr>
          <w:p>
            <w:pPr>
              <w:widowControl/>
              <w:spacing w:line="400" w:lineRule="exact"/>
              <w:jc w:val="center"/>
              <w:rPr>
                <w:rFonts w:ascii="宋体" w:hAnsi="宋体"/>
                <w:bCs/>
                <w:color w:val="000000"/>
                <w:szCs w:val="21"/>
              </w:rPr>
            </w:pPr>
            <w:r>
              <w:rPr>
                <w:rFonts w:hint="eastAsia" w:ascii="宋体" w:hAnsi="宋体"/>
                <w:color w:val="000000"/>
                <w:szCs w:val="21"/>
              </w:rPr>
              <w:t>2.1.3</w:t>
            </w:r>
          </w:p>
        </w:tc>
        <w:tc>
          <w:tcPr>
            <w:tcW w:w="2551" w:type="dxa"/>
            <w:noWrap w:val="0"/>
            <w:tcMar>
              <w:top w:w="0" w:type="dxa"/>
              <w:left w:w="108" w:type="dxa"/>
              <w:bottom w:w="0" w:type="dxa"/>
              <w:right w:w="108" w:type="dxa"/>
            </w:tcMar>
            <w:vAlign w:val="center"/>
          </w:tcPr>
          <w:p>
            <w:pPr>
              <w:spacing w:line="400" w:lineRule="exact"/>
              <w:jc w:val="center"/>
              <w:rPr>
                <w:rFonts w:ascii="宋体" w:hAnsi="宋体"/>
                <w:color w:val="000000"/>
                <w:szCs w:val="21"/>
              </w:rPr>
            </w:pPr>
            <w:r>
              <w:rPr>
                <w:rFonts w:hint="eastAsia" w:ascii="宋体" w:hAnsi="宋体"/>
                <w:color w:val="000000"/>
                <w:szCs w:val="21"/>
              </w:rPr>
              <w:t>暂列金额</w:t>
            </w:r>
          </w:p>
        </w:tc>
        <w:tc>
          <w:tcPr>
            <w:tcW w:w="2126" w:type="dxa"/>
            <w:noWrap w:val="0"/>
            <w:tcMar>
              <w:top w:w="0" w:type="dxa"/>
              <w:left w:w="108" w:type="dxa"/>
              <w:bottom w:w="0" w:type="dxa"/>
              <w:right w:w="108" w:type="dxa"/>
            </w:tcMar>
            <w:vAlign w:val="center"/>
          </w:tcPr>
          <w:p>
            <w:pPr>
              <w:widowControl/>
              <w:spacing w:line="400" w:lineRule="exact"/>
              <w:jc w:val="right"/>
              <w:rPr>
                <w:rFonts w:ascii="宋体" w:hAnsi="宋体"/>
                <w:color w:val="000000"/>
                <w:szCs w:val="21"/>
              </w:rPr>
            </w:pPr>
          </w:p>
        </w:tc>
        <w:tc>
          <w:tcPr>
            <w:tcW w:w="2529" w:type="dxa"/>
            <w:noWrap w:val="0"/>
            <w:tcMar>
              <w:top w:w="0" w:type="dxa"/>
              <w:left w:w="108" w:type="dxa"/>
              <w:bottom w:w="0" w:type="dxa"/>
              <w:right w:w="108" w:type="dxa"/>
            </w:tcMar>
            <w:vAlign w:val="center"/>
          </w:tcPr>
          <w:p>
            <w:pPr>
              <w:widowControl/>
              <w:spacing w:line="400" w:lineRule="exact"/>
              <w:jc w:val="left"/>
              <w:rPr>
                <w:rFonts w:ascii="宋体" w:hAnsi="宋体" w:cs="黑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87" w:type="dxa"/>
            <w:noWrap w:val="0"/>
            <w:tcMar>
              <w:top w:w="0" w:type="dxa"/>
              <w:left w:w="108" w:type="dxa"/>
              <w:bottom w:w="0" w:type="dxa"/>
              <w:right w:w="108" w:type="dxa"/>
            </w:tcMar>
            <w:vAlign w:val="center"/>
          </w:tcPr>
          <w:p>
            <w:pPr>
              <w:widowControl/>
              <w:spacing w:line="400" w:lineRule="exact"/>
              <w:jc w:val="center"/>
              <w:rPr>
                <w:rFonts w:ascii="宋体" w:hAnsi="宋体"/>
                <w:bCs/>
                <w:color w:val="000000"/>
                <w:szCs w:val="21"/>
              </w:rPr>
            </w:pPr>
            <w:r>
              <w:rPr>
                <w:rFonts w:hint="eastAsia" w:ascii="宋体" w:hAnsi="宋体"/>
                <w:bCs/>
                <w:color w:val="000000"/>
                <w:szCs w:val="21"/>
              </w:rPr>
              <w:t>2.2</w:t>
            </w:r>
          </w:p>
        </w:tc>
        <w:tc>
          <w:tcPr>
            <w:tcW w:w="2551" w:type="dxa"/>
            <w:noWrap w:val="0"/>
            <w:tcMar>
              <w:top w:w="0" w:type="dxa"/>
              <w:left w:w="108" w:type="dxa"/>
              <w:bottom w:w="0" w:type="dxa"/>
              <w:right w:w="108" w:type="dxa"/>
            </w:tcMar>
            <w:vAlign w:val="center"/>
          </w:tcPr>
          <w:p>
            <w:pPr>
              <w:spacing w:line="400" w:lineRule="exact"/>
              <w:jc w:val="center"/>
              <w:rPr>
                <w:rFonts w:ascii="宋体" w:hAnsi="宋体"/>
                <w:color w:val="000000"/>
                <w:szCs w:val="21"/>
              </w:rPr>
            </w:pPr>
            <w:r>
              <w:rPr>
                <w:rFonts w:hint="eastAsia" w:ascii="宋体" w:hAnsi="宋体"/>
                <w:color w:val="000000"/>
                <w:szCs w:val="21"/>
              </w:rPr>
              <w:t>单项工程2</w:t>
            </w:r>
          </w:p>
        </w:tc>
        <w:tc>
          <w:tcPr>
            <w:tcW w:w="2126" w:type="dxa"/>
            <w:noWrap w:val="0"/>
            <w:tcMar>
              <w:top w:w="0" w:type="dxa"/>
              <w:left w:w="108" w:type="dxa"/>
              <w:bottom w:w="0" w:type="dxa"/>
              <w:right w:w="108" w:type="dxa"/>
            </w:tcMar>
            <w:vAlign w:val="center"/>
          </w:tcPr>
          <w:p>
            <w:pPr>
              <w:widowControl/>
              <w:spacing w:line="400" w:lineRule="exact"/>
              <w:jc w:val="right"/>
              <w:rPr>
                <w:rFonts w:ascii="宋体" w:hAnsi="宋体"/>
                <w:color w:val="000000"/>
                <w:szCs w:val="21"/>
              </w:rPr>
            </w:pPr>
          </w:p>
        </w:tc>
        <w:tc>
          <w:tcPr>
            <w:tcW w:w="2529" w:type="dxa"/>
            <w:noWrap w:val="0"/>
            <w:tcMar>
              <w:top w:w="0" w:type="dxa"/>
              <w:left w:w="108" w:type="dxa"/>
              <w:bottom w:w="0" w:type="dxa"/>
              <w:right w:w="108" w:type="dxa"/>
            </w:tcMar>
            <w:vAlign w:val="center"/>
          </w:tcPr>
          <w:p>
            <w:pPr>
              <w:widowControl/>
              <w:spacing w:line="400" w:lineRule="exact"/>
              <w:jc w:val="left"/>
              <w:rPr>
                <w:rFonts w:ascii="宋体" w:hAnsi="宋体" w:cs="黑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87" w:type="dxa"/>
            <w:noWrap w:val="0"/>
            <w:tcMar>
              <w:top w:w="0" w:type="dxa"/>
              <w:left w:w="108" w:type="dxa"/>
              <w:bottom w:w="0" w:type="dxa"/>
              <w:right w:w="108" w:type="dxa"/>
            </w:tcMar>
            <w:vAlign w:val="center"/>
          </w:tcPr>
          <w:p>
            <w:pPr>
              <w:spacing w:line="400" w:lineRule="exact"/>
              <w:jc w:val="center"/>
              <w:rPr>
                <w:rFonts w:ascii="宋体" w:hAnsi="宋体"/>
                <w:color w:val="000000"/>
                <w:szCs w:val="21"/>
              </w:rPr>
            </w:pPr>
          </w:p>
        </w:tc>
        <w:tc>
          <w:tcPr>
            <w:tcW w:w="2551" w:type="dxa"/>
            <w:noWrap w:val="0"/>
            <w:tcMar>
              <w:top w:w="0" w:type="dxa"/>
              <w:left w:w="108" w:type="dxa"/>
              <w:bottom w:w="0" w:type="dxa"/>
              <w:right w:w="108" w:type="dxa"/>
            </w:tcMar>
            <w:vAlign w:val="center"/>
          </w:tcPr>
          <w:p>
            <w:pPr>
              <w:spacing w:line="400" w:lineRule="exact"/>
              <w:jc w:val="center"/>
              <w:rPr>
                <w:rFonts w:ascii="宋体" w:hAnsi="宋体"/>
                <w:color w:val="000000"/>
                <w:szCs w:val="21"/>
              </w:rPr>
            </w:pPr>
            <w:r>
              <w:rPr>
                <w:rFonts w:ascii="宋体" w:hAnsi="宋体"/>
                <w:color w:val="000000"/>
                <w:szCs w:val="21"/>
              </w:rPr>
              <w:t>………</w:t>
            </w:r>
          </w:p>
        </w:tc>
        <w:tc>
          <w:tcPr>
            <w:tcW w:w="2126" w:type="dxa"/>
            <w:noWrap w:val="0"/>
            <w:tcMar>
              <w:top w:w="0" w:type="dxa"/>
              <w:left w:w="108" w:type="dxa"/>
              <w:bottom w:w="0" w:type="dxa"/>
              <w:right w:w="108" w:type="dxa"/>
            </w:tcMar>
            <w:vAlign w:val="center"/>
          </w:tcPr>
          <w:p>
            <w:pPr>
              <w:widowControl/>
              <w:spacing w:line="400" w:lineRule="exact"/>
              <w:jc w:val="right"/>
              <w:rPr>
                <w:rFonts w:ascii="宋体" w:hAnsi="宋体"/>
                <w:color w:val="000000"/>
                <w:szCs w:val="21"/>
              </w:rPr>
            </w:pPr>
          </w:p>
        </w:tc>
        <w:tc>
          <w:tcPr>
            <w:tcW w:w="2529" w:type="dxa"/>
            <w:noWrap w:val="0"/>
            <w:tcMar>
              <w:top w:w="0" w:type="dxa"/>
              <w:left w:w="108" w:type="dxa"/>
              <w:bottom w:w="0" w:type="dxa"/>
              <w:right w:w="108" w:type="dxa"/>
            </w:tcMar>
            <w:vAlign w:val="center"/>
          </w:tcPr>
          <w:p>
            <w:pPr>
              <w:widowControl/>
              <w:spacing w:line="400" w:lineRule="exact"/>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87" w:type="dxa"/>
            <w:noWrap w:val="0"/>
            <w:tcMar>
              <w:top w:w="0" w:type="dxa"/>
              <w:left w:w="108" w:type="dxa"/>
              <w:bottom w:w="0" w:type="dxa"/>
              <w:right w:w="108" w:type="dxa"/>
            </w:tcMar>
            <w:vAlign w:val="center"/>
          </w:tcPr>
          <w:p>
            <w:pPr>
              <w:widowControl/>
              <w:spacing w:line="400" w:lineRule="exact"/>
              <w:jc w:val="center"/>
              <w:rPr>
                <w:rFonts w:ascii="宋体" w:hAnsi="宋体"/>
                <w:color w:val="000000"/>
                <w:szCs w:val="21"/>
              </w:rPr>
            </w:pPr>
          </w:p>
        </w:tc>
        <w:tc>
          <w:tcPr>
            <w:tcW w:w="2551" w:type="dxa"/>
            <w:noWrap w:val="0"/>
            <w:tcMar>
              <w:top w:w="0" w:type="dxa"/>
              <w:left w:w="108" w:type="dxa"/>
              <w:bottom w:w="0" w:type="dxa"/>
              <w:right w:w="108" w:type="dxa"/>
            </w:tcMar>
            <w:vAlign w:val="center"/>
          </w:tcPr>
          <w:p>
            <w:pPr>
              <w:widowControl/>
              <w:spacing w:line="400" w:lineRule="exact"/>
              <w:jc w:val="center"/>
              <w:rPr>
                <w:rFonts w:ascii="宋体" w:hAnsi="宋体"/>
                <w:color w:val="000000"/>
                <w:szCs w:val="21"/>
              </w:rPr>
            </w:pPr>
          </w:p>
        </w:tc>
        <w:tc>
          <w:tcPr>
            <w:tcW w:w="2126" w:type="dxa"/>
            <w:noWrap w:val="0"/>
            <w:tcMar>
              <w:top w:w="0" w:type="dxa"/>
              <w:left w:w="108" w:type="dxa"/>
              <w:bottom w:w="0" w:type="dxa"/>
              <w:right w:w="108" w:type="dxa"/>
            </w:tcMar>
            <w:vAlign w:val="center"/>
          </w:tcPr>
          <w:p>
            <w:pPr>
              <w:widowControl/>
              <w:spacing w:line="400" w:lineRule="exact"/>
              <w:jc w:val="center"/>
              <w:rPr>
                <w:rFonts w:ascii="宋体" w:hAnsi="宋体"/>
                <w:color w:val="000000"/>
                <w:szCs w:val="21"/>
              </w:rPr>
            </w:pPr>
          </w:p>
        </w:tc>
        <w:tc>
          <w:tcPr>
            <w:tcW w:w="2529" w:type="dxa"/>
            <w:noWrap w:val="0"/>
            <w:tcMar>
              <w:top w:w="0" w:type="dxa"/>
              <w:left w:w="108" w:type="dxa"/>
              <w:bottom w:w="0" w:type="dxa"/>
              <w:right w:w="108" w:type="dxa"/>
            </w:tcMar>
            <w:vAlign w:val="center"/>
          </w:tcPr>
          <w:p>
            <w:pPr>
              <w:widowControl/>
              <w:spacing w:line="400" w:lineRule="exact"/>
              <w:jc w:val="righ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624" w:hRule="atLeast"/>
          <w:jc w:val="center"/>
        </w:trPr>
        <w:tc>
          <w:tcPr>
            <w:tcW w:w="887" w:type="dxa"/>
            <w:noWrap w:val="0"/>
            <w:tcMar>
              <w:top w:w="0" w:type="dxa"/>
              <w:left w:w="108" w:type="dxa"/>
              <w:bottom w:w="0" w:type="dxa"/>
              <w:right w:w="108" w:type="dxa"/>
            </w:tcMar>
            <w:vAlign w:val="center"/>
          </w:tcPr>
          <w:p>
            <w:pPr>
              <w:widowControl/>
              <w:spacing w:line="400" w:lineRule="exact"/>
              <w:jc w:val="center"/>
              <w:rPr>
                <w:rFonts w:ascii="宋体" w:hAnsi="宋体"/>
                <w:color w:val="000000"/>
                <w:szCs w:val="21"/>
              </w:rPr>
            </w:pPr>
          </w:p>
        </w:tc>
        <w:tc>
          <w:tcPr>
            <w:tcW w:w="2551" w:type="dxa"/>
            <w:noWrap w:val="0"/>
            <w:tcMar>
              <w:top w:w="0" w:type="dxa"/>
              <w:left w:w="108" w:type="dxa"/>
              <w:bottom w:w="0" w:type="dxa"/>
              <w:right w:w="108" w:type="dxa"/>
            </w:tcMar>
            <w:vAlign w:val="center"/>
          </w:tcPr>
          <w:p>
            <w:pPr>
              <w:spacing w:line="400" w:lineRule="exact"/>
              <w:jc w:val="center"/>
              <w:rPr>
                <w:rFonts w:ascii="宋体" w:hAnsi="宋体"/>
                <w:color w:val="000000"/>
                <w:szCs w:val="21"/>
              </w:rPr>
            </w:pPr>
            <w:r>
              <w:rPr>
                <w:rFonts w:hint="eastAsia" w:ascii="宋体" w:hAnsi="宋体"/>
                <w:color w:val="000000"/>
                <w:szCs w:val="21"/>
              </w:rPr>
              <w:t>合计总价</w:t>
            </w:r>
          </w:p>
        </w:tc>
        <w:tc>
          <w:tcPr>
            <w:tcW w:w="2126" w:type="dxa"/>
            <w:noWrap w:val="0"/>
            <w:tcMar>
              <w:top w:w="0" w:type="dxa"/>
              <w:left w:w="108" w:type="dxa"/>
              <w:bottom w:w="0" w:type="dxa"/>
              <w:right w:w="108" w:type="dxa"/>
            </w:tcMar>
            <w:vAlign w:val="center"/>
          </w:tcPr>
          <w:p>
            <w:pPr>
              <w:widowControl/>
              <w:spacing w:line="400" w:lineRule="exact"/>
              <w:jc w:val="center"/>
              <w:rPr>
                <w:rFonts w:ascii="宋体" w:hAnsi="宋体"/>
                <w:color w:val="000000"/>
                <w:szCs w:val="21"/>
              </w:rPr>
            </w:pPr>
            <w:r>
              <w:rPr>
                <w:rFonts w:hint="eastAsia" w:ascii="宋体" w:hAnsi="宋体"/>
                <w:color w:val="000000"/>
                <w:szCs w:val="21"/>
              </w:rPr>
              <w:t>1+2</w:t>
            </w:r>
          </w:p>
        </w:tc>
        <w:tc>
          <w:tcPr>
            <w:tcW w:w="2529" w:type="dxa"/>
            <w:noWrap w:val="0"/>
            <w:tcMar>
              <w:top w:w="0" w:type="dxa"/>
              <w:left w:w="108" w:type="dxa"/>
              <w:bottom w:w="0" w:type="dxa"/>
              <w:right w:w="108" w:type="dxa"/>
            </w:tcMar>
            <w:vAlign w:val="center"/>
          </w:tcPr>
          <w:p>
            <w:pPr>
              <w:widowControl/>
              <w:spacing w:line="400" w:lineRule="exact"/>
              <w:jc w:val="right"/>
              <w:rPr>
                <w:rFonts w:ascii="宋体" w:hAnsi="宋体"/>
                <w:color w:val="000000"/>
                <w:szCs w:val="21"/>
              </w:rPr>
            </w:pPr>
          </w:p>
        </w:tc>
      </w:tr>
    </w:tbl>
    <w:p>
      <w:pPr>
        <w:rPr>
          <w:rFonts w:ascii="宋体" w:hAnsi="宋体"/>
          <w:color w:val="000000"/>
          <w:szCs w:val="21"/>
        </w:rPr>
      </w:pPr>
    </w:p>
    <w:p>
      <w:pPr>
        <w:rPr>
          <w:rFonts w:ascii="宋体" w:hAnsi="宋体"/>
          <w:color w:val="000000"/>
          <w:szCs w:val="21"/>
        </w:rPr>
      </w:pPr>
    </w:p>
    <w:p>
      <w:pPr>
        <w:rPr>
          <w:rFonts w:ascii="宋体" w:hAnsi="宋体"/>
          <w:color w:val="000000"/>
          <w:szCs w:val="21"/>
        </w:rPr>
      </w:pPr>
    </w:p>
    <w:p>
      <w:pPr>
        <w:rPr>
          <w:rFonts w:ascii="宋体" w:hAnsi="宋体"/>
          <w:color w:val="000000"/>
          <w:szCs w:val="21"/>
        </w:rPr>
      </w:pPr>
    </w:p>
    <w:p>
      <w:pPr>
        <w:rPr>
          <w:rFonts w:hint="eastAsia" w:ascii="宋体" w:hAnsi="宋体"/>
          <w:color w:val="000000"/>
          <w:szCs w:val="21"/>
        </w:rPr>
      </w:pPr>
    </w:p>
    <w:p>
      <w:pPr>
        <w:rPr>
          <w:rFonts w:hint="eastAsia" w:ascii="宋体" w:hAnsi="宋体"/>
          <w:color w:val="000000"/>
          <w:szCs w:val="21"/>
        </w:rPr>
      </w:pPr>
    </w:p>
    <w:p>
      <w:pPr>
        <w:rPr>
          <w:rFonts w:hint="eastAsia" w:ascii="宋体" w:hAnsi="宋体"/>
          <w:color w:val="000000"/>
          <w:szCs w:val="21"/>
        </w:rPr>
      </w:pPr>
    </w:p>
    <w:p>
      <w:pPr>
        <w:rPr>
          <w:rFonts w:hint="eastAsia" w:ascii="宋体" w:hAnsi="宋体"/>
          <w:color w:val="000000"/>
          <w:szCs w:val="21"/>
        </w:rPr>
      </w:pPr>
    </w:p>
    <w:p>
      <w:pPr>
        <w:rPr>
          <w:rFonts w:ascii="宋体" w:hAnsi="宋体"/>
          <w:color w:val="000000"/>
          <w:szCs w:val="21"/>
        </w:rPr>
      </w:pPr>
    </w:p>
    <w:p>
      <w:pPr>
        <w:rPr>
          <w:rFonts w:ascii="宋体" w:hAnsi="宋体"/>
          <w:color w:val="000000"/>
          <w:szCs w:val="21"/>
        </w:rPr>
      </w:pPr>
    </w:p>
    <w:p>
      <w:pPr>
        <w:rPr>
          <w:rFonts w:ascii="宋体" w:hAnsi="宋体"/>
          <w:color w:val="000000"/>
          <w:szCs w:val="21"/>
        </w:rPr>
      </w:pPr>
    </w:p>
    <w:p>
      <w:pPr>
        <w:rPr>
          <w:rFonts w:hint="eastAsia" w:ascii="宋体" w:hAnsi="宋体"/>
          <w:color w:val="000000"/>
          <w:szCs w:val="21"/>
        </w:rPr>
      </w:pPr>
    </w:p>
    <w:p>
      <w:pPr>
        <w:ind w:firstLine="315" w:firstLineChars="150"/>
        <w:jc w:val="left"/>
        <w:rPr>
          <w:rFonts w:ascii="宋体" w:hAnsi="宋体" w:cs="宋体"/>
          <w:bCs/>
          <w:color w:val="000000"/>
          <w:szCs w:val="21"/>
        </w:rPr>
      </w:pPr>
      <w:r>
        <w:rPr>
          <w:rFonts w:hint="eastAsia" w:ascii="宋体" w:hAnsi="宋体"/>
          <w:color w:val="000000"/>
          <w:szCs w:val="21"/>
        </w:rPr>
        <w:t xml:space="preserve">表5  </w:t>
      </w:r>
      <w:r>
        <w:rPr>
          <w:rFonts w:hint="eastAsia" w:ascii="宋体" w:hAnsi="宋体" w:cs="宋体"/>
          <w:bCs/>
          <w:color w:val="000000"/>
          <w:szCs w:val="21"/>
        </w:rPr>
        <w:t>单项工程建筑安装工程费用汇总表</w:t>
      </w:r>
    </w:p>
    <w:p>
      <w:pPr>
        <w:ind w:firstLine="315" w:firstLineChars="150"/>
        <w:rPr>
          <w:rFonts w:ascii="宋体" w:hAnsi="宋体"/>
          <w:color w:val="000000"/>
          <w:szCs w:val="21"/>
        </w:rPr>
      </w:pPr>
    </w:p>
    <w:p>
      <w:pPr>
        <w:jc w:val="center"/>
        <w:rPr>
          <w:rFonts w:ascii="宋体" w:hAnsi="宋体" w:cs="宋体"/>
          <w:bCs/>
          <w:color w:val="000000"/>
          <w:szCs w:val="21"/>
        </w:rPr>
      </w:pPr>
    </w:p>
    <w:p>
      <w:pPr>
        <w:jc w:val="center"/>
        <w:rPr>
          <w:rFonts w:ascii="宋体" w:hAnsi="宋体" w:cs="方正小标宋_GBK"/>
          <w:b/>
          <w:color w:val="000000"/>
          <w:sz w:val="36"/>
          <w:szCs w:val="36"/>
        </w:rPr>
      </w:pPr>
      <w:r>
        <w:rPr>
          <w:rFonts w:hint="eastAsia" w:ascii="宋体" w:hAnsi="宋体" w:cs="方正小标宋_GBK"/>
          <w:b/>
          <w:color w:val="000000"/>
          <w:sz w:val="36"/>
          <w:szCs w:val="36"/>
        </w:rPr>
        <w:t>单项工程建筑安装工程费用汇总表</w:t>
      </w:r>
    </w:p>
    <w:p>
      <w:pPr>
        <w:rPr>
          <w:rFonts w:ascii="宋体" w:hAnsi="宋体" w:cs="宋体"/>
          <w:color w:val="000000"/>
          <w:szCs w:val="21"/>
        </w:rPr>
      </w:pPr>
    </w:p>
    <w:p>
      <w:pPr>
        <w:ind w:firstLine="210" w:firstLineChars="100"/>
        <w:rPr>
          <w:rFonts w:ascii="宋体" w:hAnsi="宋体" w:cs="宋体"/>
          <w:color w:val="000000"/>
          <w:szCs w:val="21"/>
        </w:rPr>
      </w:pPr>
      <w:r>
        <w:rPr>
          <w:color w:val="000000"/>
        </w:rPr>
        <w:t xml:space="preserve">工程名称：           </w:t>
      </w:r>
      <w:r>
        <w:rPr>
          <w:rFonts w:hint="eastAsia"/>
          <w:color w:val="000000"/>
        </w:rPr>
        <w:t xml:space="preserve">        </w:t>
      </w:r>
      <w:r>
        <w:rPr>
          <w:color w:val="000000"/>
        </w:rPr>
        <w:t xml:space="preserve">                                 第  页 共  页</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4464"/>
        <w:gridCol w:w="1516"/>
        <w:gridCol w:w="1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3" w:hRule="atLeast"/>
          <w:jc w:val="center"/>
        </w:trPr>
        <w:tc>
          <w:tcPr>
            <w:tcW w:w="900" w:type="dxa"/>
            <w:tcBorders>
              <w:top w:val="single" w:color="auto" w:sz="4" w:space="0"/>
              <w:left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序号</w:t>
            </w:r>
          </w:p>
        </w:tc>
        <w:tc>
          <w:tcPr>
            <w:tcW w:w="4464" w:type="dxa"/>
            <w:tcBorders>
              <w:top w:val="single" w:color="auto" w:sz="4" w:space="0"/>
              <w:left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单位工程名称</w:t>
            </w:r>
          </w:p>
        </w:tc>
        <w:tc>
          <w:tcPr>
            <w:tcW w:w="1516" w:type="dxa"/>
            <w:tcBorders>
              <w:top w:val="single" w:color="auto" w:sz="4" w:space="0"/>
              <w:left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固定总价（元）</w:t>
            </w:r>
          </w:p>
        </w:tc>
        <w:tc>
          <w:tcPr>
            <w:tcW w:w="1516" w:type="dxa"/>
            <w:tcBorders>
              <w:top w:val="single" w:color="auto" w:sz="4" w:space="0"/>
              <w:left w:val="single" w:color="auto" w:sz="4" w:space="0"/>
              <w:right w:val="single" w:color="auto" w:sz="4" w:space="0"/>
            </w:tcBorders>
            <w:noWrap w:val="0"/>
            <w:vAlign w:val="top"/>
          </w:tcPr>
          <w:p>
            <w:pPr>
              <w:jc w:val="center"/>
              <w:rPr>
                <w:rFonts w:ascii="宋体" w:hAnsi="宋体" w:cs="宋体"/>
                <w:color w:val="000000"/>
                <w:szCs w:val="21"/>
              </w:rPr>
            </w:pPr>
          </w:p>
          <w:p>
            <w:pPr>
              <w:jc w:val="center"/>
              <w:rPr>
                <w:rFonts w:ascii="宋体" w:hAnsi="宋体" w:cs="宋体"/>
                <w:color w:val="000000"/>
                <w:szCs w:val="21"/>
              </w:rPr>
            </w:pPr>
            <w:r>
              <w:rPr>
                <w:rFonts w:hint="eastAsia" w:ascii="宋体" w:hAnsi="宋体" w:cs="宋体"/>
                <w:color w:val="000000"/>
                <w:szCs w:val="21"/>
              </w:rPr>
              <w:t>暂估价（元）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900" w:type="dxa"/>
            <w:vMerge w:val="restart"/>
            <w:tcBorders>
              <w:top w:val="single" w:color="auto" w:sz="4" w:space="0"/>
              <w:left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w:t>
            </w:r>
          </w:p>
        </w:tc>
        <w:tc>
          <w:tcPr>
            <w:tcW w:w="446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单位工程1</w:t>
            </w:r>
          </w:p>
        </w:tc>
        <w:tc>
          <w:tcPr>
            <w:tcW w:w="15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1516"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900" w:type="dxa"/>
            <w:vMerge w:val="continue"/>
            <w:tcBorders>
              <w:left w:val="single" w:color="auto" w:sz="4" w:space="0"/>
              <w:right w:val="single" w:color="auto" w:sz="4" w:space="0"/>
            </w:tcBorders>
            <w:noWrap w:val="0"/>
            <w:vAlign w:val="center"/>
          </w:tcPr>
          <w:p>
            <w:pPr>
              <w:jc w:val="center"/>
              <w:rPr>
                <w:rFonts w:ascii="宋体" w:hAnsi="宋体" w:cs="宋体"/>
                <w:color w:val="000000"/>
                <w:szCs w:val="21"/>
              </w:rPr>
            </w:pPr>
          </w:p>
        </w:tc>
        <w:tc>
          <w:tcPr>
            <w:tcW w:w="446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单位工程1</w:t>
            </w:r>
          </w:p>
        </w:tc>
        <w:tc>
          <w:tcPr>
            <w:tcW w:w="15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1516"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900" w:type="dxa"/>
            <w:vMerge w:val="continue"/>
            <w:tcBorders>
              <w:left w:val="single" w:color="auto" w:sz="4" w:space="0"/>
              <w:right w:val="single" w:color="auto" w:sz="4" w:space="0"/>
            </w:tcBorders>
            <w:noWrap w:val="0"/>
            <w:vAlign w:val="center"/>
          </w:tcPr>
          <w:p>
            <w:pPr>
              <w:jc w:val="center"/>
              <w:rPr>
                <w:rFonts w:ascii="宋体" w:hAnsi="宋体" w:cs="宋体"/>
                <w:color w:val="000000"/>
                <w:szCs w:val="21"/>
              </w:rPr>
            </w:pPr>
          </w:p>
        </w:tc>
        <w:tc>
          <w:tcPr>
            <w:tcW w:w="446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ascii="宋体" w:hAnsi="宋体" w:cs="宋体"/>
                <w:color w:val="000000"/>
                <w:szCs w:val="21"/>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1516"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900" w:type="dxa"/>
            <w:vMerge w:val="continue"/>
            <w:tcBorders>
              <w:left w:val="single" w:color="auto" w:sz="4" w:space="0"/>
              <w:right w:val="single" w:color="auto" w:sz="4" w:space="0"/>
            </w:tcBorders>
            <w:noWrap w:val="0"/>
            <w:vAlign w:val="center"/>
          </w:tcPr>
          <w:p>
            <w:pPr>
              <w:jc w:val="center"/>
              <w:rPr>
                <w:rFonts w:ascii="宋体" w:hAnsi="宋体" w:cs="宋体"/>
                <w:color w:val="000000"/>
                <w:szCs w:val="21"/>
              </w:rPr>
            </w:pPr>
          </w:p>
        </w:tc>
        <w:tc>
          <w:tcPr>
            <w:tcW w:w="446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1516"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900" w:type="dxa"/>
            <w:vMerge w:val="continue"/>
            <w:tcBorders>
              <w:left w:val="single" w:color="auto" w:sz="4" w:space="0"/>
              <w:right w:val="single" w:color="auto" w:sz="4" w:space="0"/>
            </w:tcBorders>
            <w:noWrap w:val="0"/>
            <w:vAlign w:val="center"/>
          </w:tcPr>
          <w:p>
            <w:pPr>
              <w:jc w:val="center"/>
              <w:rPr>
                <w:rFonts w:ascii="宋体" w:hAnsi="宋体" w:cs="宋体"/>
                <w:color w:val="000000"/>
                <w:szCs w:val="21"/>
              </w:rPr>
            </w:pPr>
          </w:p>
        </w:tc>
        <w:tc>
          <w:tcPr>
            <w:tcW w:w="446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1516"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900" w:type="dxa"/>
            <w:vMerge w:val="continue"/>
            <w:tcBorders>
              <w:left w:val="single" w:color="auto" w:sz="4" w:space="0"/>
              <w:right w:val="single" w:color="auto" w:sz="4" w:space="0"/>
            </w:tcBorders>
            <w:noWrap w:val="0"/>
            <w:vAlign w:val="center"/>
          </w:tcPr>
          <w:p>
            <w:pPr>
              <w:jc w:val="center"/>
              <w:rPr>
                <w:rFonts w:ascii="宋体" w:hAnsi="宋体" w:cs="宋体"/>
                <w:color w:val="000000"/>
                <w:szCs w:val="21"/>
              </w:rPr>
            </w:pPr>
          </w:p>
        </w:tc>
        <w:tc>
          <w:tcPr>
            <w:tcW w:w="446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1516"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900" w:type="dxa"/>
            <w:vMerge w:val="continue"/>
            <w:tcBorders>
              <w:left w:val="single" w:color="auto" w:sz="4" w:space="0"/>
              <w:right w:val="single" w:color="auto" w:sz="4" w:space="0"/>
            </w:tcBorders>
            <w:noWrap w:val="0"/>
            <w:vAlign w:val="center"/>
          </w:tcPr>
          <w:p>
            <w:pPr>
              <w:jc w:val="center"/>
              <w:rPr>
                <w:rFonts w:ascii="宋体" w:hAnsi="宋体" w:cs="宋体"/>
                <w:color w:val="000000"/>
                <w:szCs w:val="21"/>
              </w:rPr>
            </w:pPr>
          </w:p>
        </w:tc>
        <w:tc>
          <w:tcPr>
            <w:tcW w:w="446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单位工程合计</w:t>
            </w:r>
          </w:p>
        </w:tc>
        <w:tc>
          <w:tcPr>
            <w:tcW w:w="15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1516"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900" w:type="dxa"/>
            <w:vMerge w:val="continue"/>
            <w:tcBorders>
              <w:left w:val="single" w:color="auto" w:sz="4" w:space="0"/>
              <w:right w:val="single" w:color="auto" w:sz="4" w:space="0"/>
            </w:tcBorders>
            <w:noWrap w:val="0"/>
            <w:vAlign w:val="center"/>
          </w:tcPr>
          <w:p>
            <w:pPr>
              <w:jc w:val="center"/>
              <w:rPr>
                <w:rFonts w:ascii="宋体" w:hAnsi="宋体" w:cs="宋体"/>
                <w:color w:val="000000"/>
                <w:szCs w:val="21"/>
              </w:rPr>
            </w:pPr>
          </w:p>
        </w:tc>
        <w:tc>
          <w:tcPr>
            <w:tcW w:w="446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其中：安全文明施工费</w:t>
            </w:r>
          </w:p>
        </w:tc>
        <w:tc>
          <w:tcPr>
            <w:tcW w:w="303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2</w:t>
            </w:r>
          </w:p>
        </w:tc>
        <w:tc>
          <w:tcPr>
            <w:tcW w:w="446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暂列金额</w:t>
            </w:r>
          </w:p>
        </w:tc>
        <w:tc>
          <w:tcPr>
            <w:tcW w:w="303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36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合计</w:t>
            </w:r>
          </w:p>
        </w:tc>
        <w:tc>
          <w:tcPr>
            <w:tcW w:w="303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1+2</w:t>
            </w:r>
          </w:p>
        </w:tc>
      </w:tr>
    </w:tbl>
    <w:p>
      <w:pPr>
        <w:rPr>
          <w:rFonts w:ascii="宋体" w:hAnsi="宋体"/>
          <w:color w:val="000000"/>
          <w:szCs w:val="21"/>
        </w:rPr>
      </w:pPr>
    </w:p>
    <w:p>
      <w:pPr>
        <w:rPr>
          <w:rFonts w:hint="eastAsia" w:ascii="宋体" w:hAnsi="宋体"/>
          <w:color w:val="000000"/>
          <w:szCs w:val="21"/>
        </w:rPr>
      </w:pPr>
    </w:p>
    <w:p>
      <w:pPr>
        <w:rPr>
          <w:rFonts w:hint="eastAsia" w:ascii="宋体" w:hAnsi="宋体"/>
          <w:color w:val="000000"/>
          <w:szCs w:val="21"/>
        </w:rPr>
      </w:pPr>
    </w:p>
    <w:p>
      <w:pPr>
        <w:rPr>
          <w:rFonts w:hint="eastAsia" w:ascii="宋体" w:hAnsi="宋体"/>
          <w:color w:val="000000"/>
          <w:szCs w:val="21"/>
        </w:rPr>
      </w:pPr>
    </w:p>
    <w:p>
      <w:pPr>
        <w:rPr>
          <w:rFonts w:hint="eastAsia" w:ascii="宋体" w:hAnsi="宋体"/>
          <w:color w:val="000000"/>
          <w:szCs w:val="21"/>
        </w:rPr>
      </w:pPr>
    </w:p>
    <w:p>
      <w:pPr>
        <w:rPr>
          <w:rFonts w:hint="eastAsia" w:ascii="宋体" w:hAnsi="宋体"/>
          <w:color w:val="000000"/>
          <w:szCs w:val="21"/>
        </w:rPr>
      </w:pPr>
    </w:p>
    <w:p>
      <w:pPr>
        <w:rPr>
          <w:rFonts w:hint="eastAsia" w:ascii="宋体" w:hAnsi="宋体"/>
          <w:color w:val="000000"/>
          <w:szCs w:val="21"/>
        </w:rPr>
      </w:pPr>
    </w:p>
    <w:p>
      <w:pPr>
        <w:rPr>
          <w:rFonts w:hint="eastAsia" w:ascii="宋体" w:hAnsi="宋体"/>
          <w:color w:val="000000"/>
          <w:szCs w:val="21"/>
        </w:rPr>
      </w:pPr>
    </w:p>
    <w:p>
      <w:pPr>
        <w:rPr>
          <w:rFonts w:hint="eastAsia" w:ascii="宋体" w:hAnsi="宋体"/>
          <w:color w:val="000000"/>
          <w:szCs w:val="21"/>
        </w:rPr>
      </w:pPr>
    </w:p>
    <w:p>
      <w:pPr>
        <w:rPr>
          <w:rFonts w:ascii="宋体" w:hAnsi="宋体"/>
          <w:color w:val="000000"/>
          <w:szCs w:val="21"/>
        </w:rPr>
      </w:pPr>
    </w:p>
    <w:p>
      <w:pPr>
        <w:rPr>
          <w:rFonts w:ascii="宋体" w:hAnsi="宋体"/>
          <w:color w:val="000000"/>
          <w:szCs w:val="21"/>
        </w:rPr>
      </w:pPr>
    </w:p>
    <w:p>
      <w:pPr>
        <w:ind w:firstLine="420" w:firstLineChars="200"/>
        <w:jc w:val="left"/>
        <w:rPr>
          <w:rFonts w:ascii="宋体" w:hAnsi="宋体" w:cs="宋体"/>
          <w:bCs/>
          <w:color w:val="000000"/>
          <w:szCs w:val="21"/>
        </w:rPr>
      </w:pPr>
      <w:r>
        <w:rPr>
          <w:rFonts w:hint="eastAsia" w:ascii="宋体" w:hAnsi="宋体"/>
          <w:color w:val="000000"/>
          <w:szCs w:val="21"/>
        </w:rPr>
        <w:t>表6  单位</w:t>
      </w:r>
      <w:r>
        <w:rPr>
          <w:rFonts w:hint="eastAsia" w:ascii="宋体" w:hAnsi="宋体" w:cs="宋体"/>
          <w:bCs/>
          <w:color w:val="000000"/>
          <w:szCs w:val="21"/>
        </w:rPr>
        <w:t>工程工程量清单与计价表</w:t>
      </w:r>
    </w:p>
    <w:p>
      <w:pPr>
        <w:ind w:firstLine="525" w:firstLineChars="250"/>
        <w:jc w:val="left"/>
        <w:rPr>
          <w:rFonts w:ascii="宋体" w:hAnsi="宋体"/>
          <w:color w:val="000000"/>
          <w:szCs w:val="21"/>
        </w:rPr>
      </w:pPr>
    </w:p>
    <w:p>
      <w:pPr>
        <w:jc w:val="center"/>
        <w:rPr>
          <w:rFonts w:ascii="宋体" w:hAnsi="宋体"/>
          <w:color w:val="000000"/>
          <w:szCs w:val="21"/>
        </w:rPr>
      </w:pPr>
    </w:p>
    <w:p>
      <w:pPr>
        <w:jc w:val="center"/>
        <w:rPr>
          <w:rFonts w:ascii="宋体" w:hAnsi="宋体" w:cs="方正小标宋_GBK"/>
          <w:b/>
          <w:color w:val="000000"/>
          <w:sz w:val="36"/>
          <w:szCs w:val="36"/>
        </w:rPr>
      </w:pPr>
      <w:r>
        <w:rPr>
          <w:rFonts w:hint="eastAsia" w:ascii="宋体" w:hAnsi="宋体" w:cs="方正小标宋_GBK"/>
          <w:b/>
          <w:color w:val="000000"/>
          <w:sz w:val="36"/>
          <w:szCs w:val="36"/>
        </w:rPr>
        <w:t>单位工程工程量清单与计价表</w:t>
      </w:r>
    </w:p>
    <w:p>
      <w:pPr>
        <w:rPr>
          <w:rFonts w:ascii="宋体" w:hAnsi="宋体" w:cs="宋体"/>
          <w:color w:val="000000"/>
          <w:szCs w:val="21"/>
        </w:rPr>
      </w:pPr>
    </w:p>
    <w:p>
      <w:pPr>
        <w:ind w:firstLine="315" w:firstLineChars="150"/>
        <w:rPr>
          <w:rFonts w:ascii="宋体" w:hAnsi="宋体" w:cs="宋体"/>
          <w:color w:val="000000"/>
          <w:szCs w:val="21"/>
        </w:rPr>
      </w:pPr>
      <w:r>
        <w:rPr>
          <w:rFonts w:hint="eastAsia" w:ascii="宋体" w:hAnsi="宋体" w:cs="宋体"/>
          <w:color w:val="000000"/>
          <w:szCs w:val="21"/>
        </w:rPr>
        <w:t xml:space="preserve">工程名称：                                                    </w:t>
      </w:r>
      <w:r>
        <w:rPr>
          <w:color w:val="000000"/>
        </w:rPr>
        <w:t>第  页 共  页</w:t>
      </w:r>
    </w:p>
    <w:tbl>
      <w:tblPr>
        <w:tblStyle w:val="83"/>
        <w:tblW w:w="0" w:type="auto"/>
        <w:tblInd w:w="5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992"/>
        <w:gridCol w:w="2268"/>
        <w:gridCol w:w="709"/>
        <w:gridCol w:w="850"/>
        <w:gridCol w:w="851"/>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59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序号</w:t>
            </w:r>
          </w:p>
        </w:tc>
        <w:tc>
          <w:tcPr>
            <w:tcW w:w="3260"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项目名称、项目特征、工作内容</w:t>
            </w:r>
          </w:p>
        </w:tc>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计量单位</w:t>
            </w:r>
          </w:p>
        </w:tc>
        <w:tc>
          <w:tcPr>
            <w:tcW w:w="8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工程量</w:t>
            </w: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综合单价（元）</w:t>
            </w: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p>
            <w:pPr>
              <w:rPr>
                <w:rFonts w:ascii="宋体" w:hAnsi="宋体" w:cs="宋体"/>
                <w:color w:val="000000"/>
                <w:szCs w:val="21"/>
              </w:rPr>
            </w:pPr>
            <w:r>
              <w:rPr>
                <w:rFonts w:hint="eastAsia" w:ascii="宋体" w:hAnsi="宋体" w:cs="宋体"/>
                <w:color w:val="000000"/>
                <w:szCs w:val="21"/>
              </w:rPr>
              <w:t>合价（元）</w:t>
            </w: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r>
              <w:rPr>
                <w:rFonts w:hint="eastAsia" w:ascii="宋体" w:hAnsi="宋体" w:cs="宋体"/>
                <w:color w:val="000000"/>
                <w:szCs w:val="21"/>
              </w:rPr>
              <w:t>暂估材料设备费（元）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59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3260"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cs="宋体"/>
                <w:color w:val="000000"/>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59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32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9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32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59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3260" w:type="dxa"/>
            <w:gridSpan w:val="2"/>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709"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85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9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3260" w:type="dxa"/>
            <w:gridSpan w:val="2"/>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709"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85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59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3260" w:type="dxa"/>
            <w:gridSpan w:val="2"/>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709"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85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59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3260" w:type="dxa"/>
            <w:gridSpan w:val="2"/>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709"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85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59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3260" w:type="dxa"/>
            <w:gridSpan w:val="2"/>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709"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85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9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3260" w:type="dxa"/>
            <w:gridSpan w:val="2"/>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r>
              <w:rPr>
                <w:rFonts w:hint="eastAsia" w:ascii="宋体" w:hAnsi="宋体" w:cs="宋体"/>
                <w:color w:val="000000"/>
                <w:szCs w:val="21"/>
              </w:rPr>
              <w:t>税前造价合计</w:t>
            </w:r>
          </w:p>
        </w:tc>
        <w:tc>
          <w:tcPr>
            <w:tcW w:w="4394" w:type="dxa"/>
            <w:gridSpan w:val="5"/>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9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3260" w:type="dxa"/>
            <w:gridSpan w:val="2"/>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r>
              <w:rPr>
                <w:rFonts w:hint="eastAsia" w:ascii="宋体" w:hAnsi="宋体" w:cs="宋体"/>
                <w:color w:val="000000"/>
                <w:szCs w:val="21"/>
              </w:rPr>
              <w:t>含税造价合计=税前造价合计*（1+税率）</w:t>
            </w:r>
          </w:p>
        </w:tc>
        <w:tc>
          <w:tcPr>
            <w:tcW w:w="4394" w:type="dxa"/>
            <w:gridSpan w:val="5"/>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90" w:type="dxa"/>
            <w:vMerge w:val="restart"/>
            <w:tcBorders>
              <w:top w:val="single" w:color="auto" w:sz="4" w:space="0"/>
              <w:left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其中</w:t>
            </w:r>
          </w:p>
        </w:tc>
        <w:tc>
          <w:tcPr>
            <w:tcW w:w="3260" w:type="dxa"/>
            <w:gridSpan w:val="2"/>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r>
              <w:rPr>
                <w:rFonts w:hint="eastAsia" w:ascii="宋体" w:hAnsi="宋体" w:cs="宋体"/>
                <w:color w:val="000000"/>
                <w:szCs w:val="21"/>
              </w:rPr>
              <w:t>固定总价</w:t>
            </w:r>
          </w:p>
        </w:tc>
        <w:tc>
          <w:tcPr>
            <w:tcW w:w="4394" w:type="dxa"/>
            <w:gridSpan w:val="5"/>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90" w:type="dxa"/>
            <w:vMerge w:val="continue"/>
            <w:tcBorders>
              <w:left w:val="single" w:color="auto" w:sz="4" w:space="0"/>
              <w:right w:val="single" w:color="auto" w:sz="4" w:space="0"/>
            </w:tcBorders>
            <w:noWrap w:val="0"/>
            <w:vAlign w:val="center"/>
          </w:tcPr>
          <w:p>
            <w:pPr>
              <w:jc w:val="center"/>
              <w:rPr>
                <w:rFonts w:ascii="宋体" w:hAnsi="宋体" w:cs="宋体"/>
                <w:color w:val="000000"/>
                <w:szCs w:val="21"/>
              </w:rPr>
            </w:pPr>
          </w:p>
        </w:tc>
        <w:tc>
          <w:tcPr>
            <w:tcW w:w="992" w:type="dxa"/>
            <w:vMerge w:val="restart"/>
            <w:tcBorders>
              <w:top w:val="single" w:color="auto" w:sz="4" w:space="0"/>
              <w:left w:val="single" w:color="auto" w:sz="4" w:space="0"/>
              <w:right w:val="single" w:color="auto" w:sz="4" w:space="0"/>
            </w:tcBorders>
            <w:noWrap w:val="0"/>
            <w:vAlign w:val="top"/>
          </w:tcPr>
          <w:p>
            <w:pPr>
              <w:rPr>
                <w:rFonts w:ascii="宋体" w:hAnsi="宋体" w:cs="宋体"/>
                <w:color w:val="000000"/>
                <w:szCs w:val="21"/>
              </w:rPr>
            </w:pPr>
            <w:r>
              <w:rPr>
                <w:rFonts w:hint="eastAsia" w:ascii="宋体" w:hAnsi="宋体" w:cs="宋体"/>
                <w:color w:val="000000"/>
                <w:szCs w:val="21"/>
              </w:rPr>
              <w:t>暂估价</w:t>
            </w:r>
          </w:p>
        </w:tc>
        <w:tc>
          <w:tcPr>
            <w:tcW w:w="2268"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r>
              <w:rPr>
                <w:rFonts w:hint="eastAsia" w:ascii="宋体" w:hAnsi="宋体" w:cs="宋体"/>
                <w:color w:val="000000"/>
                <w:szCs w:val="21"/>
              </w:rPr>
              <w:t>暂估材料设备</w:t>
            </w:r>
          </w:p>
        </w:tc>
        <w:tc>
          <w:tcPr>
            <w:tcW w:w="4394" w:type="dxa"/>
            <w:gridSpan w:val="5"/>
            <w:tcBorders>
              <w:top w:val="single" w:color="auto" w:sz="4" w:space="0"/>
              <w:left w:val="single" w:color="auto" w:sz="4" w:space="0"/>
              <w:right w:val="single" w:color="auto" w:sz="4" w:space="0"/>
            </w:tcBorders>
            <w:noWrap w:val="0"/>
            <w:vAlign w:val="top"/>
          </w:tcPr>
          <w:p>
            <w:pP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90" w:type="dxa"/>
            <w:vMerge w:val="continue"/>
            <w:tcBorders>
              <w:left w:val="single" w:color="auto" w:sz="4" w:space="0"/>
              <w:right w:val="single" w:color="auto" w:sz="4" w:space="0"/>
            </w:tcBorders>
            <w:noWrap w:val="0"/>
            <w:vAlign w:val="center"/>
          </w:tcPr>
          <w:p>
            <w:pPr>
              <w:jc w:val="center"/>
              <w:rPr>
                <w:rFonts w:ascii="宋体" w:hAnsi="宋体" w:cs="宋体"/>
                <w:color w:val="000000"/>
                <w:szCs w:val="21"/>
              </w:rPr>
            </w:pPr>
          </w:p>
        </w:tc>
        <w:tc>
          <w:tcPr>
            <w:tcW w:w="992" w:type="dxa"/>
            <w:vMerge w:val="continue"/>
            <w:tcBorders>
              <w:left w:val="single" w:color="auto" w:sz="4" w:space="0"/>
              <w:bottom w:val="single" w:color="auto" w:sz="4" w:space="0"/>
              <w:right w:val="single" w:color="auto" w:sz="4" w:space="0"/>
            </w:tcBorders>
            <w:noWrap w:val="0"/>
            <w:vAlign w:val="top"/>
          </w:tcPr>
          <w:p>
            <w:pPr>
              <w:ind w:firstLine="525" w:firstLineChars="250"/>
              <w:rPr>
                <w:rFonts w:ascii="宋体" w:hAnsi="宋体" w:cs="宋体"/>
                <w:color w:val="000000"/>
                <w:szCs w:val="21"/>
              </w:rPr>
            </w:pPr>
          </w:p>
        </w:tc>
        <w:tc>
          <w:tcPr>
            <w:tcW w:w="2268"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000000"/>
                <w:szCs w:val="21"/>
              </w:rPr>
            </w:pPr>
            <w:r>
              <w:rPr>
                <w:rFonts w:hint="eastAsia" w:ascii="宋体" w:hAnsi="宋体" w:cs="宋体"/>
                <w:color w:val="000000"/>
                <w:szCs w:val="21"/>
              </w:rPr>
              <w:t>暂估专业工程</w:t>
            </w:r>
          </w:p>
        </w:tc>
        <w:tc>
          <w:tcPr>
            <w:tcW w:w="4394" w:type="dxa"/>
            <w:gridSpan w:val="5"/>
            <w:tcBorders>
              <w:left w:val="single" w:color="auto" w:sz="4" w:space="0"/>
              <w:bottom w:val="single" w:color="auto" w:sz="4" w:space="0"/>
              <w:right w:val="single" w:color="auto" w:sz="4" w:space="0"/>
            </w:tcBorders>
            <w:noWrap w:val="0"/>
            <w:vAlign w:val="top"/>
          </w:tcPr>
          <w:p>
            <w:pPr>
              <w:rPr>
                <w:rFonts w:ascii="宋体" w:hAnsi="宋体" w:cs="宋体"/>
                <w:color w:val="000000"/>
                <w:szCs w:val="21"/>
              </w:rPr>
            </w:pPr>
          </w:p>
        </w:tc>
      </w:tr>
    </w:tbl>
    <w:p>
      <w:pPr>
        <w:ind w:firstLine="411" w:firstLineChars="196"/>
        <w:rPr>
          <w:rFonts w:ascii="宋体" w:hAnsi="宋体" w:cs="宋体"/>
          <w:bCs/>
          <w:color w:val="000000"/>
          <w:szCs w:val="21"/>
        </w:rPr>
      </w:pPr>
      <w:r>
        <w:rPr>
          <w:rFonts w:hint="eastAsia" w:ascii="宋体" w:hAnsi="宋体" w:cs="宋体"/>
          <w:bCs/>
          <w:color w:val="000000"/>
          <w:szCs w:val="21"/>
        </w:rPr>
        <w:t>备注：1.全费用综合单价包含增值税金以外的全部费用。</w:t>
      </w:r>
    </w:p>
    <w:p>
      <w:pPr>
        <w:ind w:firstLine="1029" w:firstLineChars="490"/>
        <w:rPr>
          <w:rFonts w:ascii="宋体" w:hAnsi="宋体" w:cs="宋体"/>
          <w:bCs/>
          <w:color w:val="000000"/>
          <w:szCs w:val="21"/>
        </w:rPr>
      </w:pPr>
      <w:r>
        <w:rPr>
          <w:rFonts w:hint="eastAsia" w:ascii="宋体" w:hAnsi="宋体" w:cs="宋体"/>
          <w:bCs/>
          <w:color w:val="000000"/>
          <w:szCs w:val="21"/>
        </w:rPr>
        <w:t>2.主材设备采用暂估价的，在“项目特征”栏目中标注暂定的主材或设备名称。</w:t>
      </w:r>
    </w:p>
    <w:p>
      <w:pPr>
        <w:ind w:firstLine="1029" w:firstLineChars="490"/>
        <w:rPr>
          <w:rFonts w:ascii="宋体" w:hAnsi="宋体" w:cs="宋体"/>
          <w:bCs/>
          <w:color w:val="000000"/>
          <w:szCs w:val="21"/>
        </w:rPr>
      </w:pPr>
      <w:r>
        <w:rPr>
          <w:rFonts w:hint="eastAsia" w:ascii="宋体" w:hAnsi="宋体" w:cs="宋体"/>
          <w:bCs/>
          <w:color w:val="000000"/>
          <w:szCs w:val="21"/>
        </w:rPr>
        <w:t>3.暂估专业工程要单独列分部，并在本分部名称栏用括号注明为暂估专业工程。</w:t>
      </w:r>
    </w:p>
    <w:p>
      <w:pPr>
        <w:ind w:left="420" w:leftChars="200" w:firstLine="630" w:firstLineChars="300"/>
        <w:rPr>
          <w:rFonts w:ascii="宋体" w:hAnsi="宋体" w:cs="宋体"/>
          <w:bCs/>
          <w:color w:val="000000"/>
          <w:szCs w:val="21"/>
        </w:rPr>
      </w:pPr>
      <w:r>
        <w:rPr>
          <w:rFonts w:hint="eastAsia" w:ascii="宋体" w:hAnsi="宋体" w:cs="宋体"/>
          <w:bCs/>
          <w:color w:val="000000"/>
          <w:szCs w:val="21"/>
        </w:rPr>
        <w:t>4.一般计税法的税前造价为不含增值税进项税的除税价，简易计税法的税前造价为含增值税进项税的含税价。</w:t>
      </w:r>
    </w:p>
    <w:p>
      <w:pPr>
        <w:ind w:left="420" w:leftChars="200" w:firstLine="609" w:firstLineChars="290"/>
        <w:rPr>
          <w:rFonts w:ascii="宋体" w:hAnsi="宋体" w:cs="宋体"/>
          <w:color w:val="000000"/>
          <w:szCs w:val="21"/>
        </w:rPr>
      </w:pPr>
      <w:r>
        <w:rPr>
          <w:rFonts w:hint="eastAsia" w:ascii="宋体" w:hAnsi="宋体" w:cs="宋体"/>
          <w:bCs/>
          <w:color w:val="000000"/>
          <w:szCs w:val="21"/>
        </w:rPr>
        <w:t>5.一般计税法的税率是指增值税消项税税率（9%），简易计税法税率是指应纳税率（3%）及附加税费率。</w:t>
      </w:r>
    </w:p>
    <w:p>
      <w:pPr>
        <w:rPr>
          <w:rFonts w:ascii="宋体" w:hAnsi="宋体" w:cs="宋体"/>
          <w:color w:val="000000"/>
          <w:szCs w:val="21"/>
        </w:rPr>
      </w:pPr>
    </w:p>
    <w:p>
      <w:pPr>
        <w:rPr>
          <w:rFonts w:ascii="宋体" w:hAnsi="宋体" w:cs="宋体"/>
          <w:color w:val="000000"/>
          <w:szCs w:val="21"/>
        </w:rPr>
      </w:pPr>
    </w:p>
    <w:p>
      <w:pPr>
        <w:rPr>
          <w:rFonts w:hint="eastAsia" w:ascii="宋体" w:hAnsi="宋体" w:cs="宋体"/>
          <w:color w:val="000000"/>
          <w:szCs w:val="21"/>
        </w:rPr>
      </w:pPr>
    </w:p>
    <w:p>
      <w:pPr>
        <w:rPr>
          <w:rFonts w:ascii="宋体" w:hAnsi="宋体" w:cs="宋体"/>
          <w:color w:val="000000"/>
          <w:szCs w:val="21"/>
        </w:rPr>
      </w:pPr>
    </w:p>
    <w:p>
      <w:pPr>
        <w:pStyle w:val="82"/>
        <w:ind w:firstLine="0"/>
        <w:jc w:val="left"/>
        <w:rPr>
          <w:rFonts w:ascii="宋体" w:hAnsi="宋体" w:cs="宋体"/>
          <w:bCs/>
          <w:color w:val="000000"/>
          <w:szCs w:val="21"/>
        </w:rPr>
      </w:pPr>
      <w:r>
        <w:rPr>
          <w:rFonts w:hint="eastAsia" w:ascii="宋体" w:hAnsi="宋体" w:cs="宋体"/>
          <w:bCs/>
          <w:color w:val="000000"/>
          <w:szCs w:val="21"/>
        </w:rPr>
        <w:t>表7  主要材料设备价格表</w:t>
      </w:r>
    </w:p>
    <w:p>
      <w:pPr>
        <w:pStyle w:val="82"/>
        <w:ind w:firstLine="0"/>
        <w:jc w:val="left"/>
        <w:rPr>
          <w:rFonts w:hint="eastAsia" w:ascii="宋体" w:hAnsi="宋体" w:cs="宋体"/>
          <w:bCs/>
          <w:color w:val="000000"/>
          <w:szCs w:val="21"/>
        </w:rPr>
      </w:pPr>
    </w:p>
    <w:p>
      <w:pPr>
        <w:pStyle w:val="82"/>
        <w:ind w:firstLine="0"/>
        <w:jc w:val="center"/>
        <w:rPr>
          <w:rFonts w:ascii="宋体" w:hAnsi="宋体" w:cs="宋体"/>
          <w:bCs/>
          <w:color w:val="000000"/>
          <w:szCs w:val="21"/>
        </w:rPr>
      </w:pPr>
      <w:r>
        <w:rPr>
          <w:rFonts w:hint="eastAsia" w:ascii="宋体" w:hAnsi="宋体" w:cs="宋体"/>
          <w:bCs/>
          <w:color w:val="000000"/>
          <w:szCs w:val="21"/>
        </w:rPr>
        <w:t>主要材料设备价格表</w:t>
      </w:r>
    </w:p>
    <w:p>
      <w:pPr>
        <w:ind w:firstLine="315" w:firstLineChars="150"/>
        <w:rPr>
          <w:rFonts w:ascii="宋体" w:hAnsi="宋体" w:cs="宋体"/>
          <w:color w:val="000000"/>
          <w:szCs w:val="21"/>
        </w:rPr>
      </w:pPr>
      <w:r>
        <w:rPr>
          <w:rFonts w:hint="eastAsia" w:ascii="宋体" w:hAnsi="宋体" w:cs="宋体"/>
          <w:color w:val="000000"/>
          <w:szCs w:val="21"/>
        </w:rPr>
        <w:t>工程名称：</w:t>
      </w:r>
    </w:p>
    <w:tbl>
      <w:tblPr>
        <w:tblStyle w:val="83"/>
        <w:tblW w:w="0" w:type="auto"/>
        <w:jc w:val="center"/>
        <w:tblLayout w:type="fixed"/>
        <w:tblCellMar>
          <w:top w:w="0" w:type="dxa"/>
          <w:left w:w="108" w:type="dxa"/>
          <w:bottom w:w="0" w:type="dxa"/>
          <w:right w:w="108" w:type="dxa"/>
        </w:tblCellMar>
      </w:tblPr>
      <w:tblGrid>
        <w:gridCol w:w="659"/>
        <w:gridCol w:w="2573"/>
        <w:gridCol w:w="881"/>
        <w:gridCol w:w="992"/>
        <w:gridCol w:w="1134"/>
        <w:gridCol w:w="1134"/>
        <w:gridCol w:w="1134"/>
      </w:tblGrid>
      <w:tr>
        <w:tblPrEx>
          <w:tblCellMar>
            <w:top w:w="0" w:type="dxa"/>
            <w:left w:w="108" w:type="dxa"/>
            <w:bottom w:w="0" w:type="dxa"/>
            <w:right w:w="108" w:type="dxa"/>
          </w:tblCellMar>
        </w:tblPrEx>
        <w:trPr>
          <w:trHeight w:val="750" w:hRule="atLeast"/>
          <w:jc w:val="center"/>
        </w:trPr>
        <w:tc>
          <w:tcPr>
            <w:tcW w:w="659" w:type="dxa"/>
            <w:tcBorders>
              <w:top w:val="single" w:color="auto" w:sz="4" w:space="0"/>
              <w:left w:val="single" w:color="auto" w:sz="4" w:space="0"/>
              <w:bottom w:val="nil"/>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序号</w:t>
            </w:r>
          </w:p>
        </w:tc>
        <w:tc>
          <w:tcPr>
            <w:tcW w:w="2573" w:type="dxa"/>
            <w:tcBorders>
              <w:top w:val="single" w:color="auto" w:sz="4" w:space="0"/>
              <w:left w:val="nil"/>
              <w:bottom w:val="nil"/>
              <w:right w:val="single" w:color="auto" w:sz="4" w:space="0"/>
            </w:tcBorders>
            <w:noWrap w:val="0"/>
            <w:vAlign w:val="center"/>
          </w:tcPr>
          <w:p>
            <w:pPr>
              <w:jc w:val="center"/>
              <w:rPr>
                <w:rFonts w:ascii="宋体" w:hAnsi="宋体" w:cs="宋体"/>
                <w:color w:val="000000"/>
                <w:szCs w:val="21"/>
              </w:rPr>
            </w:pPr>
            <w:r>
              <w:rPr>
                <w:rFonts w:hint="eastAsia" w:ascii="宋体" w:hAnsi="宋体"/>
                <w:color w:val="000000"/>
                <w:szCs w:val="21"/>
                <w:shd w:val="clear" w:color="auto" w:fill="FFFFFF"/>
              </w:rPr>
              <w:t>名称、规格、型号</w:t>
            </w:r>
          </w:p>
        </w:tc>
        <w:tc>
          <w:tcPr>
            <w:tcW w:w="881" w:type="dxa"/>
            <w:tcBorders>
              <w:top w:val="single" w:color="auto" w:sz="4" w:space="0"/>
              <w:left w:val="nil"/>
              <w:bottom w:val="nil"/>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单位</w:t>
            </w:r>
          </w:p>
        </w:tc>
        <w:tc>
          <w:tcPr>
            <w:tcW w:w="992" w:type="dxa"/>
            <w:tcBorders>
              <w:top w:val="single" w:color="auto" w:sz="4" w:space="0"/>
              <w:left w:val="nil"/>
              <w:bottom w:val="nil"/>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数量</w:t>
            </w:r>
          </w:p>
        </w:tc>
        <w:tc>
          <w:tcPr>
            <w:tcW w:w="1134"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单价</w:t>
            </w:r>
          </w:p>
        </w:tc>
        <w:tc>
          <w:tcPr>
            <w:tcW w:w="1134"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金额</w:t>
            </w:r>
          </w:p>
        </w:tc>
        <w:tc>
          <w:tcPr>
            <w:tcW w:w="1134" w:type="dxa"/>
            <w:tcBorders>
              <w:top w:val="single" w:color="auto" w:sz="4" w:space="0"/>
              <w:left w:val="nil"/>
              <w:bottom w:val="single" w:color="auto" w:sz="4" w:space="0"/>
              <w:right w:val="single" w:color="auto" w:sz="4" w:space="0"/>
            </w:tcBorders>
            <w:noWrap w:val="0"/>
            <w:vAlign w:val="top"/>
          </w:tcPr>
          <w:p>
            <w:pPr>
              <w:jc w:val="center"/>
              <w:rPr>
                <w:rFonts w:ascii="宋体" w:hAnsi="宋体" w:cs="宋体"/>
                <w:color w:val="000000"/>
                <w:szCs w:val="21"/>
              </w:rPr>
            </w:pPr>
          </w:p>
          <w:p>
            <w:pPr>
              <w:jc w:val="center"/>
              <w:rPr>
                <w:rFonts w:ascii="宋体" w:hAnsi="宋体" w:cs="宋体"/>
                <w:color w:val="000000"/>
                <w:szCs w:val="21"/>
              </w:rPr>
            </w:pPr>
            <w:r>
              <w:rPr>
                <w:rFonts w:hint="eastAsia" w:ascii="宋体" w:hAnsi="宋体" w:cs="宋体"/>
                <w:color w:val="000000"/>
                <w:szCs w:val="21"/>
              </w:rPr>
              <w:t>备注</w:t>
            </w:r>
          </w:p>
        </w:tc>
      </w:tr>
      <w:tr>
        <w:tblPrEx>
          <w:tblCellMar>
            <w:top w:w="0" w:type="dxa"/>
            <w:left w:w="108" w:type="dxa"/>
            <w:bottom w:w="0" w:type="dxa"/>
            <w:right w:w="108" w:type="dxa"/>
          </w:tblCellMar>
        </w:tblPrEx>
        <w:trPr>
          <w:trHeight w:val="660" w:hRule="atLeast"/>
          <w:jc w:val="center"/>
        </w:trPr>
        <w:tc>
          <w:tcPr>
            <w:tcW w:w="65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257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szCs w:val="21"/>
              </w:rPr>
            </w:pPr>
          </w:p>
        </w:tc>
        <w:tc>
          <w:tcPr>
            <w:tcW w:w="881" w:type="dxa"/>
            <w:tcBorders>
              <w:top w:val="single" w:color="auto" w:sz="4" w:space="0"/>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992" w:type="dxa"/>
            <w:tcBorders>
              <w:top w:val="single" w:color="auto" w:sz="4" w:space="0"/>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noWrap w:val="0"/>
            <w:vAlign w:val="top"/>
          </w:tcPr>
          <w:p>
            <w:pPr>
              <w:rPr>
                <w:rFonts w:ascii="宋体" w:hAnsi="宋体" w:cs="宋体"/>
                <w:color w:val="000000"/>
                <w:szCs w:val="21"/>
              </w:rPr>
            </w:pPr>
          </w:p>
        </w:tc>
      </w:tr>
      <w:tr>
        <w:tblPrEx>
          <w:tblCellMar>
            <w:top w:w="0" w:type="dxa"/>
            <w:left w:w="108" w:type="dxa"/>
            <w:bottom w:w="0" w:type="dxa"/>
            <w:right w:w="108" w:type="dxa"/>
          </w:tblCellMar>
        </w:tblPrEx>
        <w:trPr>
          <w:trHeight w:val="660" w:hRule="atLeast"/>
          <w:jc w:val="center"/>
        </w:trPr>
        <w:tc>
          <w:tcPr>
            <w:tcW w:w="659"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1</w:t>
            </w:r>
          </w:p>
        </w:tc>
        <w:tc>
          <w:tcPr>
            <w:tcW w:w="2573" w:type="dxa"/>
            <w:tcBorders>
              <w:top w:val="nil"/>
              <w:left w:val="nil"/>
              <w:bottom w:val="single" w:color="auto" w:sz="4" w:space="0"/>
              <w:right w:val="single" w:color="auto" w:sz="4" w:space="0"/>
            </w:tcBorders>
            <w:noWrap w:val="0"/>
            <w:vAlign w:val="center"/>
          </w:tcPr>
          <w:p>
            <w:pPr>
              <w:jc w:val="center"/>
              <w:rPr>
                <w:rFonts w:ascii="宋体" w:hAnsi="宋体" w:cs="宋体"/>
                <w:color w:val="000000"/>
                <w:szCs w:val="21"/>
              </w:rPr>
            </w:pPr>
          </w:p>
        </w:tc>
        <w:tc>
          <w:tcPr>
            <w:tcW w:w="881"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992"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noWrap w:val="0"/>
            <w:vAlign w:val="top"/>
          </w:tcPr>
          <w:p>
            <w:pPr>
              <w:rPr>
                <w:rFonts w:ascii="宋体" w:hAnsi="宋体" w:cs="宋体"/>
                <w:color w:val="000000"/>
                <w:szCs w:val="21"/>
              </w:rPr>
            </w:pPr>
          </w:p>
        </w:tc>
      </w:tr>
      <w:tr>
        <w:tblPrEx>
          <w:tblCellMar>
            <w:top w:w="0" w:type="dxa"/>
            <w:left w:w="108" w:type="dxa"/>
            <w:bottom w:w="0" w:type="dxa"/>
            <w:right w:w="108" w:type="dxa"/>
          </w:tblCellMar>
        </w:tblPrEx>
        <w:trPr>
          <w:trHeight w:val="660" w:hRule="atLeast"/>
          <w:jc w:val="center"/>
        </w:trPr>
        <w:tc>
          <w:tcPr>
            <w:tcW w:w="659"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2</w:t>
            </w:r>
          </w:p>
        </w:tc>
        <w:tc>
          <w:tcPr>
            <w:tcW w:w="2573" w:type="dxa"/>
            <w:tcBorders>
              <w:top w:val="nil"/>
              <w:left w:val="nil"/>
              <w:bottom w:val="single" w:color="auto" w:sz="4" w:space="0"/>
              <w:right w:val="single" w:color="auto" w:sz="4" w:space="0"/>
            </w:tcBorders>
            <w:noWrap w:val="0"/>
            <w:vAlign w:val="center"/>
          </w:tcPr>
          <w:p>
            <w:pPr>
              <w:jc w:val="center"/>
              <w:rPr>
                <w:rFonts w:ascii="宋体" w:hAnsi="宋体" w:cs="宋体"/>
                <w:color w:val="000000"/>
                <w:szCs w:val="21"/>
              </w:rPr>
            </w:pPr>
          </w:p>
        </w:tc>
        <w:tc>
          <w:tcPr>
            <w:tcW w:w="881"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992"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noWrap w:val="0"/>
            <w:vAlign w:val="top"/>
          </w:tcPr>
          <w:p>
            <w:pPr>
              <w:rPr>
                <w:rFonts w:ascii="宋体" w:hAnsi="宋体" w:cs="宋体"/>
                <w:color w:val="000000"/>
                <w:szCs w:val="21"/>
              </w:rPr>
            </w:pPr>
          </w:p>
        </w:tc>
      </w:tr>
      <w:tr>
        <w:tblPrEx>
          <w:tblCellMar>
            <w:top w:w="0" w:type="dxa"/>
            <w:left w:w="108" w:type="dxa"/>
            <w:bottom w:w="0" w:type="dxa"/>
            <w:right w:w="108" w:type="dxa"/>
          </w:tblCellMar>
        </w:tblPrEx>
        <w:trPr>
          <w:trHeight w:val="660" w:hRule="atLeast"/>
          <w:jc w:val="center"/>
        </w:trPr>
        <w:tc>
          <w:tcPr>
            <w:tcW w:w="659"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2573" w:type="dxa"/>
            <w:tcBorders>
              <w:top w:val="nil"/>
              <w:left w:val="nil"/>
              <w:bottom w:val="single" w:color="auto" w:sz="4" w:space="0"/>
              <w:right w:val="single" w:color="auto" w:sz="4" w:space="0"/>
            </w:tcBorders>
            <w:noWrap w:val="0"/>
            <w:vAlign w:val="center"/>
          </w:tcPr>
          <w:p>
            <w:pPr>
              <w:jc w:val="center"/>
              <w:rPr>
                <w:rFonts w:ascii="宋体" w:hAnsi="宋体" w:cs="宋体"/>
                <w:color w:val="000000"/>
                <w:szCs w:val="21"/>
              </w:rPr>
            </w:pPr>
          </w:p>
        </w:tc>
        <w:tc>
          <w:tcPr>
            <w:tcW w:w="881"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p>
        </w:tc>
        <w:tc>
          <w:tcPr>
            <w:tcW w:w="992"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p>
        </w:tc>
        <w:tc>
          <w:tcPr>
            <w:tcW w:w="1134"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p>
        </w:tc>
        <w:tc>
          <w:tcPr>
            <w:tcW w:w="1134"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p>
        </w:tc>
        <w:tc>
          <w:tcPr>
            <w:tcW w:w="1134" w:type="dxa"/>
            <w:tcBorders>
              <w:top w:val="nil"/>
              <w:left w:val="nil"/>
              <w:bottom w:val="single" w:color="auto" w:sz="4" w:space="0"/>
              <w:right w:val="single" w:color="auto" w:sz="4" w:space="0"/>
            </w:tcBorders>
            <w:noWrap w:val="0"/>
            <w:vAlign w:val="top"/>
          </w:tcPr>
          <w:p>
            <w:pPr>
              <w:rPr>
                <w:rFonts w:ascii="宋体" w:hAnsi="宋体" w:cs="宋体"/>
                <w:color w:val="000000"/>
                <w:szCs w:val="21"/>
              </w:rPr>
            </w:pPr>
          </w:p>
        </w:tc>
      </w:tr>
      <w:tr>
        <w:tblPrEx>
          <w:tblCellMar>
            <w:top w:w="0" w:type="dxa"/>
            <w:left w:w="108" w:type="dxa"/>
            <w:bottom w:w="0" w:type="dxa"/>
            <w:right w:w="108" w:type="dxa"/>
          </w:tblCellMar>
        </w:tblPrEx>
        <w:trPr>
          <w:trHeight w:val="660" w:hRule="atLeast"/>
          <w:jc w:val="center"/>
        </w:trPr>
        <w:tc>
          <w:tcPr>
            <w:tcW w:w="659"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2573" w:type="dxa"/>
            <w:tcBorders>
              <w:top w:val="nil"/>
              <w:left w:val="nil"/>
              <w:bottom w:val="single" w:color="auto" w:sz="4" w:space="0"/>
              <w:right w:val="single" w:color="auto" w:sz="4" w:space="0"/>
            </w:tcBorders>
            <w:noWrap w:val="0"/>
            <w:vAlign w:val="center"/>
          </w:tcPr>
          <w:p>
            <w:pPr>
              <w:jc w:val="center"/>
              <w:rPr>
                <w:rFonts w:ascii="宋体" w:hAnsi="宋体" w:cs="宋体"/>
                <w:color w:val="000000"/>
                <w:szCs w:val="21"/>
              </w:rPr>
            </w:pPr>
          </w:p>
        </w:tc>
        <w:tc>
          <w:tcPr>
            <w:tcW w:w="881"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p>
        </w:tc>
        <w:tc>
          <w:tcPr>
            <w:tcW w:w="992"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p>
        </w:tc>
        <w:tc>
          <w:tcPr>
            <w:tcW w:w="1134"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noWrap w:val="0"/>
            <w:vAlign w:val="top"/>
          </w:tcPr>
          <w:p>
            <w:pPr>
              <w:rPr>
                <w:rFonts w:ascii="宋体" w:hAnsi="宋体" w:cs="宋体"/>
                <w:color w:val="000000"/>
                <w:szCs w:val="21"/>
              </w:rPr>
            </w:pPr>
          </w:p>
        </w:tc>
      </w:tr>
      <w:tr>
        <w:tblPrEx>
          <w:tblCellMar>
            <w:top w:w="0" w:type="dxa"/>
            <w:left w:w="108" w:type="dxa"/>
            <w:bottom w:w="0" w:type="dxa"/>
            <w:right w:w="108" w:type="dxa"/>
          </w:tblCellMar>
        </w:tblPrEx>
        <w:trPr>
          <w:trHeight w:val="660" w:hRule="atLeast"/>
          <w:jc w:val="center"/>
        </w:trPr>
        <w:tc>
          <w:tcPr>
            <w:tcW w:w="659"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2573"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p>
        </w:tc>
        <w:tc>
          <w:tcPr>
            <w:tcW w:w="881"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p>
        </w:tc>
        <w:tc>
          <w:tcPr>
            <w:tcW w:w="992"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p>
        </w:tc>
        <w:tc>
          <w:tcPr>
            <w:tcW w:w="1134"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noWrap w:val="0"/>
            <w:vAlign w:val="top"/>
          </w:tcPr>
          <w:p>
            <w:pPr>
              <w:rPr>
                <w:rFonts w:ascii="宋体" w:hAnsi="宋体" w:cs="宋体"/>
                <w:color w:val="000000"/>
                <w:szCs w:val="21"/>
              </w:rPr>
            </w:pPr>
          </w:p>
        </w:tc>
      </w:tr>
      <w:tr>
        <w:tblPrEx>
          <w:tblCellMar>
            <w:top w:w="0" w:type="dxa"/>
            <w:left w:w="108" w:type="dxa"/>
            <w:bottom w:w="0" w:type="dxa"/>
            <w:right w:w="108" w:type="dxa"/>
          </w:tblCellMar>
        </w:tblPrEx>
        <w:trPr>
          <w:trHeight w:val="660" w:hRule="atLeast"/>
          <w:jc w:val="center"/>
        </w:trPr>
        <w:tc>
          <w:tcPr>
            <w:tcW w:w="659"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p>
        </w:tc>
        <w:tc>
          <w:tcPr>
            <w:tcW w:w="2573"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p>
        </w:tc>
        <w:tc>
          <w:tcPr>
            <w:tcW w:w="881"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p>
        </w:tc>
        <w:tc>
          <w:tcPr>
            <w:tcW w:w="992"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p>
        </w:tc>
        <w:tc>
          <w:tcPr>
            <w:tcW w:w="1134"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noWrap w:val="0"/>
            <w:vAlign w:val="top"/>
          </w:tcPr>
          <w:p>
            <w:pPr>
              <w:rPr>
                <w:rFonts w:ascii="宋体" w:hAnsi="宋体" w:cs="宋体"/>
                <w:color w:val="000000"/>
                <w:szCs w:val="21"/>
              </w:rPr>
            </w:pPr>
          </w:p>
        </w:tc>
      </w:tr>
      <w:tr>
        <w:tblPrEx>
          <w:tblCellMar>
            <w:top w:w="0" w:type="dxa"/>
            <w:left w:w="108" w:type="dxa"/>
            <w:bottom w:w="0" w:type="dxa"/>
            <w:right w:w="108" w:type="dxa"/>
          </w:tblCellMar>
        </w:tblPrEx>
        <w:trPr>
          <w:trHeight w:val="660" w:hRule="atLeast"/>
          <w:jc w:val="center"/>
        </w:trPr>
        <w:tc>
          <w:tcPr>
            <w:tcW w:w="659"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color w:val="000000"/>
                <w:szCs w:val="21"/>
              </w:rPr>
            </w:pPr>
            <w:r>
              <w:rPr>
                <w:rFonts w:hint="eastAsia" w:ascii="宋体" w:hAnsi="宋体" w:cs="宋体"/>
                <w:color w:val="000000"/>
                <w:szCs w:val="21"/>
              </w:rPr>
              <w:t>　</w:t>
            </w:r>
          </w:p>
        </w:tc>
        <w:tc>
          <w:tcPr>
            <w:tcW w:w="2573"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881"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992" w:type="dxa"/>
            <w:tcBorders>
              <w:top w:val="single" w:color="auto" w:sz="4" w:space="0"/>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noWrap w:val="0"/>
            <w:vAlign w:val="center"/>
          </w:tcPr>
          <w:p>
            <w:pPr>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noWrap w:val="0"/>
            <w:vAlign w:val="top"/>
          </w:tcPr>
          <w:p>
            <w:pPr>
              <w:rPr>
                <w:rFonts w:ascii="宋体" w:hAnsi="宋体" w:cs="宋体"/>
                <w:color w:val="000000"/>
                <w:szCs w:val="21"/>
              </w:rPr>
            </w:pPr>
          </w:p>
        </w:tc>
      </w:tr>
    </w:tbl>
    <w:p>
      <w:pPr>
        <w:widowControl/>
        <w:jc w:val="left"/>
        <w:rPr>
          <w:rFonts w:ascii="宋体" w:hAnsi="宋体"/>
          <w:color w:val="000000"/>
          <w:szCs w:val="21"/>
        </w:rPr>
      </w:pPr>
      <w:r>
        <w:rPr>
          <w:rFonts w:hint="eastAsia" w:ascii="宋体" w:hAnsi="宋体"/>
          <w:color w:val="000000"/>
          <w:szCs w:val="21"/>
        </w:rPr>
        <w:t>备注：如材料设备价格为暂估的，在备注栏注明为“暂估价”。</w:t>
      </w:r>
    </w:p>
    <w:p>
      <w:pPr>
        <w:jc w:val="center"/>
        <w:rPr>
          <w:rFonts w:ascii="宋体" w:hAnsi="宋体"/>
          <w:color w:val="000000"/>
          <w:szCs w:val="21"/>
        </w:rPr>
      </w:pPr>
    </w:p>
    <w:p>
      <w:pPr>
        <w:ind w:firstLine="420" w:firstLineChars="200"/>
        <w:rPr>
          <w:rFonts w:hint="eastAsia" w:ascii="宋体" w:hAnsi="宋体"/>
          <w:color w:val="000000"/>
          <w:szCs w:val="21"/>
        </w:rPr>
      </w:pPr>
    </w:p>
    <w:p>
      <w:pPr>
        <w:ind w:firstLine="420" w:firstLineChars="200"/>
        <w:rPr>
          <w:rFonts w:hint="eastAsia" w:ascii="宋体" w:hAnsi="宋体"/>
          <w:color w:val="000000"/>
          <w:szCs w:val="21"/>
        </w:rPr>
      </w:pPr>
    </w:p>
    <w:p>
      <w:pPr>
        <w:ind w:firstLine="420" w:firstLineChars="200"/>
        <w:rPr>
          <w:rFonts w:hint="eastAsia" w:ascii="宋体" w:hAnsi="宋体"/>
          <w:color w:val="000000"/>
          <w:szCs w:val="21"/>
        </w:rPr>
      </w:pPr>
    </w:p>
    <w:p>
      <w:pPr>
        <w:ind w:firstLine="420" w:firstLineChars="200"/>
        <w:rPr>
          <w:rFonts w:hint="eastAsia" w:ascii="宋体" w:hAnsi="宋体"/>
          <w:color w:val="000000"/>
          <w:szCs w:val="21"/>
        </w:rPr>
      </w:pPr>
    </w:p>
    <w:p>
      <w:pPr>
        <w:ind w:firstLine="420" w:firstLineChars="200"/>
        <w:rPr>
          <w:rFonts w:hint="eastAsia" w:ascii="宋体" w:hAnsi="宋体"/>
          <w:color w:val="000000"/>
          <w:szCs w:val="21"/>
        </w:rPr>
      </w:pPr>
    </w:p>
    <w:p>
      <w:pPr>
        <w:ind w:firstLine="420" w:firstLineChars="200"/>
        <w:rPr>
          <w:rFonts w:hint="eastAsia" w:ascii="宋体" w:hAnsi="宋体"/>
          <w:color w:val="000000"/>
          <w:szCs w:val="21"/>
        </w:rPr>
      </w:pPr>
    </w:p>
    <w:p>
      <w:pPr>
        <w:ind w:firstLine="420" w:firstLineChars="200"/>
        <w:rPr>
          <w:rFonts w:hint="eastAsia" w:ascii="宋体" w:hAnsi="宋体"/>
          <w:color w:val="000000"/>
          <w:szCs w:val="21"/>
        </w:rPr>
      </w:pPr>
    </w:p>
    <w:p>
      <w:pPr>
        <w:ind w:firstLine="420" w:firstLineChars="200"/>
        <w:rPr>
          <w:rFonts w:hint="eastAsia" w:ascii="宋体" w:hAnsi="宋体"/>
          <w:color w:val="000000"/>
          <w:szCs w:val="21"/>
        </w:rPr>
      </w:pPr>
    </w:p>
    <w:p>
      <w:pPr>
        <w:ind w:firstLine="420" w:firstLineChars="200"/>
        <w:rPr>
          <w:rFonts w:hint="eastAsia" w:ascii="宋体" w:hAnsi="宋体"/>
          <w:color w:val="000000"/>
          <w:szCs w:val="21"/>
        </w:rPr>
      </w:pPr>
    </w:p>
    <w:p>
      <w:pPr>
        <w:ind w:firstLine="420" w:firstLineChars="200"/>
        <w:rPr>
          <w:rFonts w:hint="eastAsia" w:ascii="宋体" w:hAnsi="宋体"/>
          <w:color w:val="000000"/>
          <w:szCs w:val="21"/>
        </w:rPr>
      </w:pPr>
    </w:p>
    <w:p>
      <w:pPr>
        <w:ind w:firstLine="420" w:firstLineChars="200"/>
        <w:rPr>
          <w:rFonts w:hint="eastAsia" w:ascii="宋体" w:hAnsi="宋体"/>
          <w:color w:val="000000"/>
          <w:szCs w:val="21"/>
        </w:rPr>
      </w:pPr>
    </w:p>
    <w:p>
      <w:pPr>
        <w:ind w:firstLine="420" w:firstLineChars="200"/>
        <w:rPr>
          <w:rFonts w:hint="eastAsia" w:ascii="宋体" w:hAnsi="宋体"/>
          <w:color w:val="000000"/>
          <w:szCs w:val="21"/>
        </w:rPr>
      </w:pPr>
    </w:p>
    <w:p>
      <w:pPr>
        <w:ind w:firstLine="420" w:firstLineChars="200"/>
        <w:rPr>
          <w:rFonts w:hint="eastAsia" w:ascii="宋体" w:hAnsi="宋体"/>
          <w:color w:val="000000"/>
          <w:szCs w:val="21"/>
        </w:rPr>
      </w:pPr>
    </w:p>
    <w:p>
      <w:pPr>
        <w:ind w:firstLine="420" w:firstLineChars="200"/>
        <w:rPr>
          <w:rFonts w:hint="eastAsia" w:ascii="宋体" w:hAnsi="宋体"/>
          <w:color w:val="000000"/>
          <w:szCs w:val="21"/>
        </w:rPr>
      </w:pPr>
    </w:p>
    <w:p>
      <w:pPr>
        <w:ind w:firstLine="420" w:firstLineChars="200"/>
        <w:rPr>
          <w:rFonts w:hint="eastAsia" w:ascii="宋体" w:hAnsi="宋体"/>
          <w:color w:val="000000"/>
          <w:szCs w:val="21"/>
        </w:rPr>
      </w:pPr>
    </w:p>
    <w:p>
      <w:pPr>
        <w:ind w:firstLine="420" w:firstLineChars="200"/>
        <w:rPr>
          <w:rFonts w:hint="eastAsia" w:ascii="宋体" w:hAnsi="宋体"/>
          <w:color w:val="000000"/>
          <w:szCs w:val="21"/>
        </w:rPr>
      </w:pPr>
    </w:p>
    <w:p>
      <w:pPr>
        <w:ind w:firstLine="420" w:firstLineChars="200"/>
        <w:rPr>
          <w:rFonts w:hint="eastAsia" w:ascii="宋体" w:hAnsi="宋体"/>
          <w:color w:val="000000"/>
          <w:szCs w:val="21"/>
        </w:rPr>
      </w:pPr>
    </w:p>
    <w:p>
      <w:pPr>
        <w:ind w:firstLine="420" w:firstLineChars="200"/>
        <w:rPr>
          <w:rFonts w:hint="eastAsia" w:ascii="宋体" w:hAnsi="宋体"/>
          <w:color w:val="000000"/>
          <w:szCs w:val="21"/>
        </w:rPr>
      </w:pPr>
    </w:p>
    <w:p>
      <w:pPr>
        <w:ind w:firstLine="420" w:firstLineChars="200"/>
        <w:rPr>
          <w:rFonts w:hint="eastAsia" w:ascii="宋体" w:hAnsi="宋体"/>
          <w:color w:val="000000"/>
          <w:szCs w:val="21"/>
        </w:rPr>
      </w:pPr>
    </w:p>
    <w:p>
      <w:pPr>
        <w:ind w:firstLine="420" w:firstLineChars="200"/>
        <w:rPr>
          <w:rFonts w:hint="eastAsia" w:ascii="宋体" w:hAnsi="宋体"/>
          <w:color w:val="000000"/>
          <w:szCs w:val="21"/>
        </w:rPr>
      </w:pPr>
    </w:p>
    <w:p>
      <w:pPr>
        <w:ind w:firstLine="420" w:firstLineChars="200"/>
        <w:rPr>
          <w:rFonts w:hint="eastAsia" w:ascii="宋体" w:hAnsi="宋体"/>
          <w:color w:val="000000"/>
          <w:szCs w:val="21"/>
        </w:rPr>
      </w:pPr>
    </w:p>
    <w:p>
      <w:pPr>
        <w:ind w:firstLine="420" w:firstLineChars="200"/>
        <w:rPr>
          <w:rFonts w:hint="eastAsia" w:ascii="宋体" w:hAnsi="宋体"/>
          <w:color w:val="000000"/>
          <w:szCs w:val="21"/>
        </w:rPr>
      </w:pPr>
      <w:r>
        <w:rPr>
          <w:rFonts w:hint="eastAsia" w:ascii="宋体" w:hAnsi="宋体"/>
          <w:color w:val="000000"/>
          <w:szCs w:val="21"/>
        </w:rPr>
        <w:t>表8  主要材料设备价差调整表（适用于价格指数差额调整法）</w:t>
      </w:r>
    </w:p>
    <w:p>
      <w:pPr>
        <w:pStyle w:val="473"/>
        <w:ind w:right="105"/>
        <w:jc w:val="center"/>
        <w:rPr>
          <w:color w:val="000000"/>
          <w:sz w:val="28"/>
          <w:szCs w:val="28"/>
        </w:rPr>
      </w:pPr>
      <w:r>
        <w:rPr>
          <w:b/>
          <w:color w:val="000000"/>
          <w:sz w:val="28"/>
          <w:szCs w:val="28"/>
        </w:rPr>
        <w:t>允许调整价格的主要材料和工程设备一览表</w:t>
      </w:r>
    </w:p>
    <w:p>
      <w:pPr>
        <w:pStyle w:val="473"/>
        <w:ind w:right="105"/>
        <w:jc w:val="center"/>
        <w:rPr>
          <w:color w:val="000000"/>
          <w:sz w:val="28"/>
          <w:szCs w:val="28"/>
        </w:rPr>
      </w:pPr>
      <w:r>
        <w:rPr>
          <w:color w:val="000000"/>
          <w:sz w:val="28"/>
          <w:szCs w:val="28"/>
        </w:rPr>
        <w:t>（适用于价格指数差额调整法）</w:t>
      </w:r>
    </w:p>
    <w:p>
      <w:pPr>
        <w:rPr>
          <w:rFonts w:hint="eastAsia"/>
          <w:color w:val="000000"/>
          <w:sz w:val="24"/>
        </w:rPr>
      </w:pPr>
      <w:r>
        <w:rPr>
          <w:rFonts w:hint="eastAsia"/>
          <w:color w:val="000000"/>
          <w:sz w:val="24"/>
        </w:rPr>
        <w:t>工程名称：                                              编号：</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503"/>
        <w:gridCol w:w="1339"/>
        <w:gridCol w:w="2058"/>
        <w:gridCol w:w="2274"/>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jc w:val="center"/>
        </w:trPr>
        <w:tc>
          <w:tcPr>
            <w:tcW w:w="652" w:type="dxa"/>
            <w:noWrap w:val="0"/>
            <w:vAlign w:val="center"/>
          </w:tcPr>
          <w:p>
            <w:pPr>
              <w:jc w:val="center"/>
              <w:rPr>
                <w:rFonts w:hint="eastAsia"/>
                <w:color w:val="000000"/>
                <w:szCs w:val="21"/>
              </w:rPr>
            </w:pPr>
            <w:r>
              <w:rPr>
                <w:rFonts w:hint="eastAsia"/>
                <w:color w:val="000000"/>
                <w:szCs w:val="21"/>
              </w:rPr>
              <w:t>序号</w:t>
            </w:r>
          </w:p>
        </w:tc>
        <w:tc>
          <w:tcPr>
            <w:tcW w:w="1503" w:type="dxa"/>
            <w:noWrap w:val="0"/>
            <w:vAlign w:val="center"/>
          </w:tcPr>
          <w:p>
            <w:pPr>
              <w:jc w:val="center"/>
              <w:rPr>
                <w:rFonts w:hint="eastAsia"/>
                <w:color w:val="000000"/>
                <w:szCs w:val="21"/>
              </w:rPr>
            </w:pPr>
            <w:r>
              <w:rPr>
                <w:rFonts w:hint="eastAsia"/>
                <w:color w:val="000000"/>
                <w:szCs w:val="21"/>
              </w:rPr>
              <w:t>名称、规格、型号</w:t>
            </w:r>
          </w:p>
        </w:tc>
        <w:tc>
          <w:tcPr>
            <w:tcW w:w="1339" w:type="dxa"/>
            <w:noWrap w:val="0"/>
            <w:vAlign w:val="center"/>
          </w:tcPr>
          <w:p>
            <w:pPr>
              <w:jc w:val="center"/>
              <w:rPr>
                <w:rFonts w:hint="eastAsia"/>
                <w:color w:val="000000"/>
                <w:szCs w:val="21"/>
              </w:rPr>
            </w:pPr>
            <w:r>
              <w:rPr>
                <w:rFonts w:hint="eastAsia"/>
                <w:color w:val="000000"/>
                <w:szCs w:val="21"/>
              </w:rPr>
              <w:t>变值权重B</w:t>
            </w:r>
          </w:p>
        </w:tc>
        <w:tc>
          <w:tcPr>
            <w:tcW w:w="2058" w:type="dxa"/>
            <w:noWrap w:val="0"/>
            <w:vAlign w:val="center"/>
          </w:tcPr>
          <w:p>
            <w:pPr>
              <w:jc w:val="center"/>
              <w:rPr>
                <w:rFonts w:hint="eastAsia"/>
                <w:color w:val="000000"/>
                <w:szCs w:val="21"/>
              </w:rPr>
            </w:pPr>
            <w:r>
              <w:rPr>
                <w:rFonts w:hint="eastAsia"/>
                <w:color w:val="000000"/>
                <w:szCs w:val="21"/>
              </w:rPr>
              <w:t>基本价格指数Fo</w:t>
            </w:r>
          </w:p>
        </w:tc>
        <w:tc>
          <w:tcPr>
            <w:tcW w:w="2274" w:type="dxa"/>
            <w:noWrap w:val="0"/>
            <w:vAlign w:val="center"/>
          </w:tcPr>
          <w:p>
            <w:pPr>
              <w:jc w:val="center"/>
              <w:rPr>
                <w:rFonts w:hint="eastAsia"/>
                <w:color w:val="000000"/>
                <w:szCs w:val="21"/>
              </w:rPr>
            </w:pPr>
            <w:r>
              <w:rPr>
                <w:rFonts w:hint="eastAsia"/>
                <w:color w:val="000000"/>
                <w:szCs w:val="21"/>
              </w:rPr>
              <w:t>现行价格指数Ft</w:t>
            </w:r>
          </w:p>
        </w:tc>
        <w:tc>
          <w:tcPr>
            <w:tcW w:w="1246" w:type="dxa"/>
            <w:noWrap w:val="0"/>
            <w:vAlign w:val="center"/>
          </w:tcPr>
          <w:p>
            <w:pPr>
              <w:jc w:val="center"/>
              <w:rPr>
                <w:rFonts w:hint="eastAsia"/>
                <w:color w:val="000000"/>
                <w:szCs w:val="21"/>
              </w:rPr>
            </w:pPr>
            <w:r>
              <w:rPr>
                <w:rFonts w:hint="eastAsia"/>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jc w:val="center"/>
        </w:trPr>
        <w:tc>
          <w:tcPr>
            <w:tcW w:w="652" w:type="dxa"/>
            <w:noWrap w:val="0"/>
            <w:vAlign w:val="center"/>
          </w:tcPr>
          <w:p>
            <w:pPr>
              <w:jc w:val="center"/>
              <w:rPr>
                <w:rFonts w:hint="eastAsia"/>
                <w:b/>
                <w:color w:val="000000"/>
                <w:sz w:val="24"/>
              </w:rPr>
            </w:pPr>
          </w:p>
        </w:tc>
        <w:tc>
          <w:tcPr>
            <w:tcW w:w="1503" w:type="dxa"/>
            <w:noWrap w:val="0"/>
            <w:vAlign w:val="center"/>
          </w:tcPr>
          <w:p>
            <w:pPr>
              <w:jc w:val="center"/>
              <w:rPr>
                <w:rFonts w:hint="eastAsia"/>
                <w:b/>
                <w:color w:val="000000"/>
                <w:sz w:val="24"/>
              </w:rPr>
            </w:pPr>
          </w:p>
        </w:tc>
        <w:tc>
          <w:tcPr>
            <w:tcW w:w="1339" w:type="dxa"/>
            <w:noWrap w:val="0"/>
            <w:vAlign w:val="center"/>
          </w:tcPr>
          <w:p>
            <w:pPr>
              <w:jc w:val="center"/>
              <w:rPr>
                <w:rFonts w:hint="eastAsia"/>
                <w:b/>
                <w:color w:val="000000"/>
                <w:sz w:val="24"/>
              </w:rPr>
            </w:pPr>
          </w:p>
        </w:tc>
        <w:tc>
          <w:tcPr>
            <w:tcW w:w="2058" w:type="dxa"/>
            <w:noWrap w:val="0"/>
            <w:vAlign w:val="center"/>
          </w:tcPr>
          <w:p>
            <w:pPr>
              <w:jc w:val="center"/>
              <w:rPr>
                <w:rFonts w:hint="eastAsia"/>
                <w:b/>
                <w:color w:val="000000"/>
                <w:sz w:val="24"/>
              </w:rPr>
            </w:pPr>
          </w:p>
        </w:tc>
        <w:tc>
          <w:tcPr>
            <w:tcW w:w="2274" w:type="dxa"/>
            <w:noWrap w:val="0"/>
            <w:vAlign w:val="center"/>
          </w:tcPr>
          <w:p>
            <w:pPr>
              <w:jc w:val="center"/>
              <w:rPr>
                <w:rFonts w:hint="eastAsia"/>
                <w:b/>
                <w:color w:val="000000"/>
                <w:sz w:val="24"/>
              </w:rPr>
            </w:pPr>
          </w:p>
        </w:tc>
        <w:tc>
          <w:tcPr>
            <w:tcW w:w="124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jc w:val="center"/>
        </w:trPr>
        <w:tc>
          <w:tcPr>
            <w:tcW w:w="652" w:type="dxa"/>
            <w:noWrap w:val="0"/>
            <w:vAlign w:val="center"/>
          </w:tcPr>
          <w:p>
            <w:pPr>
              <w:jc w:val="center"/>
              <w:rPr>
                <w:rFonts w:hint="eastAsia"/>
                <w:b/>
                <w:color w:val="000000"/>
                <w:sz w:val="24"/>
              </w:rPr>
            </w:pPr>
          </w:p>
        </w:tc>
        <w:tc>
          <w:tcPr>
            <w:tcW w:w="1503" w:type="dxa"/>
            <w:noWrap w:val="0"/>
            <w:vAlign w:val="center"/>
          </w:tcPr>
          <w:p>
            <w:pPr>
              <w:jc w:val="center"/>
              <w:rPr>
                <w:rFonts w:hint="eastAsia"/>
                <w:b/>
                <w:color w:val="000000"/>
                <w:sz w:val="24"/>
              </w:rPr>
            </w:pPr>
          </w:p>
        </w:tc>
        <w:tc>
          <w:tcPr>
            <w:tcW w:w="1339" w:type="dxa"/>
            <w:noWrap w:val="0"/>
            <w:vAlign w:val="center"/>
          </w:tcPr>
          <w:p>
            <w:pPr>
              <w:jc w:val="center"/>
              <w:rPr>
                <w:rFonts w:hint="eastAsia"/>
                <w:b/>
                <w:color w:val="000000"/>
                <w:sz w:val="24"/>
              </w:rPr>
            </w:pPr>
          </w:p>
        </w:tc>
        <w:tc>
          <w:tcPr>
            <w:tcW w:w="2058" w:type="dxa"/>
            <w:noWrap w:val="0"/>
            <w:vAlign w:val="center"/>
          </w:tcPr>
          <w:p>
            <w:pPr>
              <w:jc w:val="center"/>
              <w:rPr>
                <w:rFonts w:hint="eastAsia"/>
                <w:b/>
                <w:color w:val="000000"/>
                <w:sz w:val="24"/>
              </w:rPr>
            </w:pPr>
          </w:p>
        </w:tc>
        <w:tc>
          <w:tcPr>
            <w:tcW w:w="2274" w:type="dxa"/>
            <w:noWrap w:val="0"/>
            <w:vAlign w:val="center"/>
          </w:tcPr>
          <w:p>
            <w:pPr>
              <w:jc w:val="center"/>
              <w:rPr>
                <w:rFonts w:hint="eastAsia"/>
                <w:b/>
                <w:color w:val="000000"/>
                <w:sz w:val="24"/>
              </w:rPr>
            </w:pPr>
          </w:p>
        </w:tc>
        <w:tc>
          <w:tcPr>
            <w:tcW w:w="124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jc w:val="center"/>
        </w:trPr>
        <w:tc>
          <w:tcPr>
            <w:tcW w:w="652" w:type="dxa"/>
            <w:noWrap w:val="0"/>
            <w:vAlign w:val="center"/>
          </w:tcPr>
          <w:p>
            <w:pPr>
              <w:jc w:val="center"/>
              <w:rPr>
                <w:rFonts w:hint="eastAsia"/>
                <w:b/>
                <w:color w:val="000000"/>
                <w:sz w:val="24"/>
              </w:rPr>
            </w:pPr>
          </w:p>
        </w:tc>
        <w:tc>
          <w:tcPr>
            <w:tcW w:w="1503" w:type="dxa"/>
            <w:noWrap w:val="0"/>
            <w:vAlign w:val="center"/>
          </w:tcPr>
          <w:p>
            <w:pPr>
              <w:jc w:val="center"/>
              <w:rPr>
                <w:rFonts w:hint="eastAsia"/>
                <w:b/>
                <w:color w:val="000000"/>
                <w:sz w:val="24"/>
              </w:rPr>
            </w:pPr>
          </w:p>
        </w:tc>
        <w:tc>
          <w:tcPr>
            <w:tcW w:w="1339" w:type="dxa"/>
            <w:noWrap w:val="0"/>
            <w:vAlign w:val="center"/>
          </w:tcPr>
          <w:p>
            <w:pPr>
              <w:jc w:val="center"/>
              <w:rPr>
                <w:rFonts w:hint="eastAsia"/>
                <w:b/>
                <w:color w:val="000000"/>
                <w:sz w:val="24"/>
              </w:rPr>
            </w:pPr>
          </w:p>
        </w:tc>
        <w:tc>
          <w:tcPr>
            <w:tcW w:w="2058" w:type="dxa"/>
            <w:noWrap w:val="0"/>
            <w:vAlign w:val="center"/>
          </w:tcPr>
          <w:p>
            <w:pPr>
              <w:jc w:val="center"/>
              <w:rPr>
                <w:rFonts w:hint="eastAsia"/>
                <w:b/>
                <w:color w:val="000000"/>
                <w:sz w:val="24"/>
              </w:rPr>
            </w:pPr>
          </w:p>
        </w:tc>
        <w:tc>
          <w:tcPr>
            <w:tcW w:w="2274" w:type="dxa"/>
            <w:noWrap w:val="0"/>
            <w:vAlign w:val="center"/>
          </w:tcPr>
          <w:p>
            <w:pPr>
              <w:jc w:val="center"/>
              <w:rPr>
                <w:rFonts w:hint="eastAsia"/>
                <w:b/>
                <w:color w:val="000000"/>
                <w:sz w:val="24"/>
              </w:rPr>
            </w:pPr>
          </w:p>
        </w:tc>
        <w:tc>
          <w:tcPr>
            <w:tcW w:w="124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jc w:val="center"/>
        </w:trPr>
        <w:tc>
          <w:tcPr>
            <w:tcW w:w="652" w:type="dxa"/>
            <w:noWrap w:val="0"/>
            <w:vAlign w:val="center"/>
          </w:tcPr>
          <w:p>
            <w:pPr>
              <w:jc w:val="center"/>
              <w:rPr>
                <w:rFonts w:hint="eastAsia"/>
                <w:b/>
                <w:color w:val="000000"/>
                <w:sz w:val="24"/>
              </w:rPr>
            </w:pPr>
          </w:p>
        </w:tc>
        <w:tc>
          <w:tcPr>
            <w:tcW w:w="1503" w:type="dxa"/>
            <w:noWrap w:val="0"/>
            <w:vAlign w:val="center"/>
          </w:tcPr>
          <w:p>
            <w:pPr>
              <w:jc w:val="center"/>
              <w:rPr>
                <w:rFonts w:hint="eastAsia"/>
                <w:b/>
                <w:color w:val="000000"/>
                <w:sz w:val="24"/>
              </w:rPr>
            </w:pPr>
          </w:p>
        </w:tc>
        <w:tc>
          <w:tcPr>
            <w:tcW w:w="1339" w:type="dxa"/>
            <w:noWrap w:val="0"/>
            <w:vAlign w:val="center"/>
          </w:tcPr>
          <w:p>
            <w:pPr>
              <w:jc w:val="center"/>
              <w:rPr>
                <w:rFonts w:hint="eastAsia"/>
                <w:b/>
                <w:color w:val="000000"/>
                <w:sz w:val="24"/>
              </w:rPr>
            </w:pPr>
          </w:p>
        </w:tc>
        <w:tc>
          <w:tcPr>
            <w:tcW w:w="2058" w:type="dxa"/>
            <w:noWrap w:val="0"/>
            <w:vAlign w:val="center"/>
          </w:tcPr>
          <w:p>
            <w:pPr>
              <w:jc w:val="center"/>
              <w:rPr>
                <w:rFonts w:hint="eastAsia"/>
                <w:b/>
                <w:color w:val="000000"/>
                <w:sz w:val="24"/>
              </w:rPr>
            </w:pPr>
          </w:p>
        </w:tc>
        <w:tc>
          <w:tcPr>
            <w:tcW w:w="2274" w:type="dxa"/>
            <w:noWrap w:val="0"/>
            <w:vAlign w:val="center"/>
          </w:tcPr>
          <w:p>
            <w:pPr>
              <w:jc w:val="center"/>
              <w:rPr>
                <w:rFonts w:hint="eastAsia"/>
                <w:b/>
                <w:color w:val="000000"/>
                <w:sz w:val="24"/>
              </w:rPr>
            </w:pPr>
          </w:p>
        </w:tc>
        <w:tc>
          <w:tcPr>
            <w:tcW w:w="124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jc w:val="center"/>
        </w:trPr>
        <w:tc>
          <w:tcPr>
            <w:tcW w:w="652" w:type="dxa"/>
            <w:noWrap w:val="0"/>
            <w:vAlign w:val="center"/>
          </w:tcPr>
          <w:p>
            <w:pPr>
              <w:jc w:val="center"/>
              <w:rPr>
                <w:rFonts w:hint="eastAsia"/>
                <w:b/>
                <w:color w:val="000000"/>
                <w:sz w:val="24"/>
              </w:rPr>
            </w:pPr>
          </w:p>
        </w:tc>
        <w:tc>
          <w:tcPr>
            <w:tcW w:w="1503" w:type="dxa"/>
            <w:noWrap w:val="0"/>
            <w:vAlign w:val="center"/>
          </w:tcPr>
          <w:p>
            <w:pPr>
              <w:jc w:val="center"/>
              <w:rPr>
                <w:rFonts w:hint="eastAsia"/>
                <w:b/>
                <w:color w:val="000000"/>
                <w:sz w:val="24"/>
              </w:rPr>
            </w:pPr>
          </w:p>
        </w:tc>
        <w:tc>
          <w:tcPr>
            <w:tcW w:w="1339" w:type="dxa"/>
            <w:noWrap w:val="0"/>
            <w:vAlign w:val="center"/>
          </w:tcPr>
          <w:p>
            <w:pPr>
              <w:jc w:val="center"/>
              <w:rPr>
                <w:rFonts w:hint="eastAsia"/>
                <w:b/>
                <w:color w:val="000000"/>
                <w:sz w:val="24"/>
              </w:rPr>
            </w:pPr>
          </w:p>
        </w:tc>
        <w:tc>
          <w:tcPr>
            <w:tcW w:w="2058" w:type="dxa"/>
            <w:noWrap w:val="0"/>
            <w:vAlign w:val="center"/>
          </w:tcPr>
          <w:p>
            <w:pPr>
              <w:jc w:val="center"/>
              <w:rPr>
                <w:rFonts w:hint="eastAsia"/>
                <w:b/>
                <w:color w:val="000000"/>
                <w:sz w:val="24"/>
              </w:rPr>
            </w:pPr>
          </w:p>
        </w:tc>
        <w:tc>
          <w:tcPr>
            <w:tcW w:w="2274" w:type="dxa"/>
            <w:noWrap w:val="0"/>
            <w:vAlign w:val="center"/>
          </w:tcPr>
          <w:p>
            <w:pPr>
              <w:jc w:val="center"/>
              <w:rPr>
                <w:rFonts w:hint="eastAsia"/>
                <w:b/>
                <w:color w:val="000000"/>
                <w:sz w:val="24"/>
              </w:rPr>
            </w:pPr>
          </w:p>
        </w:tc>
        <w:tc>
          <w:tcPr>
            <w:tcW w:w="124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jc w:val="center"/>
        </w:trPr>
        <w:tc>
          <w:tcPr>
            <w:tcW w:w="652" w:type="dxa"/>
            <w:noWrap w:val="0"/>
            <w:vAlign w:val="center"/>
          </w:tcPr>
          <w:p>
            <w:pPr>
              <w:jc w:val="center"/>
              <w:rPr>
                <w:rFonts w:hint="eastAsia"/>
                <w:b/>
                <w:color w:val="000000"/>
                <w:sz w:val="24"/>
              </w:rPr>
            </w:pPr>
          </w:p>
        </w:tc>
        <w:tc>
          <w:tcPr>
            <w:tcW w:w="1503" w:type="dxa"/>
            <w:noWrap w:val="0"/>
            <w:vAlign w:val="center"/>
          </w:tcPr>
          <w:p>
            <w:pPr>
              <w:jc w:val="center"/>
              <w:rPr>
                <w:rFonts w:hint="eastAsia"/>
                <w:b/>
                <w:color w:val="000000"/>
                <w:sz w:val="24"/>
              </w:rPr>
            </w:pPr>
          </w:p>
        </w:tc>
        <w:tc>
          <w:tcPr>
            <w:tcW w:w="1339" w:type="dxa"/>
            <w:noWrap w:val="0"/>
            <w:vAlign w:val="center"/>
          </w:tcPr>
          <w:p>
            <w:pPr>
              <w:jc w:val="center"/>
              <w:rPr>
                <w:rFonts w:hint="eastAsia"/>
                <w:b/>
                <w:color w:val="000000"/>
                <w:sz w:val="24"/>
              </w:rPr>
            </w:pPr>
          </w:p>
        </w:tc>
        <w:tc>
          <w:tcPr>
            <w:tcW w:w="2058" w:type="dxa"/>
            <w:noWrap w:val="0"/>
            <w:vAlign w:val="center"/>
          </w:tcPr>
          <w:p>
            <w:pPr>
              <w:jc w:val="center"/>
              <w:rPr>
                <w:rFonts w:hint="eastAsia"/>
                <w:b/>
                <w:color w:val="000000"/>
                <w:sz w:val="24"/>
              </w:rPr>
            </w:pPr>
          </w:p>
        </w:tc>
        <w:tc>
          <w:tcPr>
            <w:tcW w:w="2274" w:type="dxa"/>
            <w:noWrap w:val="0"/>
            <w:vAlign w:val="center"/>
          </w:tcPr>
          <w:p>
            <w:pPr>
              <w:jc w:val="center"/>
              <w:rPr>
                <w:rFonts w:hint="eastAsia"/>
                <w:b/>
                <w:color w:val="000000"/>
                <w:sz w:val="24"/>
              </w:rPr>
            </w:pPr>
          </w:p>
        </w:tc>
        <w:tc>
          <w:tcPr>
            <w:tcW w:w="124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jc w:val="center"/>
        </w:trPr>
        <w:tc>
          <w:tcPr>
            <w:tcW w:w="652" w:type="dxa"/>
            <w:noWrap w:val="0"/>
            <w:vAlign w:val="center"/>
          </w:tcPr>
          <w:p>
            <w:pPr>
              <w:jc w:val="center"/>
              <w:rPr>
                <w:rFonts w:hint="eastAsia"/>
                <w:b/>
                <w:color w:val="000000"/>
                <w:sz w:val="24"/>
              </w:rPr>
            </w:pPr>
          </w:p>
        </w:tc>
        <w:tc>
          <w:tcPr>
            <w:tcW w:w="1503" w:type="dxa"/>
            <w:noWrap w:val="0"/>
            <w:vAlign w:val="center"/>
          </w:tcPr>
          <w:p>
            <w:pPr>
              <w:jc w:val="center"/>
              <w:rPr>
                <w:rFonts w:hint="eastAsia"/>
                <w:b/>
                <w:color w:val="000000"/>
                <w:sz w:val="24"/>
              </w:rPr>
            </w:pPr>
          </w:p>
        </w:tc>
        <w:tc>
          <w:tcPr>
            <w:tcW w:w="1339" w:type="dxa"/>
            <w:noWrap w:val="0"/>
            <w:vAlign w:val="center"/>
          </w:tcPr>
          <w:p>
            <w:pPr>
              <w:jc w:val="center"/>
              <w:rPr>
                <w:rFonts w:hint="eastAsia"/>
                <w:b/>
                <w:color w:val="000000"/>
                <w:sz w:val="24"/>
              </w:rPr>
            </w:pPr>
          </w:p>
        </w:tc>
        <w:tc>
          <w:tcPr>
            <w:tcW w:w="2058" w:type="dxa"/>
            <w:noWrap w:val="0"/>
            <w:vAlign w:val="center"/>
          </w:tcPr>
          <w:p>
            <w:pPr>
              <w:jc w:val="center"/>
              <w:rPr>
                <w:rFonts w:hint="eastAsia"/>
                <w:b/>
                <w:color w:val="000000"/>
                <w:sz w:val="24"/>
              </w:rPr>
            </w:pPr>
          </w:p>
        </w:tc>
        <w:tc>
          <w:tcPr>
            <w:tcW w:w="2274" w:type="dxa"/>
            <w:noWrap w:val="0"/>
            <w:vAlign w:val="center"/>
          </w:tcPr>
          <w:p>
            <w:pPr>
              <w:jc w:val="center"/>
              <w:rPr>
                <w:rFonts w:hint="eastAsia"/>
                <w:b/>
                <w:color w:val="000000"/>
                <w:sz w:val="24"/>
              </w:rPr>
            </w:pPr>
          </w:p>
        </w:tc>
        <w:tc>
          <w:tcPr>
            <w:tcW w:w="124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jc w:val="center"/>
        </w:trPr>
        <w:tc>
          <w:tcPr>
            <w:tcW w:w="652" w:type="dxa"/>
            <w:noWrap w:val="0"/>
            <w:vAlign w:val="center"/>
          </w:tcPr>
          <w:p>
            <w:pPr>
              <w:jc w:val="center"/>
              <w:rPr>
                <w:rFonts w:hint="eastAsia"/>
                <w:b/>
                <w:color w:val="000000"/>
                <w:sz w:val="24"/>
              </w:rPr>
            </w:pPr>
          </w:p>
        </w:tc>
        <w:tc>
          <w:tcPr>
            <w:tcW w:w="1503" w:type="dxa"/>
            <w:noWrap w:val="0"/>
            <w:vAlign w:val="center"/>
          </w:tcPr>
          <w:p>
            <w:pPr>
              <w:jc w:val="center"/>
              <w:rPr>
                <w:rFonts w:hint="eastAsia"/>
                <w:b/>
                <w:color w:val="000000"/>
                <w:sz w:val="24"/>
              </w:rPr>
            </w:pPr>
          </w:p>
        </w:tc>
        <w:tc>
          <w:tcPr>
            <w:tcW w:w="1339" w:type="dxa"/>
            <w:noWrap w:val="0"/>
            <w:vAlign w:val="center"/>
          </w:tcPr>
          <w:p>
            <w:pPr>
              <w:jc w:val="center"/>
              <w:rPr>
                <w:rFonts w:hint="eastAsia"/>
                <w:b/>
                <w:color w:val="000000"/>
                <w:sz w:val="24"/>
              </w:rPr>
            </w:pPr>
          </w:p>
        </w:tc>
        <w:tc>
          <w:tcPr>
            <w:tcW w:w="2058" w:type="dxa"/>
            <w:noWrap w:val="0"/>
            <w:vAlign w:val="center"/>
          </w:tcPr>
          <w:p>
            <w:pPr>
              <w:jc w:val="center"/>
              <w:rPr>
                <w:rFonts w:hint="eastAsia"/>
                <w:b/>
                <w:color w:val="000000"/>
                <w:sz w:val="24"/>
              </w:rPr>
            </w:pPr>
          </w:p>
        </w:tc>
        <w:tc>
          <w:tcPr>
            <w:tcW w:w="2274" w:type="dxa"/>
            <w:noWrap w:val="0"/>
            <w:vAlign w:val="center"/>
          </w:tcPr>
          <w:p>
            <w:pPr>
              <w:jc w:val="center"/>
              <w:rPr>
                <w:rFonts w:hint="eastAsia"/>
                <w:b/>
                <w:color w:val="000000"/>
                <w:sz w:val="24"/>
              </w:rPr>
            </w:pPr>
          </w:p>
        </w:tc>
        <w:tc>
          <w:tcPr>
            <w:tcW w:w="124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jc w:val="center"/>
        </w:trPr>
        <w:tc>
          <w:tcPr>
            <w:tcW w:w="652" w:type="dxa"/>
            <w:noWrap w:val="0"/>
            <w:vAlign w:val="center"/>
          </w:tcPr>
          <w:p>
            <w:pPr>
              <w:jc w:val="center"/>
              <w:rPr>
                <w:rFonts w:hint="eastAsia"/>
                <w:b/>
                <w:color w:val="000000"/>
                <w:sz w:val="24"/>
              </w:rPr>
            </w:pPr>
          </w:p>
        </w:tc>
        <w:tc>
          <w:tcPr>
            <w:tcW w:w="1503" w:type="dxa"/>
            <w:noWrap w:val="0"/>
            <w:vAlign w:val="center"/>
          </w:tcPr>
          <w:p>
            <w:pPr>
              <w:jc w:val="center"/>
              <w:rPr>
                <w:rFonts w:hint="eastAsia"/>
                <w:b/>
                <w:color w:val="000000"/>
                <w:sz w:val="24"/>
              </w:rPr>
            </w:pPr>
          </w:p>
        </w:tc>
        <w:tc>
          <w:tcPr>
            <w:tcW w:w="1339" w:type="dxa"/>
            <w:noWrap w:val="0"/>
            <w:vAlign w:val="center"/>
          </w:tcPr>
          <w:p>
            <w:pPr>
              <w:jc w:val="center"/>
              <w:rPr>
                <w:rFonts w:hint="eastAsia"/>
                <w:b/>
                <w:color w:val="000000"/>
                <w:sz w:val="24"/>
              </w:rPr>
            </w:pPr>
          </w:p>
        </w:tc>
        <w:tc>
          <w:tcPr>
            <w:tcW w:w="2058" w:type="dxa"/>
            <w:noWrap w:val="0"/>
            <w:vAlign w:val="center"/>
          </w:tcPr>
          <w:p>
            <w:pPr>
              <w:jc w:val="center"/>
              <w:rPr>
                <w:rFonts w:hint="eastAsia"/>
                <w:b/>
                <w:color w:val="000000"/>
                <w:sz w:val="24"/>
              </w:rPr>
            </w:pPr>
          </w:p>
        </w:tc>
        <w:tc>
          <w:tcPr>
            <w:tcW w:w="2274" w:type="dxa"/>
            <w:noWrap w:val="0"/>
            <w:vAlign w:val="center"/>
          </w:tcPr>
          <w:p>
            <w:pPr>
              <w:jc w:val="center"/>
              <w:rPr>
                <w:rFonts w:hint="eastAsia"/>
                <w:b/>
                <w:color w:val="000000"/>
                <w:sz w:val="24"/>
              </w:rPr>
            </w:pPr>
          </w:p>
        </w:tc>
        <w:tc>
          <w:tcPr>
            <w:tcW w:w="124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jc w:val="center"/>
        </w:trPr>
        <w:tc>
          <w:tcPr>
            <w:tcW w:w="652" w:type="dxa"/>
            <w:noWrap w:val="0"/>
            <w:vAlign w:val="center"/>
          </w:tcPr>
          <w:p>
            <w:pPr>
              <w:jc w:val="center"/>
              <w:rPr>
                <w:rFonts w:hint="eastAsia"/>
                <w:b/>
                <w:color w:val="000000"/>
                <w:sz w:val="24"/>
              </w:rPr>
            </w:pPr>
          </w:p>
        </w:tc>
        <w:tc>
          <w:tcPr>
            <w:tcW w:w="1503" w:type="dxa"/>
            <w:noWrap w:val="0"/>
            <w:vAlign w:val="center"/>
          </w:tcPr>
          <w:p>
            <w:pPr>
              <w:jc w:val="center"/>
              <w:rPr>
                <w:rFonts w:hint="eastAsia"/>
                <w:b/>
                <w:color w:val="000000"/>
                <w:sz w:val="24"/>
              </w:rPr>
            </w:pPr>
          </w:p>
        </w:tc>
        <w:tc>
          <w:tcPr>
            <w:tcW w:w="1339" w:type="dxa"/>
            <w:noWrap w:val="0"/>
            <w:vAlign w:val="center"/>
          </w:tcPr>
          <w:p>
            <w:pPr>
              <w:jc w:val="center"/>
              <w:rPr>
                <w:rFonts w:hint="eastAsia"/>
                <w:b/>
                <w:color w:val="000000"/>
                <w:sz w:val="24"/>
              </w:rPr>
            </w:pPr>
          </w:p>
        </w:tc>
        <w:tc>
          <w:tcPr>
            <w:tcW w:w="2058" w:type="dxa"/>
            <w:noWrap w:val="0"/>
            <w:vAlign w:val="center"/>
          </w:tcPr>
          <w:p>
            <w:pPr>
              <w:jc w:val="center"/>
              <w:rPr>
                <w:rFonts w:hint="eastAsia"/>
                <w:b/>
                <w:color w:val="000000"/>
                <w:sz w:val="24"/>
              </w:rPr>
            </w:pPr>
          </w:p>
        </w:tc>
        <w:tc>
          <w:tcPr>
            <w:tcW w:w="2274" w:type="dxa"/>
            <w:noWrap w:val="0"/>
            <w:vAlign w:val="center"/>
          </w:tcPr>
          <w:p>
            <w:pPr>
              <w:jc w:val="center"/>
              <w:rPr>
                <w:rFonts w:hint="eastAsia"/>
                <w:b/>
                <w:color w:val="000000"/>
                <w:sz w:val="24"/>
              </w:rPr>
            </w:pPr>
          </w:p>
        </w:tc>
        <w:tc>
          <w:tcPr>
            <w:tcW w:w="124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jc w:val="center"/>
        </w:trPr>
        <w:tc>
          <w:tcPr>
            <w:tcW w:w="652" w:type="dxa"/>
            <w:noWrap w:val="0"/>
            <w:vAlign w:val="center"/>
          </w:tcPr>
          <w:p>
            <w:pPr>
              <w:jc w:val="center"/>
              <w:rPr>
                <w:rFonts w:hint="eastAsia"/>
                <w:b/>
                <w:color w:val="000000"/>
                <w:sz w:val="24"/>
              </w:rPr>
            </w:pPr>
          </w:p>
        </w:tc>
        <w:tc>
          <w:tcPr>
            <w:tcW w:w="1503" w:type="dxa"/>
            <w:noWrap w:val="0"/>
            <w:vAlign w:val="center"/>
          </w:tcPr>
          <w:p>
            <w:pPr>
              <w:jc w:val="center"/>
              <w:rPr>
                <w:rFonts w:hint="eastAsia"/>
                <w:b/>
                <w:color w:val="000000"/>
                <w:sz w:val="24"/>
              </w:rPr>
            </w:pPr>
          </w:p>
        </w:tc>
        <w:tc>
          <w:tcPr>
            <w:tcW w:w="1339" w:type="dxa"/>
            <w:noWrap w:val="0"/>
            <w:vAlign w:val="center"/>
          </w:tcPr>
          <w:p>
            <w:pPr>
              <w:jc w:val="center"/>
              <w:rPr>
                <w:rFonts w:hint="eastAsia"/>
                <w:b/>
                <w:color w:val="000000"/>
                <w:sz w:val="24"/>
              </w:rPr>
            </w:pPr>
          </w:p>
        </w:tc>
        <w:tc>
          <w:tcPr>
            <w:tcW w:w="2058" w:type="dxa"/>
            <w:noWrap w:val="0"/>
            <w:vAlign w:val="center"/>
          </w:tcPr>
          <w:p>
            <w:pPr>
              <w:jc w:val="center"/>
              <w:rPr>
                <w:rFonts w:hint="eastAsia"/>
                <w:b/>
                <w:color w:val="000000"/>
                <w:sz w:val="24"/>
              </w:rPr>
            </w:pPr>
          </w:p>
        </w:tc>
        <w:tc>
          <w:tcPr>
            <w:tcW w:w="2274" w:type="dxa"/>
            <w:noWrap w:val="0"/>
            <w:vAlign w:val="center"/>
          </w:tcPr>
          <w:p>
            <w:pPr>
              <w:jc w:val="center"/>
              <w:rPr>
                <w:rFonts w:hint="eastAsia"/>
                <w:b/>
                <w:color w:val="000000"/>
                <w:sz w:val="24"/>
              </w:rPr>
            </w:pPr>
          </w:p>
        </w:tc>
        <w:tc>
          <w:tcPr>
            <w:tcW w:w="124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jc w:val="center"/>
        </w:trPr>
        <w:tc>
          <w:tcPr>
            <w:tcW w:w="652" w:type="dxa"/>
            <w:noWrap w:val="0"/>
            <w:vAlign w:val="center"/>
          </w:tcPr>
          <w:p>
            <w:pPr>
              <w:jc w:val="center"/>
              <w:rPr>
                <w:rFonts w:hint="eastAsia"/>
                <w:b/>
                <w:color w:val="000000"/>
                <w:sz w:val="24"/>
              </w:rPr>
            </w:pPr>
          </w:p>
        </w:tc>
        <w:tc>
          <w:tcPr>
            <w:tcW w:w="1503" w:type="dxa"/>
            <w:noWrap w:val="0"/>
            <w:vAlign w:val="center"/>
          </w:tcPr>
          <w:p>
            <w:pPr>
              <w:jc w:val="center"/>
              <w:rPr>
                <w:rFonts w:hint="eastAsia"/>
                <w:b/>
                <w:color w:val="000000"/>
                <w:sz w:val="24"/>
              </w:rPr>
            </w:pPr>
          </w:p>
        </w:tc>
        <w:tc>
          <w:tcPr>
            <w:tcW w:w="1339" w:type="dxa"/>
            <w:noWrap w:val="0"/>
            <w:vAlign w:val="center"/>
          </w:tcPr>
          <w:p>
            <w:pPr>
              <w:jc w:val="center"/>
              <w:rPr>
                <w:rFonts w:hint="eastAsia"/>
                <w:b/>
                <w:color w:val="000000"/>
                <w:sz w:val="24"/>
              </w:rPr>
            </w:pPr>
          </w:p>
        </w:tc>
        <w:tc>
          <w:tcPr>
            <w:tcW w:w="2058" w:type="dxa"/>
            <w:noWrap w:val="0"/>
            <w:vAlign w:val="center"/>
          </w:tcPr>
          <w:p>
            <w:pPr>
              <w:jc w:val="center"/>
              <w:rPr>
                <w:rFonts w:hint="eastAsia"/>
                <w:b/>
                <w:color w:val="000000"/>
                <w:sz w:val="24"/>
              </w:rPr>
            </w:pPr>
          </w:p>
        </w:tc>
        <w:tc>
          <w:tcPr>
            <w:tcW w:w="2274" w:type="dxa"/>
            <w:noWrap w:val="0"/>
            <w:vAlign w:val="center"/>
          </w:tcPr>
          <w:p>
            <w:pPr>
              <w:jc w:val="center"/>
              <w:rPr>
                <w:rFonts w:hint="eastAsia"/>
                <w:b/>
                <w:color w:val="000000"/>
                <w:sz w:val="24"/>
              </w:rPr>
            </w:pPr>
          </w:p>
        </w:tc>
        <w:tc>
          <w:tcPr>
            <w:tcW w:w="124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jc w:val="center"/>
        </w:trPr>
        <w:tc>
          <w:tcPr>
            <w:tcW w:w="652" w:type="dxa"/>
            <w:noWrap w:val="0"/>
            <w:vAlign w:val="center"/>
          </w:tcPr>
          <w:p>
            <w:pPr>
              <w:jc w:val="center"/>
              <w:rPr>
                <w:rFonts w:hint="eastAsia"/>
                <w:b/>
                <w:color w:val="000000"/>
                <w:sz w:val="24"/>
              </w:rPr>
            </w:pPr>
          </w:p>
        </w:tc>
        <w:tc>
          <w:tcPr>
            <w:tcW w:w="1503" w:type="dxa"/>
            <w:noWrap w:val="0"/>
            <w:vAlign w:val="center"/>
          </w:tcPr>
          <w:p>
            <w:pPr>
              <w:jc w:val="center"/>
              <w:rPr>
                <w:rFonts w:hint="eastAsia"/>
                <w:b/>
                <w:color w:val="000000"/>
                <w:sz w:val="24"/>
              </w:rPr>
            </w:pPr>
          </w:p>
        </w:tc>
        <w:tc>
          <w:tcPr>
            <w:tcW w:w="1339" w:type="dxa"/>
            <w:noWrap w:val="0"/>
            <w:vAlign w:val="center"/>
          </w:tcPr>
          <w:p>
            <w:pPr>
              <w:jc w:val="center"/>
              <w:rPr>
                <w:rFonts w:hint="eastAsia"/>
                <w:b/>
                <w:color w:val="000000"/>
                <w:sz w:val="24"/>
              </w:rPr>
            </w:pPr>
          </w:p>
        </w:tc>
        <w:tc>
          <w:tcPr>
            <w:tcW w:w="2058" w:type="dxa"/>
            <w:noWrap w:val="0"/>
            <w:vAlign w:val="center"/>
          </w:tcPr>
          <w:p>
            <w:pPr>
              <w:jc w:val="center"/>
              <w:rPr>
                <w:rFonts w:hint="eastAsia"/>
                <w:b/>
                <w:color w:val="000000"/>
                <w:sz w:val="24"/>
              </w:rPr>
            </w:pPr>
          </w:p>
        </w:tc>
        <w:tc>
          <w:tcPr>
            <w:tcW w:w="2274" w:type="dxa"/>
            <w:noWrap w:val="0"/>
            <w:vAlign w:val="center"/>
          </w:tcPr>
          <w:p>
            <w:pPr>
              <w:jc w:val="center"/>
              <w:rPr>
                <w:rFonts w:hint="eastAsia"/>
                <w:b/>
                <w:color w:val="000000"/>
                <w:szCs w:val="21"/>
              </w:rPr>
            </w:pPr>
          </w:p>
        </w:tc>
        <w:tc>
          <w:tcPr>
            <w:tcW w:w="124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jc w:val="center"/>
        </w:trPr>
        <w:tc>
          <w:tcPr>
            <w:tcW w:w="652" w:type="dxa"/>
            <w:noWrap w:val="0"/>
            <w:vAlign w:val="center"/>
          </w:tcPr>
          <w:p>
            <w:pPr>
              <w:jc w:val="center"/>
              <w:rPr>
                <w:rFonts w:hint="eastAsia"/>
                <w:b/>
                <w:color w:val="000000"/>
                <w:sz w:val="24"/>
              </w:rPr>
            </w:pPr>
          </w:p>
        </w:tc>
        <w:tc>
          <w:tcPr>
            <w:tcW w:w="1503" w:type="dxa"/>
            <w:noWrap w:val="0"/>
            <w:vAlign w:val="center"/>
          </w:tcPr>
          <w:p>
            <w:pPr>
              <w:jc w:val="center"/>
              <w:rPr>
                <w:rFonts w:hint="eastAsia"/>
                <w:b/>
                <w:color w:val="000000"/>
                <w:sz w:val="24"/>
              </w:rPr>
            </w:pPr>
          </w:p>
        </w:tc>
        <w:tc>
          <w:tcPr>
            <w:tcW w:w="1339" w:type="dxa"/>
            <w:noWrap w:val="0"/>
            <w:vAlign w:val="center"/>
          </w:tcPr>
          <w:p>
            <w:pPr>
              <w:jc w:val="center"/>
              <w:rPr>
                <w:rFonts w:hint="eastAsia"/>
                <w:b/>
                <w:color w:val="000000"/>
                <w:sz w:val="24"/>
              </w:rPr>
            </w:pPr>
          </w:p>
        </w:tc>
        <w:tc>
          <w:tcPr>
            <w:tcW w:w="2058" w:type="dxa"/>
            <w:noWrap w:val="0"/>
            <w:vAlign w:val="center"/>
          </w:tcPr>
          <w:p>
            <w:pPr>
              <w:jc w:val="center"/>
              <w:rPr>
                <w:rFonts w:hint="eastAsia"/>
                <w:b/>
                <w:color w:val="000000"/>
                <w:sz w:val="24"/>
              </w:rPr>
            </w:pPr>
          </w:p>
        </w:tc>
        <w:tc>
          <w:tcPr>
            <w:tcW w:w="2274" w:type="dxa"/>
            <w:noWrap w:val="0"/>
            <w:vAlign w:val="center"/>
          </w:tcPr>
          <w:p>
            <w:pPr>
              <w:jc w:val="center"/>
              <w:rPr>
                <w:rFonts w:hint="eastAsia"/>
                <w:b/>
                <w:color w:val="000000"/>
                <w:szCs w:val="21"/>
              </w:rPr>
            </w:pPr>
          </w:p>
        </w:tc>
        <w:tc>
          <w:tcPr>
            <w:tcW w:w="124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jc w:val="center"/>
        </w:trPr>
        <w:tc>
          <w:tcPr>
            <w:tcW w:w="652" w:type="dxa"/>
            <w:noWrap w:val="0"/>
            <w:vAlign w:val="center"/>
          </w:tcPr>
          <w:p>
            <w:pPr>
              <w:jc w:val="center"/>
              <w:rPr>
                <w:rFonts w:hint="eastAsia"/>
                <w:b/>
                <w:color w:val="000000"/>
                <w:sz w:val="24"/>
              </w:rPr>
            </w:pPr>
          </w:p>
        </w:tc>
        <w:tc>
          <w:tcPr>
            <w:tcW w:w="1503" w:type="dxa"/>
            <w:noWrap w:val="0"/>
            <w:vAlign w:val="center"/>
          </w:tcPr>
          <w:p>
            <w:pPr>
              <w:jc w:val="center"/>
              <w:rPr>
                <w:rFonts w:hint="eastAsia"/>
                <w:color w:val="000000"/>
                <w:szCs w:val="21"/>
              </w:rPr>
            </w:pPr>
            <w:r>
              <w:rPr>
                <w:rFonts w:hint="eastAsia"/>
                <w:color w:val="000000"/>
                <w:szCs w:val="21"/>
              </w:rPr>
              <w:t>定值权重A</w:t>
            </w:r>
          </w:p>
        </w:tc>
        <w:tc>
          <w:tcPr>
            <w:tcW w:w="1339" w:type="dxa"/>
            <w:noWrap w:val="0"/>
            <w:vAlign w:val="center"/>
          </w:tcPr>
          <w:p>
            <w:pPr>
              <w:jc w:val="center"/>
              <w:rPr>
                <w:rFonts w:hint="eastAsia"/>
                <w:color w:val="000000"/>
                <w:szCs w:val="21"/>
              </w:rPr>
            </w:pPr>
          </w:p>
        </w:tc>
        <w:tc>
          <w:tcPr>
            <w:tcW w:w="2058" w:type="dxa"/>
            <w:noWrap w:val="0"/>
            <w:vAlign w:val="center"/>
          </w:tcPr>
          <w:p>
            <w:pPr>
              <w:jc w:val="center"/>
              <w:rPr>
                <w:rFonts w:hint="eastAsia"/>
                <w:b/>
                <w:color w:val="000000"/>
                <w:sz w:val="24"/>
              </w:rPr>
            </w:pPr>
            <w:r>
              <w:rPr>
                <w:rFonts w:hint="eastAsia"/>
                <w:b/>
                <w:color w:val="000000"/>
                <w:sz w:val="24"/>
              </w:rPr>
              <w:t>—</w:t>
            </w:r>
          </w:p>
        </w:tc>
        <w:tc>
          <w:tcPr>
            <w:tcW w:w="2274" w:type="dxa"/>
            <w:noWrap w:val="0"/>
            <w:vAlign w:val="center"/>
          </w:tcPr>
          <w:p>
            <w:pPr>
              <w:jc w:val="center"/>
              <w:rPr>
                <w:rFonts w:hint="eastAsia"/>
                <w:b/>
                <w:color w:val="000000"/>
                <w:sz w:val="24"/>
              </w:rPr>
            </w:pPr>
            <w:r>
              <w:rPr>
                <w:rFonts w:hint="eastAsia"/>
                <w:b/>
                <w:color w:val="000000"/>
                <w:sz w:val="24"/>
              </w:rPr>
              <w:t>—</w:t>
            </w:r>
          </w:p>
        </w:tc>
        <w:tc>
          <w:tcPr>
            <w:tcW w:w="1246" w:type="dxa"/>
            <w:noWrap w:val="0"/>
            <w:vAlign w:val="center"/>
          </w:tcPr>
          <w:p>
            <w:pPr>
              <w:jc w:val="center"/>
              <w:rPr>
                <w:rFonts w:hint="eastAsia"/>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jc w:val="center"/>
        </w:trPr>
        <w:tc>
          <w:tcPr>
            <w:tcW w:w="652" w:type="dxa"/>
            <w:noWrap w:val="0"/>
            <w:vAlign w:val="center"/>
          </w:tcPr>
          <w:p>
            <w:pPr>
              <w:jc w:val="center"/>
              <w:rPr>
                <w:rFonts w:hint="eastAsia"/>
                <w:b/>
                <w:color w:val="000000"/>
                <w:sz w:val="24"/>
              </w:rPr>
            </w:pPr>
          </w:p>
        </w:tc>
        <w:tc>
          <w:tcPr>
            <w:tcW w:w="1503" w:type="dxa"/>
            <w:noWrap w:val="0"/>
            <w:vAlign w:val="center"/>
          </w:tcPr>
          <w:p>
            <w:pPr>
              <w:jc w:val="center"/>
              <w:rPr>
                <w:rFonts w:hint="eastAsia"/>
                <w:color w:val="000000"/>
                <w:szCs w:val="21"/>
              </w:rPr>
            </w:pPr>
            <w:r>
              <w:rPr>
                <w:rFonts w:hint="eastAsia"/>
                <w:color w:val="000000"/>
                <w:szCs w:val="21"/>
              </w:rPr>
              <w:t>合计</w:t>
            </w:r>
          </w:p>
        </w:tc>
        <w:tc>
          <w:tcPr>
            <w:tcW w:w="1339" w:type="dxa"/>
            <w:noWrap w:val="0"/>
            <w:vAlign w:val="center"/>
          </w:tcPr>
          <w:p>
            <w:pPr>
              <w:jc w:val="center"/>
              <w:rPr>
                <w:rFonts w:hint="eastAsia"/>
                <w:color w:val="000000"/>
                <w:szCs w:val="21"/>
              </w:rPr>
            </w:pPr>
            <w:r>
              <w:rPr>
                <w:rFonts w:hint="eastAsia"/>
                <w:color w:val="000000"/>
                <w:szCs w:val="21"/>
              </w:rPr>
              <w:t>1</w:t>
            </w:r>
          </w:p>
        </w:tc>
        <w:tc>
          <w:tcPr>
            <w:tcW w:w="2058" w:type="dxa"/>
            <w:noWrap w:val="0"/>
            <w:vAlign w:val="center"/>
          </w:tcPr>
          <w:p>
            <w:pPr>
              <w:jc w:val="center"/>
              <w:rPr>
                <w:rFonts w:hint="eastAsia"/>
                <w:b/>
                <w:color w:val="000000"/>
                <w:sz w:val="24"/>
              </w:rPr>
            </w:pPr>
            <w:r>
              <w:rPr>
                <w:rFonts w:hint="eastAsia"/>
                <w:b/>
                <w:color w:val="000000"/>
                <w:sz w:val="24"/>
              </w:rPr>
              <w:t>—</w:t>
            </w:r>
          </w:p>
        </w:tc>
        <w:tc>
          <w:tcPr>
            <w:tcW w:w="2274" w:type="dxa"/>
            <w:noWrap w:val="0"/>
            <w:vAlign w:val="center"/>
          </w:tcPr>
          <w:p>
            <w:pPr>
              <w:jc w:val="center"/>
              <w:rPr>
                <w:rFonts w:hint="eastAsia"/>
                <w:b/>
                <w:color w:val="000000"/>
                <w:sz w:val="24"/>
              </w:rPr>
            </w:pPr>
            <w:r>
              <w:rPr>
                <w:rFonts w:hint="eastAsia"/>
                <w:b/>
                <w:color w:val="000000"/>
                <w:sz w:val="24"/>
              </w:rPr>
              <w:t>—</w:t>
            </w:r>
          </w:p>
        </w:tc>
        <w:tc>
          <w:tcPr>
            <w:tcW w:w="1246" w:type="dxa"/>
            <w:noWrap w:val="0"/>
            <w:vAlign w:val="center"/>
          </w:tcPr>
          <w:p>
            <w:pPr>
              <w:jc w:val="center"/>
              <w:rPr>
                <w:rFonts w:hint="eastAsia"/>
                <w:b/>
                <w:color w:val="000000"/>
                <w:sz w:val="24"/>
              </w:rPr>
            </w:pPr>
          </w:p>
        </w:tc>
      </w:tr>
    </w:tbl>
    <w:p>
      <w:pPr>
        <w:ind w:left="540" w:hanging="540" w:hangingChars="300"/>
        <w:rPr>
          <w:rFonts w:hint="eastAsia"/>
          <w:color w:val="000000"/>
          <w:sz w:val="18"/>
          <w:szCs w:val="18"/>
        </w:rPr>
      </w:pPr>
      <w:r>
        <w:rPr>
          <w:rFonts w:hint="eastAsia"/>
          <w:color w:val="000000"/>
          <w:sz w:val="18"/>
          <w:szCs w:val="18"/>
        </w:rPr>
        <w:t>注：1、“名称、规格、型号”、“基本价格指数”栏由招标人填写，基本价格指数应首先采用工程造价管理机构发布的价格指数，没有时，可采用发布的价格代替。如人工、机械费也采用本法调整，由招标人在“名称”栏填写。</w:t>
      </w:r>
    </w:p>
    <w:p>
      <w:pPr>
        <w:ind w:left="541" w:leftChars="172" w:hanging="180" w:hangingChars="100"/>
        <w:rPr>
          <w:rFonts w:hint="eastAsia"/>
          <w:color w:val="000000"/>
          <w:sz w:val="18"/>
          <w:szCs w:val="18"/>
        </w:rPr>
      </w:pPr>
      <w:r>
        <w:rPr>
          <w:rFonts w:hint="eastAsia"/>
          <w:color w:val="000000"/>
          <w:sz w:val="18"/>
          <w:szCs w:val="18"/>
        </w:rPr>
        <w:t>2、“变值权重”栏由招标人根据该项人工、机械费和材料、工程设备价值在投标总报价中所占的比例填写，1减去其比例为定值权重。</w:t>
      </w:r>
    </w:p>
    <w:p>
      <w:pPr>
        <w:ind w:left="541" w:leftChars="172" w:hanging="180" w:hangingChars="100"/>
        <w:rPr>
          <w:rFonts w:hint="eastAsia"/>
          <w:color w:val="000000"/>
          <w:sz w:val="18"/>
          <w:szCs w:val="18"/>
        </w:rPr>
      </w:pPr>
      <w:r>
        <w:rPr>
          <w:rFonts w:hint="eastAsia"/>
          <w:color w:val="000000"/>
          <w:sz w:val="18"/>
          <w:szCs w:val="18"/>
        </w:rPr>
        <w:t>3、“现行价格指数”按约定的付款证书相关周期最后一天的前42天的各项价格指数填写，该指数应首先采用工程造价管理机构发布的价格指数，没有时，可采用发布的价格代替。</w:t>
      </w:r>
    </w:p>
    <w:bookmarkEnd w:id="1724"/>
    <w:bookmarkEnd w:id="1725"/>
    <w:p>
      <w:pPr>
        <w:pStyle w:val="2"/>
        <w:numPr>
          <w:ilvl w:val="0"/>
          <w:numId w:val="6"/>
        </w:numPr>
        <w:jc w:val="center"/>
        <w:rPr>
          <w:color w:val="000000"/>
        </w:rPr>
      </w:pPr>
      <w:bookmarkStart w:id="1726" w:name="_Toc419363889"/>
      <w:bookmarkStart w:id="1727" w:name="_Toc419364540"/>
      <w:r>
        <w:rPr>
          <w:rFonts w:hint="eastAsia"/>
          <w:color w:val="000000"/>
        </w:rPr>
        <w:t xml:space="preserve">  </w:t>
      </w:r>
      <w:bookmarkStart w:id="1728" w:name="_Toc59203259"/>
      <w:r>
        <w:rPr>
          <w:rFonts w:hint="eastAsia"/>
          <w:color w:val="000000"/>
        </w:rPr>
        <w:t>投标文件格式</w:t>
      </w:r>
      <w:bookmarkEnd w:id="1719"/>
      <w:bookmarkEnd w:id="1720"/>
      <w:bookmarkEnd w:id="1721"/>
      <w:bookmarkEnd w:id="1722"/>
      <w:bookmarkEnd w:id="1723"/>
      <w:bookmarkEnd w:id="1726"/>
      <w:bookmarkEnd w:id="1727"/>
      <w:bookmarkEnd w:id="1728"/>
    </w:p>
    <w:p>
      <w:pPr>
        <w:spacing w:line="400" w:lineRule="exact"/>
        <w:rPr>
          <w:color w:val="000000"/>
        </w:rPr>
      </w:pPr>
    </w:p>
    <w:p>
      <w:pPr>
        <w:spacing w:line="440" w:lineRule="exact"/>
        <w:rPr>
          <w:rFonts w:eastAsia="黑体"/>
          <w:color w:val="000000"/>
          <w:sz w:val="20"/>
          <w:szCs w:val="20"/>
        </w:rPr>
      </w:pPr>
    </w:p>
    <w:p>
      <w:pPr>
        <w:spacing w:line="440" w:lineRule="exact"/>
        <w:rPr>
          <w:rFonts w:eastAsia="黑体"/>
          <w:color w:val="000000"/>
          <w:sz w:val="20"/>
          <w:szCs w:val="20"/>
        </w:rPr>
      </w:pPr>
    </w:p>
    <w:p>
      <w:pPr>
        <w:jc w:val="center"/>
        <w:rPr>
          <w:color w:val="000000"/>
          <w:sz w:val="28"/>
          <w:szCs w:val="28"/>
        </w:rPr>
      </w:pPr>
      <w:r>
        <w:rPr>
          <w:color w:val="000000"/>
          <w:sz w:val="32"/>
          <w:szCs w:val="32"/>
          <w:u w:val="single"/>
        </w:rPr>
        <w:t xml:space="preserve">             </w:t>
      </w:r>
      <w:r>
        <w:rPr>
          <w:color w:val="000000"/>
          <w:sz w:val="28"/>
          <w:szCs w:val="28"/>
        </w:rPr>
        <w:t>（项目名称）</w:t>
      </w:r>
      <w:r>
        <w:rPr>
          <w:rFonts w:hint="eastAsia"/>
          <w:color w:val="000000"/>
          <w:sz w:val="28"/>
          <w:szCs w:val="28"/>
        </w:rPr>
        <w:t>总承包招标</w:t>
      </w:r>
    </w:p>
    <w:p>
      <w:pPr>
        <w:jc w:val="center"/>
        <w:rPr>
          <w:color w:val="000000"/>
          <w:sz w:val="28"/>
          <w:szCs w:val="28"/>
        </w:rPr>
      </w:pPr>
    </w:p>
    <w:p>
      <w:pPr>
        <w:spacing w:before="240" w:beforeLines="100"/>
        <w:jc w:val="center"/>
        <w:rPr>
          <w:color w:val="000000"/>
          <w:sz w:val="52"/>
          <w:szCs w:val="52"/>
        </w:rPr>
      </w:pPr>
      <w:r>
        <w:rPr>
          <w:color w:val="000000"/>
          <w:sz w:val="52"/>
          <w:szCs w:val="52"/>
        </w:rPr>
        <w:t>投  标  文  件</w:t>
      </w:r>
    </w:p>
    <w:p>
      <w:pPr>
        <w:jc w:val="center"/>
        <w:rPr>
          <w:color w:val="000000"/>
          <w:sz w:val="32"/>
          <w:szCs w:val="32"/>
        </w:rPr>
      </w:pPr>
    </w:p>
    <w:p>
      <w:pPr>
        <w:rPr>
          <w:rFonts w:hint="eastAsia"/>
          <w:color w:val="000000"/>
          <w:sz w:val="32"/>
          <w:szCs w:val="32"/>
        </w:rPr>
      </w:pPr>
    </w:p>
    <w:p>
      <w:pPr>
        <w:jc w:val="center"/>
        <w:rPr>
          <w:color w:val="000000"/>
          <w:sz w:val="32"/>
          <w:szCs w:val="32"/>
        </w:rPr>
      </w:pPr>
    </w:p>
    <w:p>
      <w:pPr>
        <w:spacing w:line="360" w:lineRule="auto"/>
        <w:ind w:firstLine="2380" w:firstLineChars="850"/>
        <w:rPr>
          <w:color w:val="000000"/>
          <w:sz w:val="28"/>
          <w:szCs w:val="28"/>
          <w:u w:val="single"/>
        </w:rPr>
      </w:pPr>
      <w:r>
        <w:rPr>
          <w:color w:val="000000"/>
          <w:sz w:val="28"/>
          <w:szCs w:val="28"/>
        </w:rPr>
        <w:t>项目</w:t>
      </w:r>
      <w:r>
        <w:rPr>
          <w:rFonts w:hint="eastAsia"/>
          <w:color w:val="000000"/>
          <w:sz w:val="28"/>
          <w:szCs w:val="28"/>
        </w:rPr>
        <w:t>招标</w:t>
      </w:r>
      <w:r>
        <w:rPr>
          <w:color w:val="000000"/>
          <w:sz w:val="28"/>
          <w:szCs w:val="28"/>
        </w:rPr>
        <w:t>编号：</w:t>
      </w:r>
      <w:r>
        <w:rPr>
          <w:color w:val="000000"/>
          <w:sz w:val="28"/>
          <w:szCs w:val="28"/>
          <w:u w:val="single"/>
        </w:rPr>
        <w:t xml:space="preserve">                   </w:t>
      </w:r>
    </w:p>
    <w:p>
      <w:pPr>
        <w:jc w:val="center"/>
        <w:rPr>
          <w:color w:val="000000"/>
          <w:sz w:val="32"/>
          <w:szCs w:val="32"/>
        </w:rPr>
      </w:pPr>
    </w:p>
    <w:p>
      <w:pPr>
        <w:rPr>
          <w:rFonts w:hint="eastAsia"/>
          <w:color w:val="000000"/>
          <w:sz w:val="32"/>
          <w:szCs w:val="32"/>
        </w:rPr>
      </w:pPr>
    </w:p>
    <w:p>
      <w:pPr>
        <w:jc w:val="center"/>
        <w:rPr>
          <w:color w:val="000000"/>
          <w:sz w:val="32"/>
          <w:szCs w:val="32"/>
        </w:rPr>
      </w:pPr>
    </w:p>
    <w:p>
      <w:pPr>
        <w:rPr>
          <w:rFonts w:hint="eastAsia"/>
          <w:color w:val="000000"/>
          <w:sz w:val="32"/>
          <w:szCs w:val="32"/>
        </w:rPr>
      </w:pPr>
    </w:p>
    <w:p>
      <w:pPr>
        <w:jc w:val="center"/>
        <w:rPr>
          <w:color w:val="000000"/>
          <w:sz w:val="32"/>
          <w:szCs w:val="32"/>
        </w:rPr>
      </w:pPr>
    </w:p>
    <w:p>
      <w:pPr>
        <w:jc w:val="center"/>
        <w:rPr>
          <w:color w:val="000000"/>
          <w:sz w:val="32"/>
          <w:szCs w:val="32"/>
        </w:rPr>
      </w:pPr>
    </w:p>
    <w:p>
      <w:pPr>
        <w:spacing w:line="360" w:lineRule="auto"/>
        <w:rPr>
          <w:color w:val="000000"/>
          <w:sz w:val="28"/>
          <w:szCs w:val="28"/>
          <w:u w:val="single"/>
        </w:rPr>
      </w:pPr>
      <w:r>
        <w:rPr>
          <w:color w:val="000000"/>
          <w:sz w:val="28"/>
          <w:szCs w:val="28"/>
        </w:rPr>
        <w:t>投标内容：</w:t>
      </w:r>
      <w:r>
        <w:rPr>
          <w:color w:val="000000"/>
          <w:sz w:val="28"/>
          <w:szCs w:val="28"/>
          <w:u w:val="single"/>
        </w:rPr>
        <w:t xml:space="preserve">           </w:t>
      </w:r>
      <w:r>
        <w:rPr>
          <w:rFonts w:hint="eastAsia"/>
          <w:color w:val="000000"/>
          <w:sz w:val="28"/>
          <w:szCs w:val="28"/>
          <w:u w:val="single"/>
        </w:rPr>
        <w:t>资格审查</w:t>
      </w:r>
      <w:r>
        <w:rPr>
          <w:color w:val="000000"/>
          <w:sz w:val="28"/>
          <w:szCs w:val="28"/>
          <w:u w:val="single"/>
        </w:rPr>
        <w:t xml:space="preserve">    </w:t>
      </w:r>
      <w:r>
        <w:rPr>
          <w:rFonts w:hint="eastAsia"/>
          <w:color w:val="000000"/>
          <w:sz w:val="28"/>
          <w:szCs w:val="28"/>
          <w:u w:val="single"/>
        </w:rPr>
        <w:t xml:space="preserve"> </w:t>
      </w:r>
      <w:r>
        <w:rPr>
          <w:color w:val="000000"/>
          <w:sz w:val="28"/>
          <w:szCs w:val="28"/>
          <w:u w:val="single"/>
        </w:rPr>
        <w:t xml:space="preserve">      </w:t>
      </w:r>
    </w:p>
    <w:p>
      <w:pPr>
        <w:spacing w:line="360" w:lineRule="auto"/>
        <w:rPr>
          <w:color w:val="000000"/>
          <w:sz w:val="28"/>
          <w:szCs w:val="28"/>
        </w:rPr>
      </w:pPr>
      <w:r>
        <w:rPr>
          <w:color w:val="000000"/>
          <w:sz w:val="28"/>
          <w:szCs w:val="28"/>
        </w:rPr>
        <w:t>投标人：</w:t>
      </w:r>
      <w:r>
        <w:rPr>
          <w:color w:val="000000"/>
          <w:sz w:val="28"/>
          <w:szCs w:val="28"/>
          <w:u w:val="single"/>
        </w:rPr>
        <w:t xml:space="preserve">                                </w:t>
      </w:r>
      <w:r>
        <w:rPr>
          <w:color w:val="000000"/>
          <w:sz w:val="28"/>
          <w:szCs w:val="28"/>
        </w:rPr>
        <w:t>（盖单位章）</w:t>
      </w:r>
    </w:p>
    <w:p>
      <w:pPr>
        <w:spacing w:line="360" w:lineRule="auto"/>
        <w:ind w:firstLine="1400" w:firstLineChars="500"/>
        <w:rPr>
          <w:color w:val="000000"/>
          <w:sz w:val="28"/>
          <w:szCs w:val="28"/>
        </w:rPr>
      </w:pPr>
    </w:p>
    <w:p>
      <w:pPr>
        <w:spacing w:line="360" w:lineRule="auto"/>
        <w:ind w:firstLine="1400" w:firstLineChars="500"/>
        <w:rPr>
          <w:color w:val="000000"/>
          <w:sz w:val="28"/>
          <w:szCs w:val="28"/>
        </w:rPr>
      </w:pPr>
      <w:r>
        <w:rPr>
          <w:color w:val="000000"/>
          <w:sz w:val="28"/>
          <w:szCs w:val="28"/>
          <w:u w:val="single"/>
        </w:rPr>
        <w:t xml:space="preserve">         </w:t>
      </w:r>
      <w:r>
        <w:rPr>
          <w:color w:val="000000"/>
          <w:sz w:val="28"/>
          <w:szCs w:val="28"/>
        </w:rPr>
        <w:t>年</w:t>
      </w:r>
      <w:r>
        <w:rPr>
          <w:color w:val="000000"/>
          <w:sz w:val="28"/>
          <w:szCs w:val="28"/>
          <w:u w:val="single"/>
        </w:rPr>
        <w:t xml:space="preserve">         </w:t>
      </w:r>
      <w:r>
        <w:rPr>
          <w:color w:val="000000"/>
          <w:sz w:val="28"/>
          <w:szCs w:val="28"/>
        </w:rPr>
        <w:t>月</w:t>
      </w:r>
      <w:r>
        <w:rPr>
          <w:color w:val="000000"/>
          <w:sz w:val="28"/>
          <w:szCs w:val="28"/>
          <w:u w:val="single"/>
        </w:rPr>
        <w:t xml:space="preserve">         </w:t>
      </w:r>
      <w:r>
        <w:rPr>
          <w:color w:val="000000"/>
          <w:sz w:val="28"/>
          <w:szCs w:val="28"/>
        </w:rPr>
        <w:t>日</w:t>
      </w:r>
    </w:p>
    <w:p>
      <w:pPr>
        <w:spacing w:line="400" w:lineRule="exact"/>
        <w:rPr>
          <w:rFonts w:hint="eastAsia"/>
          <w:color w:val="000000"/>
        </w:rPr>
      </w:pPr>
      <w:r>
        <w:rPr>
          <w:color w:val="000000"/>
        </w:rPr>
        <w:br w:type="page"/>
      </w:r>
    </w:p>
    <w:p>
      <w:pPr>
        <w:tabs>
          <w:tab w:val="left" w:pos="826"/>
        </w:tabs>
        <w:snapToGrid w:val="0"/>
        <w:spacing w:line="360" w:lineRule="auto"/>
        <w:ind w:firstLine="422" w:firstLineChars="150"/>
        <w:jc w:val="center"/>
        <w:rPr>
          <w:rFonts w:hint="eastAsia"/>
          <w:b/>
          <w:color w:val="000000"/>
          <w:sz w:val="28"/>
          <w:szCs w:val="28"/>
        </w:rPr>
      </w:pPr>
      <w:r>
        <w:rPr>
          <w:rFonts w:hint="eastAsia"/>
          <w:b/>
          <w:color w:val="000000"/>
          <w:sz w:val="28"/>
          <w:szCs w:val="28"/>
        </w:rPr>
        <w:t>目  录</w:t>
      </w:r>
    </w:p>
    <w:p>
      <w:pPr>
        <w:tabs>
          <w:tab w:val="left" w:pos="826"/>
        </w:tabs>
        <w:snapToGrid w:val="0"/>
        <w:spacing w:line="360" w:lineRule="auto"/>
        <w:ind w:firstLine="315" w:firstLineChars="150"/>
        <w:jc w:val="left"/>
        <w:rPr>
          <w:rFonts w:hint="eastAsia" w:ascii="宋体" w:hAnsi="宋体"/>
          <w:color w:val="000000"/>
          <w:szCs w:val="21"/>
        </w:rPr>
      </w:pPr>
      <w:r>
        <w:rPr>
          <w:rFonts w:hint="eastAsia" w:ascii="宋体" w:hAnsi="宋体"/>
          <w:color w:val="000000"/>
          <w:szCs w:val="21"/>
        </w:rPr>
        <w:t>1、专职投标员身份证原件扫描件（法定代表人参加现场开标会时，需同时提供法定代表人身份证明及法定代表人身份证原件扫描件）；</w:t>
      </w:r>
    </w:p>
    <w:p>
      <w:pPr>
        <w:tabs>
          <w:tab w:val="left" w:pos="826"/>
        </w:tabs>
        <w:snapToGrid w:val="0"/>
        <w:spacing w:line="360" w:lineRule="auto"/>
        <w:ind w:firstLine="315" w:firstLineChars="150"/>
        <w:jc w:val="left"/>
        <w:rPr>
          <w:rFonts w:hint="eastAsia" w:ascii="宋体" w:hAnsi="宋体"/>
          <w:color w:val="000000"/>
          <w:szCs w:val="21"/>
        </w:rPr>
      </w:pPr>
      <w:r>
        <w:rPr>
          <w:rFonts w:hint="eastAsia" w:ascii="宋体" w:hAnsi="宋体"/>
          <w:color w:val="000000"/>
          <w:szCs w:val="21"/>
        </w:rPr>
        <w:t xml:space="preserve">2、联合体协议书原件扫描件（如有）； </w:t>
      </w:r>
    </w:p>
    <w:p>
      <w:pPr>
        <w:tabs>
          <w:tab w:val="left" w:pos="826"/>
        </w:tabs>
        <w:snapToGrid w:val="0"/>
        <w:spacing w:line="360" w:lineRule="auto"/>
        <w:ind w:firstLine="315" w:firstLineChars="150"/>
        <w:jc w:val="left"/>
        <w:rPr>
          <w:rFonts w:hint="eastAsia" w:ascii="宋体" w:hAnsi="宋体"/>
          <w:color w:val="000000"/>
          <w:szCs w:val="21"/>
        </w:rPr>
      </w:pPr>
      <w:r>
        <w:rPr>
          <w:rFonts w:hint="eastAsia" w:ascii="宋体" w:hAnsi="宋体"/>
          <w:color w:val="000000"/>
          <w:szCs w:val="21"/>
        </w:rPr>
        <w:t xml:space="preserve">3、投标人基本情况表（附已录入广西建筑业企业诚信信息库的有效的企业法人营业执照、企业资质证书、安全生产许可证（联合体投标时仅为联合体中的施工单位安全生产许可证）等相关证件的原件扫描件（联合体投标的则联合体各方均须提供）。施工单位相关证明材料未通过广西建筑业企业诚信信息库审核的（设计单位不需要诚信库审核），在评审时不予承认）； </w:t>
      </w:r>
    </w:p>
    <w:p>
      <w:pPr>
        <w:tabs>
          <w:tab w:val="left" w:pos="826"/>
        </w:tabs>
        <w:snapToGrid w:val="0"/>
        <w:spacing w:line="360" w:lineRule="auto"/>
        <w:ind w:firstLine="315" w:firstLineChars="150"/>
        <w:jc w:val="left"/>
        <w:rPr>
          <w:rFonts w:hint="eastAsia" w:ascii="宋体" w:hAnsi="宋体"/>
          <w:color w:val="000000"/>
          <w:szCs w:val="21"/>
        </w:rPr>
      </w:pPr>
      <w:r>
        <w:rPr>
          <w:rFonts w:hint="eastAsia" w:ascii="宋体" w:hAnsi="宋体"/>
          <w:color w:val="000000"/>
          <w:szCs w:val="21"/>
        </w:rPr>
        <w:t>4、投标保证金的转帐（或电汇、网上支付）底单原件的扫描件、电子转账截图或保函（银行保函、保证保险保函、工程担保保函）原件扫描件或电子保函截图；</w:t>
      </w:r>
    </w:p>
    <w:p>
      <w:pPr>
        <w:tabs>
          <w:tab w:val="left" w:pos="826"/>
        </w:tabs>
        <w:snapToGrid w:val="0"/>
        <w:spacing w:line="360" w:lineRule="auto"/>
        <w:ind w:firstLine="315" w:firstLineChars="150"/>
        <w:jc w:val="left"/>
        <w:rPr>
          <w:rFonts w:hint="eastAsia" w:ascii="宋体" w:hAnsi="宋体"/>
          <w:color w:val="000000"/>
          <w:szCs w:val="21"/>
        </w:rPr>
      </w:pPr>
      <w:r>
        <w:rPr>
          <w:rFonts w:hint="eastAsia" w:ascii="宋体" w:hAnsi="宋体"/>
          <w:color w:val="000000"/>
          <w:szCs w:val="21"/>
        </w:rPr>
        <w:t>5、建设工程项目管理承诺书；</w:t>
      </w:r>
    </w:p>
    <w:p>
      <w:pPr>
        <w:tabs>
          <w:tab w:val="left" w:pos="826"/>
        </w:tabs>
        <w:snapToGrid w:val="0"/>
        <w:spacing w:line="360" w:lineRule="auto"/>
        <w:ind w:firstLine="315" w:firstLineChars="150"/>
        <w:jc w:val="left"/>
        <w:rPr>
          <w:rFonts w:hint="eastAsia" w:ascii="宋体" w:hAnsi="宋体"/>
          <w:color w:val="000000"/>
          <w:szCs w:val="21"/>
        </w:rPr>
      </w:pPr>
      <w:r>
        <w:rPr>
          <w:rFonts w:hint="eastAsia" w:ascii="宋体" w:hAnsi="宋体"/>
          <w:color w:val="000000"/>
          <w:szCs w:val="21"/>
        </w:rPr>
        <w:t>6、管理机构配备情况表、拟投入本工程的主要施工设备表、拟配备本工程的试验和检测仪器设备表；</w:t>
      </w:r>
    </w:p>
    <w:p>
      <w:pPr>
        <w:tabs>
          <w:tab w:val="left" w:pos="826"/>
        </w:tabs>
        <w:snapToGrid w:val="0"/>
        <w:spacing w:line="360" w:lineRule="auto"/>
        <w:ind w:firstLine="315" w:firstLineChars="150"/>
        <w:jc w:val="left"/>
        <w:rPr>
          <w:rFonts w:ascii="宋体" w:hAnsi="宋体"/>
          <w:color w:val="000000"/>
          <w:szCs w:val="21"/>
        </w:rPr>
      </w:pPr>
      <w:r>
        <w:rPr>
          <w:rFonts w:hint="eastAsia" w:ascii="宋体" w:hAnsi="宋体"/>
          <w:color w:val="000000"/>
          <w:szCs w:val="21"/>
        </w:rPr>
        <w:t>7、资格审查需要的其他材料：近年完成的类似工程总承包项目情况材料（如有）、近年承接的类似工程总承包项目情况材料（如有）、近年承接的类似工程设计项目情况材料（如有）、近年完成的类似施工项目情况材料（如有）、正在实施和新承接的类似施工项目情况材料（如有）、采用建筑模型（BIM）技术项目业绩（如有）、企业信誉实力材料、企业近三年财务状况材料（联合体投标的则联合体各方均须提供）等（详见第三章评标办法）。施工单位须提供已完成类似工程证明材料以诚信库链接</w:t>
      </w:r>
      <w:r>
        <w:rPr>
          <w:rFonts w:ascii="宋体" w:hAnsi="宋体"/>
          <w:color w:val="000000"/>
          <w:szCs w:val="21"/>
        </w:rPr>
        <w:t>为准</w:t>
      </w:r>
      <w:r>
        <w:rPr>
          <w:rFonts w:hint="eastAsia" w:ascii="宋体" w:hAnsi="宋体"/>
          <w:color w:val="000000"/>
          <w:szCs w:val="21"/>
        </w:rPr>
        <w:t>。</w:t>
      </w:r>
    </w:p>
    <w:p>
      <w:pPr>
        <w:pStyle w:val="4"/>
        <w:jc w:val="center"/>
        <w:rPr>
          <w:color w:val="000000"/>
          <w:sz w:val="30"/>
          <w:szCs w:val="30"/>
        </w:rPr>
      </w:pPr>
      <w:r>
        <w:rPr>
          <w:color w:val="000000"/>
          <w:sz w:val="21"/>
          <w:szCs w:val="21"/>
        </w:rPr>
        <w:br w:type="page"/>
      </w:r>
      <w:bookmarkStart w:id="1729" w:name="_Toc43293108"/>
      <w:bookmarkStart w:id="1730" w:name="_Toc59203260"/>
      <w:bookmarkStart w:id="1731" w:name="_Toc349555831"/>
      <w:bookmarkStart w:id="1732" w:name="_Toc251051976"/>
      <w:bookmarkStart w:id="1733" w:name="_Toc349215544"/>
      <w:r>
        <w:rPr>
          <w:color w:val="000000"/>
          <w:sz w:val="30"/>
          <w:szCs w:val="30"/>
        </w:rPr>
        <w:t>1</w:t>
      </w:r>
      <w:r>
        <w:rPr>
          <w:rFonts w:hint="eastAsia"/>
          <w:color w:val="000000"/>
          <w:sz w:val="30"/>
          <w:szCs w:val="30"/>
        </w:rPr>
        <w:t>、专职</w:t>
      </w:r>
      <w:r>
        <w:rPr>
          <w:color w:val="000000"/>
          <w:sz w:val="30"/>
          <w:szCs w:val="30"/>
        </w:rPr>
        <w:t>投标员身份证</w:t>
      </w:r>
      <w:r>
        <w:rPr>
          <w:rFonts w:hint="eastAsia"/>
          <w:color w:val="000000"/>
          <w:sz w:val="30"/>
          <w:szCs w:val="30"/>
        </w:rPr>
        <w:t>原件</w:t>
      </w:r>
      <w:r>
        <w:rPr>
          <w:color w:val="000000"/>
          <w:sz w:val="30"/>
          <w:szCs w:val="30"/>
        </w:rPr>
        <w:t>扫描件</w:t>
      </w:r>
      <w:bookmarkEnd w:id="1729"/>
      <w:bookmarkEnd w:id="1730"/>
    </w:p>
    <w:p>
      <w:pPr>
        <w:jc w:val="center"/>
        <w:rPr>
          <w:rFonts w:hint="eastAsia" w:ascii="黑体" w:eastAsia="黑体"/>
          <w:color w:val="000000"/>
          <w:sz w:val="30"/>
          <w:szCs w:val="30"/>
        </w:rPr>
      </w:pPr>
      <w:r>
        <w:rPr>
          <w:rFonts w:hint="eastAsia" w:ascii="黑体" w:eastAsia="黑体"/>
          <w:color w:val="000000"/>
          <w:sz w:val="30"/>
          <w:szCs w:val="30"/>
        </w:rPr>
        <w:t>法定代表人身份证明（如有）</w:t>
      </w:r>
    </w:p>
    <w:p>
      <w:pPr>
        <w:autoSpaceDE w:val="0"/>
        <w:autoSpaceDN w:val="0"/>
        <w:adjustRightInd w:val="0"/>
        <w:spacing w:line="480" w:lineRule="exact"/>
        <w:rPr>
          <w:color w:val="000000"/>
          <w:kern w:val="0"/>
          <w:sz w:val="32"/>
        </w:rPr>
      </w:pPr>
    </w:p>
    <w:p>
      <w:pPr>
        <w:autoSpaceDE w:val="0"/>
        <w:autoSpaceDN w:val="0"/>
        <w:adjustRightInd w:val="0"/>
        <w:spacing w:line="400" w:lineRule="exact"/>
        <w:ind w:firstLine="1365" w:firstLineChars="650"/>
        <w:rPr>
          <w:bCs/>
          <w:color w:val="000000"/>
          <w:kern w:val="0"/>
          <w:u w:val="single"/>
        </w:rPr>
      </w:pPr>
      <w:r>
        <w:rPr>
          <w:rFonts w:hAnsi="宋体"/>
          <w:bCs/>
          <w:color w:val="000000"/>
          <w:kern w:val="0"/>
        </w:rPr>
        <w:t>投</w:t>
      </w:r>
      <w:r>
        <w:rPr>
          <w:bCs/>
          <w:color w:val="000000"/>
          <w:kern w:val="0"/>
        </w:rPr>
        <w:t xml:space="preserve"> </w:t>
      </w:r>
      <w:r>
        <w:rPr>
          <w:rFonts w:hAnsi="宋体"/>
          <w:bCs/>
          <w:color w:val="000000"/>
          <w:kern w:val="0"/>
        </w:rPr>
        <w:t>标</w:t>
      </w:r>
      <w:r>
        <w:rPr>
          <w:bCs/>
          <w:color w:val="000000"/>
          <w:kern w:val="0"/>
        </w:rPr>
        <w:t xml:space="preserve"> </w:t>
      </w:r>
      <w:r>
        <w:rPr>
          <w:rFonts w:hAnsi="宋体"/>
          <w:bCs/>
          <w:color w:val="000000"/>
          <w:kern w:val="0"/>
        </w:rPr>
        <w:t>人：</w:t>
      </w:r>
      <w:r>
        <w:rPr>
          <w:bCs/>
          <w:color w:val="000000"/>
          <w:kern w:val="0"/>
          <w:u w:val="single"/>
        </w:rPr>
        <w:t xml:space="preserve">                                             </w:t>
      </w:r>
    </w:p>
    <w:p>
      <w:pPr>
        <w:autoSpaceDE w:val="0"/>
        <w:autoSpaceDN w:val="0"/>
        <w:adjustRightInd w:val="0"/>
        <w:spacing w:line="400" w:lineRule="exact"/>
        <w:ind w:firstLine="1365" w:firstLineChars="650"/>
        <w:rPr>
          <w:bCs/>
          <w:color w:val="000000"/>
          <w:kern w:val="0"/>
        </w:rPr>
      </w:pPr>
    </w:p>
    <w:p>
      <w:pPr>
        <w:autoSpaceDE w:val="0"/>
        <w:autoSpaceDN w:val="0"/>
        <w:adjustRightInd w:val="0"/>
        <w:spacing w:line="400" w:lineRule="exact"/>
        <w:ind w:firstLine="1365" w:firstLineChars="650"/>
        <w:rPr>
          <w:bCs/>
          <w:color w:val="000000"/>
          <w:kern w:val="0"/>
          <w:u w:val="single"/>
        </w:rPr>
      </w:pPr>
      <w:r>
        <w:rPr>
          <w:rFonts w:hAnsi="宋体"/>
          <w:bCs/>
          <w:color w:val="000000"/>
          <w:kern w:val="0"/>
        </w:rPr>
        <w:t>单位性质：</w:t>
      </w:r>
      <w:r>
        <w:rPr>
          <w:bCs/>
          <w:color w:val="000000"/>
          <w:kern w:val="0"/>
          <w:u w:val="single"/>
        </w:rPr>
        <w:t xml:space="preserve">                                             </w:t>
      </w:r>
    </w:p>
    <w:p>
      <w:pPr>
        <w:autoSpaceDE w:val="0"/>
        <w:autoSpaceDN w:val="0"/>
        <w:adjustRightInd w:val="0"/>
        <w:spacing w:line="400" w:lineRule="exact"/>
        <w:ind w:firstLine="1365" w:firstLineChars="650"/>
        <w:rPr>
          <w:bCs/>
          <w:color w:val="000000"/>
          <w:kern w:val="0"/>
        </w:rPr>
      </w:pPr>
    </w:p>
    <w:p>
      <w:pPr>
        <w:autoSpaceDE w:val="0"/>
        <w:autoSpaceDN w:val="0"/>
        <w:adjustRightInd w:val="0"/>
        <w:spacing w:line="400" w:lineRule="exact"/>
        <w:ind w:firstLine="1365" w:firstLineChars="650"/>
        <w:rPr>
          <w:bCs/>
          <w:color w:val="000000"/>
          <w:kern w:val="0"/>
          <w:u w:val="single"/>
        </w:rPr>
      </w:pPr>
      <w:r>
        <w:rPr>
          <w:rFonts w:hAnsi="宋体"/>
          <w:bCs/>
          <w:color w:val="000000"/>
          <w:kern w:val="0"/>
        </w:rPr>
        <w:t>地</w:t>
      </w:r>
      <w:r>
        <w:rPr>
          <w:bCs/>
          <w:color w:val="000000"/>
          <w:kern w:val="0"/>
        </w:rPr>
        <w:t xml:space="preserve"> </w:t>
      </w:r>
      <w:r>
        <w:rPr>
          <w:rFonts w:hAnsi="宋体"/>
          <w:bCs/>
          <w:color w:val="000000"/>
          <w:kern w:val="0"/>
        </w:rPr>
        <w:t>址：</w:t>
      </w:r>
      <w:r>
        <w:rPr>
          <w:bCs/>
          <w:color w:val="000000"/>
          <w:kern w:val="0"/>
          <w:u w:val="single"/>
        </w:rPr>
        <w:t xml:space="preserve">                                                </w:t>
      </w:r>
    </w:p>
    <w:p>
      <w:pPr>
        <w:autoSpaceDE w:val="0"/>
        <w:autoSpaceDN w:val="0"/>
        <w:adjustRightInd w:val="0"/>
        <w:spacing w:line="400" w:lineRule="exact"/>
        <w:ind w:firstLine="1365" w:firstLineChars="650"/>
        <w:rPr>
          <w:bCs/>
          <w:color w:val="000000"/>
          <w:kern w:val="0"/>
        </w:rPr>
      </w:pPr>
    </w:p>
    <w:p>
      <w:pPr>
        <w:autoSpaceDE w:val="0"/>
        <w:autoSpaceDN w:val="0"/>
        <w:adjustRightInd w:val="0"/>
        <w:spacing w:line="400" w:lineRule="exact"/>
        <w:ind w:firstLine="1365" w:firstLineChars="650"/>
        <w:rPr>
          <w:bCs/>
          <w:color w:val="000000"/>
          <w:kern w:val="0"/>
        </w:rPr>
      </w:pPr>
      <w:r>
        <w:rPr>
          <w:rFonts w:hAnsi="宋体"/>
          <w:bCs/>
          <w:color w:val="000000"/>
          <w:kern w:val="0"/>
        </w:rPr>
        <w:t>成立时间：</w:t>
      </w:r>
      <w:r>
        <w:rPr>
          <w:bCs/>
          <w:color w:val="000000"/>
          <w:kern w:val="0"/>
        </w:rPr>
        <w:t xml:space="preserve"> </w:t>
      </w:r>
      <w:r>
        <w:rPr>
          <w:bCs/>
          <w:color w:val="000000"/>
          <w:kern w:val="0"/>
          <w:u w:val="single"/>
        </w:rPr>
        <w:t xml:space="preserve">       </w:t>
      </w:r>
      <w:r>
        <w:rPr>
          <w:rFonts w:hAnsi="宋体"/>
          <w:bCs/>
          <w:color w:val="000000"/>
          <w:kern w:val="0"/>
        </w:rPr>
        <w:t>年</w:t>
      </w:r>
      <w:r>
        <w:rPr>
          <w:bCs/>
          <w:color w:val="000000"/>
          <w:kern w:val="0"/>
          <w:u w:val="single"/>
        </w:rPr>
        <w:t xml:space="preserve">       </w:t>
      </w:r>
      <w:r>
        <w:rPr>
          <w:rFonts w:hAnsi="宋体"/>
          <w:bCs/>
          <w:color w:val="000000"/>
          <w:kern w:val="0"/>
        </w:rPr>
        <w:t>月</w:t>
      </w:r>
      <w:r>
        <w:rPr>
          <w:bCs/>
          <w:color w:val="000000"/>
          <w:kern w:val="0"/>
          <w:u w:val="single"/>
        </w:rPr>
        <w:t xml:space="preserve">       </w:t>
      </w:r>
      <w:r>
        <w:rPr>
          <w:rFonts w:hAnsi="宋体"/>
          <w:bCs/>
          <w:color w:val="000000"/>
          <w:kern w:val="0"/>
        </w:rPr>
        <w:t>日</w:t>
      </w:r>
    </w:p>
    <w:p>
      <w:pPr>
        <w:autoSpaceDE w:val="0"/>
        <w:autoSpaceDN w:val="0"/>
        <w:adjustRightInd w:val="0"/>
        <w:spacing w:line="400" w:lineRule="exact"/>
        <w:ind w:firstLine="1365" w:firstLineChars="650"/>
        <w:rPr>
          <w:bCs/>
          <w:color w:val="000000"/>
          <w:kern w:val="0"/>
        </w:rPr>
      </w:pPr>
    </w:p>
    <w:p>
      <w:pPr>
        <w:autoSpaceDE w:val="0"/>
        <w:autoSpaceDN w:val="0"/>
        <w:adjustRightInd w:val="0"/>
        <w:spacing w:line="400" w:lineRule="exact"/>
        <w:ind w:firstLine="1365" w:firstLineChars="650"/>
        <w:rPr>
          <w:bCs/>
          <w:color w:val="000000"/>
          <w:kern w:val="0"/>
          <w:u w:val="single"/>
        </w:rPr>
      </w:pPr>
      <w:r>
        <w:rPr>
          <w:rFonts w:hAnsi="宋体"/>
          <w:bCs/>
          <w:color w:val="000000"/>
          <w:kern w:val="0"/>
        </w:rPr>
        <w:t>经营期限：</w:t>
      </w:r>
      <w:r>
        <w:rPr>
          <w:bCs/>
          <w:color w:val="000000"/>
          <w:kern w:val="0"/>
          <w:u w:val="single"/>
        </w:rPr>
        <w:t xml:space="preserve">                                             </w:t>
      </w:r>
    </w:p>
    <w:p>
      <w:pPr>
        <w:autoSpaceDE w:val="0"/>
        <w:autoSpaceDN w:val="0"/>
        <w:adjustRightInd w:val="0"/>
        <w:spacing w:line="400" w:lineRule="exact"/>
        <w:ind w:firstLine="1365" w:firstLineChars="650"/>
        <w:rPr>
          <w:bCs/>
          <w:color w:val="000000"/>
          <w:kern w:val="0"/>
        </w:rPr>
      </w:pPr>
    </w:p>
    <w:p>
      <w:pPr>
        <w:autoSpaceDE w:val="0"/>
        <w:autoSpaceDN w:val="0"/>
        <w:adjustRightInd w:val="0"/>
        <w:spacing w:line="400" w:lineRule="exact"/>
        <w:ind w:firstLine="1365" w:firstLineChars="650"/>
        <w:rPr>
          <w:bCs/>
          <w:color w:val="000000"/>
          <w:kern w:val="0"/>
          <w:u w:val="single"/>
        </w:rPr>
      </w:pPr>
      <w:r>
        <w:rPr>
          <w:rFonts w:hAnsi="宋体"/>
          <w:bCs/>
          <w:color w:val="000000"/>
          <w:kern w:val="0"/>
        </w:rPr>
        <w:t>姓</w:t>
      </w:r>
      <w:r>
        <w:rPr>
          <w:bCs/>
          <w:color w:val="000000"/>
          <w:kern w:val="0"/>
        </w:rPr>
        <w:t xml:space="preserve"> </w:t>
      </w:r>
      <w:r>
        <w:rPr>
          <w:rFonts w:hAnsi="宋体"/>
          <w:bCs/>
          <w:color w:val="000000"/>
          <w:kern w:val="0"/>
        </w:rPr>
        <w:t>名：</w:t>
      </w:r>
      <w:r>
        <w:rPr>
          <w:bCs/>
          <w:color w:val="000000"/>
          <w:kern w:val="0"/>
          <w:u w:val="single"/>
        </w:rPr>
        <w:t xml:space="preserve">       </w:t>
      </w:r>
      <w:r>
        <w:rPr>
          <w:bCs/>
          <w:color w:val="000000"/>
          <w:kern w:val="0"/>
        </w:rPr>
        <w:t xml:space="preserve"> </w:t>
      </w:r>
      <w:r>
        <w:rPr>
          <w:rFonts w:hAnsi="宋体"/>
          <w:bCs/>
          <w:color w:val="000000"/>
          <w:kern w:val="0"/>
        </w:rPr>
        <w:t>性</w:t>
      </w:r>
      <w:r>
        <w:rPr>
          <w:bCs/>
          <w:color w:val="000000"/>
          <w:kern w:val="0"/>
        </w:rPr>
        <w:t xml:space="preserve"> </w:t>
      </w:r>
      <w:r>
        <w:rPr>
          <w:rFonts w:hAnsi="宋体"/>
          <w:bCs/>
          <w:color w:val="000000"/>
          <w:kern w:val="0"/>
        </w:rPr>
        <w:t>别：</w:t>
      </w:r>
      <w:r>
        <w:rPr>
          <w:bCs/>
          <w:color w:val="000000"/>
          <w:kern w:val="0"/>
          <w:u w:val="single"/>
        </w:rPr>
        <w:t xml:space="preserve">       </w:t>
      </w:r>
      <w:r>
        <w:rPr>
          <w:rFonts w:hAnsi="宋体"/>
          <w:bCs/>
          <w:color w:val="000000"/>
          <w:kern w:val="0"/>
        </w:rPr>
        <w:t>年</w:t>
      </w:r>
      <w:r>
        <w:rPr>
          <w:bCs/>
          <w:color w:val="000000"/>
          <w:kern w:val="0"/>
        </w:rPr>
        <w:t xml:space="preserve"> </w:t>
      </w:r>
      <w:r>
        <w:rPr>
          <w:rFonts w:hAnsi="宋体"/>
          <w:bCs/>
          <w:color w:val="000000"/>
          <w:kern w:val="0"/>
        </w:rPr>
        <w:t>龄：</w:t>
      </w:r>
      <w:r>
        <w:rPr>
          <w:bCs/>
          <w:color w:val="000000"/>
          <w:kern w:val="0"/>
          <w:u w:val="single"/>
        </w:rPr>
        <w:t xml:space="preserve">      </w:t>
      </w:r>
      <w:r>
        <w:rPr>
          <w:rFonts w:hAnsi="宋体"/>
          <w:bCs/>
          <w:color w:val="000000"/>
          <w:kern w:val="0"/>
        </w:rPr>
        <w:t>职</w:t>
      </w:r>
      <w:r>
        <w:rPr>
          <w:bCs/>
          <w:color w:val="000000"/>
          <w:kern w:val="0"/>
        </w:rPr>
        <w:t xml:space="preserve"> </w:t>
      </w:r>
      <w:r>
        <w:rPr>
          <w:rFonts w:hAnsi="宋体"/>
          <w:bCs/>
          <w:color w:val="000000"/>
          <w:kern w:val="0"/>
        </w:rPr>
        <w:t>务：</w:t>
      </w:r>
      <w:r>
        <w:rPr>
          <w:bCs/>
          <w:color w:val="000000"/>
          <w:kern w:val="0"/>
          <w:u w:val="single"/>
        </w:rPr>
        <w:t xml:space="preserve">      </w:t>
      </w:r>
    </w:p>
    <w:p>
      <w:pPr>
        <w:autoSpaceDE w:val="0"/>
        <w:autoSpaceDN w:val="0"/>
        <w:adjustRightInd w:val="0"/>
        <w:spacing w:line="400" w:lineRule="exact"/>
        <w:ind w:firstLine="1365" w:firstLineChars="650"/>
        <w:rPr>
          <w:bCs/>
          <w:color w:val="000000"/>
          <w:kern w:val="0"/>
        </w:rPr>
      </w:pPr>
    </w:p>
    <w:p>
      <w:pPr>
        <w:autoSpaceDE w:val="0"/>
        <w:autoSpaceDN w:val="0"/>
        <w:adjustRightInd w:val="0"/>
        <w:spacing w:line="400" w:lineRule="exact"/>
        <w:ind w:firstLine="1365" w:firstLineChars="650"/>
        <w:rPr>
          <w:bCs/>
          <w:color w:val="000000"/>
          <w:kern w:val="0"/>
        </w:rPr>
      </w:pPr>
      <w:r>
        <w:rPr>
          <w:rFonts w:hAnsi="宋体"/>
          <w:bCs/>
          <w:color w:val="000000"/>
          <w:kern w:val="0"/>
        </w:rPr>
        <w:t>系</w:t>
      </w:r>
      <w:r>
        <w:rPr>
          <w:bCs/>
          <w:color w:val="000000"/>
          <w:kern w:val="0"/>
        </w:rPr>
        <w:t xml:space="preserve"> </w:t>
      </w:r>
      <w:r>
        <w:rPr>
          <w:bCs/>
          <w:color w:val="000000"/>
          <w:kern w:val="0"/>
          <w:u w:val="single"/>
        </w:rPr>
        <w:t xml:space="preserve">                      </w:t>
      </w:r>
      <w:r>
        <w:rPr>
          <w:rFonts w:hAnsi="宋体"/>
          <w:bCs/>
          <w:color w:val="000000"/>
          <w:kern w:val="0"/>
        </w:rPr>
        <w:t>（投标人名称）的法定代表人。</w:t>
      </w:r>
    </w:p>
    <w:p>
      <w:pPr>
        <w:autoSpaceDE w:val="0"/>
        <w:autoSpaceDN w:val="0"/>
        <w:adjustRightInd w:val="0"/>
        <w:spacing w:line="400" w:lineRule="exact"/>
        <w:ind w:firstLine="1365" w:firstLineChars="650"/>
        <w:rPr>
          <w:bCs/>
          <w:color w:val="000000"/>
          <w:kern w:val="0"/>
        </w:rPr>
      </w:pPr>
    </w:p>
    <w:p>
      <w:pPr>
        <w:autoSpaceDE w:val="0"/>
        <w:autoSpaceDN w:val="0"/>
        <w:adjustRightInd w:val="0"/>
        <w:spacing w:line="400" w:lineRule="exact"/>
        <w:ind w:firstLine="1365" w:firstLineChars="650"/>
        <w:rPr>
          <w:bCs/>
          <w:color w:val="000000"/>
          <w:kern w:val="0"/>
        </w:rPr>
      </w:pPr>
      <w:r>
        <w:rPr>
          <w:rFonts w:hAnsi="宋体"/>
          <w:bCs/>
          <w:color w:val="000000"/>
          <w:kern w:val="0"/>
        </w:rPr>
        <w:t>特此证明。</w:t>
      </w:r>
    </w:p>
    <w:p>
      <w:pPr>
        <w:autoSpaceDE w:val="0"/>
        <w:autoSpaceDN w:val="0"/>
        <w:adjustRightInd w:val="0"/>
        <w:spacing w:line="400" w:lineRule="exact"/>
        <w:rPr>
          <w:bCs/>
          <w:color w:val="000000"/>
          <w:kern w:val="0"/>
        </w:rPr>
      </w:pPr>
    </w:p>
    <w:p>
      <w:pPr>
        <w:autoSpaceDE w:val="0"/>
        <w:autoSpaceDN w:val="0"/>
        <w:adjustRightInd w:val="0"/>
        <w:spacing w:line="400" w:lineRule="exact"/>
        <w:ind w:firstLine="1365" w:firstLineChars="650"/>
        <w:rPr>
          <w:bCs/>
          <w:color w:val="000000"/>
          <w:kern w:val="0"/>
        </w:rPr>
      </w:pPr>
    </w:p>
    <w:p>
      <w:pPr>
        <w:autoSpaceDE w:val="0"/>
        <w:autoSpaceDN w:val="0"/>
        <w:adjustRightInd w:val="0"/>
        <w:spacing w:line="400" w:lineRule="exact"/>
        <w:ind w:firstLine="3360" w:firstLineChars="1600"/>
        <w:rPr>
          <w:bCs/>
          <w:color w:val="000000"/>
          <w:kern w:val="0"/>
        </w:rPr>
      </w:pPr>
      <w:r>
        <w:rPr>
          <w:rFonts w:hAnsi="宋体"/>
          <w:bCs/>
          <w:color w:val="000000"/>
          <w:kern w:val="0"/>
        </w:rPr>
        <w:t>投标人：</w:t>
      </w:r>
      <w:r>
        <w:rPr>
          <w:bCs/>
          <w:color w:val="000000"/>
          <w:kern w:val="0"/>
          <w:u w:val="single"/>
        </w:rPr>
        <w:t xml:space="preserve">                       </w:t>
      </w:r>
      <w:r>
        <w:rPr>
          <w:rFonts w:hAnsi="宋体"/>
          <w:bCs/>
          <w:color w:val="000000"/>
          <w:kern w:val="0"/>
        </w:rPr>
        <w:t>（盖</w:t>
      </w:r>
      <w:r>
        <w:rPr>
          <w:rFonts w:hint="eastAsia" w:hAnsi="宋体"/>
          <w:bCs/>
          <w:color w:val="000000"/>
          <w:kern w:val="0"/>
        </w:rPr>
        <w:t>单位公</w:t>
      </w:r>
      <w:r>
        <w:rPr>
          <w:rFonts w:hAnsi="宋体"/>
          <w:bCs/>
          <w:color w:val="000000"/>
          <w:kern w:val="0"/>
        </w:rPr>
        <w:t>章）</w:t>
      </w:r>
    </w:p>
    <w:p>
      <w:pPr>
        <w:autoSpaceDE w:val="0"/>
        <w:autoSpaceDN w:val="0"/>
        <w:adjustRightInd w:val="0"/>
        <w:spacing w:line="400" w:lineRule="exact"/>
        <w:ind w:firstLine="1365" w:firstLineChars="650"/>
        <w:rPr>
          <w:bCs/>
          <w:color w:val="000000"/>
          <w:kern w:val="0"/>
        </w:rPr>
      </w:pPr>
    </w:p>
    <w:p>
      <w:pPr>
        <w:spacing w:line="480" w:lineRule="exact"/>
        <w:ind w:firstLine="3885" w:firstLineChars="1850"/>
        <w:rPr>
          <w:rFonts w:hint="eastAsia" w:hAnsi="宋体"/>
          <w:color w:val="000000"/>
          <w:kern w:val="0"/>
        </w:rPr>
      </w:pPr>
      <w:r>
        <w:rPr>
          <w:rFonts w:hAnsi="宋体"/>
          <w:color w:val="000000"/>
          <w:kern w:val="0"/>
        </w:rPr>
        <w:t>日期：</w:t>
      </w:r>
      <w:r>
        <w:rPr>
          <w:color w:val="000000"/>
          <w:kern w:val="0"/>
          <w:u w:val="single"/>
        </w:rPr>
        <w:t xml:space="preserve">  </w:t>
      </w:r>
      <w:r>
        <w:rPr>
          <w:rFonts w:hint="eastAsia"/>
          <w:color w:val="000000"/>
          <w:kern w:val="0"/>
          <w:u w:val="single"/>
        </w:rPr>
        <w:t xml:space="preserve">    </w:t>
      </w:r>
      <w:r>
        <w:rPr>
          <w:color w:val="000000"/>
          <w:kern w:val="0"/>
          <w:u w:val="single"/>
        </w:rPr>
        <w:t xml:space="preserve">  </w:t>
      </w:r>
      <w:r>
        <w:rPr>
          <w:rFonts w:hAnsi="宋体"/>
          <w:color w:val="000000"/>
          <w:kern w:val="0"/>
        </w:rPr>
        <w:t>年</w:t>
      </w:r>
      <w:r>
        <w:rPr>
          <w:color w:val="000000"/>
          <w:kern w:val="0"/>
          <w:u w:val="single"/>
        </w:rPr>
        <w:t xml:space="preserve">    </w:t>
      </w:r>
      <w:r>
        <w:rPr>
          <w:rFonts w:hAnsi="宋体"/>
          <w:color w:val="000000"/>
          <w:kern w:val="0"/>
        </w:rPr>
        <w:t>月</w:t>
      </w:r>
      <w:r>
        <w:rPr>
          <w:color w:val="000000"/>
          <w:kern w:val="0"/>
          <w:u w:val="single"/>
        </w:rPr>
        <w:t xml:space="preserve">    </w:t>
      </w:r>
      <w:r>
        <w:rPr>
          <w:rFonts w:hAnsi="宋体"/>
          <w:color w:val="000000"/>
          <w:kern w:val="0"/>
        </w:rPr>
        <w:t>日</w:t>
      </w:r>
    </w:p>
    <w:p>
      <w:pPr>
        <w:spacing w:line="480" w:lineRule="exact"/>
        <w:ind w:firstLine="3885" w:firstLineChars="1850"/>
        <w:rPr>
          <w:rFonts w:hint="eastAsia" w:hAnsi="宋体"/>
          <w:color w:val="000000"/>
          <w:kern w:val="0"/>
        </w:rPr>
      </w:pPr>
    </w:p>
    <w:p>
      <w:pPr>
        <w:spacing w:line="480" w:lineRule="exact"/>
        <w:ind w:firstLine="3885" w:firstLineChars="1850"/>
        <w:rPr>
          <w:rFonts w:hint="eastAsia" w:hAnsi="宋体"/>
          <w:color w:val="000000"/>
          <w:kern w:val="0"/>
        </w:rPr>
      </w:pPr>
    </w:p>
    <w:p>
      <w:pPr>
        <w:widowControl/>
        <w:ind w:firstLine="420" w:firstLineChars="200"/>
        <w:jc w:val="left"/>
        <w:rPr>
          <w:color w:val="000000"/>
        </w:rPr>
      </w:pPr>
      <w:r>
        <w:rPr>
          <w:rFonts w:hint="eastAsia"/>
          <w:color w:val="000000"/>
        </w:rPr>
        <w:t>【备注：本</w:t>
      </w:r>
      <w:r>
        <w:rPr>
          <w:color w:val="000000"/>
        </w:rPr>
        <w:t>证明只用于</w:t>
      </w:r>
      <w:r>
        <w:rPr>
          <w:rFonts w:hint="eastAsia"/>
          <w:color w:val="000000"/>
        </w:rPr>
        <w:t>法</w:t>
      </w:r>
      <w:r>
        <w:rPr>
          <w:color w:val="000000"/>
        </w:rPr>
        <w:t>人出席</w:t>
      </w:r>
      <w:r>
        <w:rPr>
          <w:rFonts w:hint="eastAsia"/>
          <w:color w:val="000000"/>
        </w:rPr>
        <w:t>现场</w:t>
      </w:r>
      <w:r>
        <w:rPr>
          <w:color w:val="000000"/>
        </w:rPr>
        <w:t>开</w:t>
      </w:r>
      <w:r>
        <w:rPr>
          <w:rFonts w:hint="eastAsia"/>
          <w:color w:val="000000"/>
        </w:rPr>
        <w:t>标</w:t>
      </w:r>
      <w:r>
        <w:rPr>
          <w:color w:val="000000"/>
        </w:rPr>
        <w:t>会</w:t>
      </w:r>
      <w:r>
        <w:rPr>
          <w:rFonts w:hint="eastAsia"/>
          <w:color w:val="000000"/>
        </w:rPr>
        <w:t>时</w:t>
      </w:r>
      <w:r>
        <w:rPr>
          <w:color w:val="000000"/>
        </w:rPr>
        <w:t>提供</w:t>
      </w:r>
      <w:r>
        <w:rPr>
          <w:rFonts w:hint="eastAsia"/>
          <w:color w:val="000000"/>
        </w:rPr>
        <w:t>，并附法定代表人身份证原件扫描件】</w:t>
      </w:r>
    </w:p>
    <w:bookmarkEnd w:id="1731"/>
    <w:bookmarkEnd w:id="1732"/>
    <w:bookmarkEnd w:id="1733"/>
    <w:p>
      <w:pPr>
        <w:tabs>
          <w:tab w:val="left" w:pos="826"/>
        </w:tabs>
        <w:snapToGrid w:val="0"/>
        <w:spacing w:line="360" w:lineRule="auto"/>
        <w:ind w:firstLine="315" w:firstLineChars="150"/>
        <w:jc w:val="center"/>
        <w:rPr>
          <w:rFonts w:hint="eastAsia"/>
          <w:color w:val="000000"/>
        </w:rPr>
      </w:pPr>
    </w:p>
    <w:p>
      <w:pPr>
        <w:spacing w:line="360" w:lineRule="auto"/>
        <w:rPr>
          <w:rFonts w:hint="eastAsia" w:ascii="宋体" w:hAnsi="宋体"/>
          <w:color w:val="000000"/>
        </w:rPr>
      </w:pPr>
    </w:p>
    <w:p>
      <w:pPr>
        <w:spacing w:line="480" w:lineRule="auto"/>
        <w:jc w:val="center"/>
        <w:rPr>
          <w:color w:val="000000"/>
        </w:rPr>
      </w:pPr>
    </w:p>
    <w:p>
      <w:pPr>
        <w:spacing w:line="480" w:lineRule="auto"/>
        <w:jc w:val="center"/>
        <w:rPr>
          <w:color w:val="000000"/>
        </w:rPr>
      </w:pPr>
    </w:p>
    <w:p>
      <w:pPr>
        <w:spacing w:line="480" w:lineRule="auto"/>
        <w:jc w:val="center"/>
        <w:rPr>
          <w:rFonts w:hint="eastAsia"/>
          <w:color w:val="000000"/>
        </w:rPr>
      </w:pPr>
    </w:p>
    <w:p>
      <w:pPr>
        <w:pStyle w:val="4"/>
        <w:jc w:val="center"/>
        <w:rPr>
          <w:color w:val="000000"/>
          <w:sz w:val="30"/>
          <w:szCs w:val="30"/>
        </w:rPr>
      </w:pPr>
      <w:bookmarkStart w:id="1734" w:name="_Toc59203261"/>
      <w:r>
        <w:rPr>
          <w:rFonts w:hint="eastAsia"/>
          <w:color w:val="000000"/>
          <w:sz w:val="30"/>
          <w:szCs w:val="30"/>
        </w:rPr>
        <w:t>2、联合体协议书（联合体投标人适用）</w:t>
      </w:r>
      <w:bookmarkEnd w:id="1734"/>
    </w:p>
    <w:p>
      <w:pPr>
        <w:spacing w:line="400" w:lineRule="exact"/>
        <w:rPr>
          <w:color w:val="000000"/>
          <w:szCs w:val="21"/>
        </w:rPr>
      </w:pPr>
    </w:p>
    <w:p>
      <w:pPr>
        <w:topLinePunct/>
        <w:spacing w:line="440" w:lineRule="exact"/>
        <w:ind w:firstLine="420" w:firstLineChars="200"/>
        <w:rPr>
          <w:rFonts w:ascii="宋体" w:hAnsi="宋体"/>
          <w:color w:val="000000"/>
          <w:szCs w:val="21"/>
        </w:rPr>
      </w:pPr>
      <w:r>
        <w:rPr>
          <w:rFonts w:ascii="宋体" w:hAnsi="宋体"/>
          <w:color w:val="000000"/>
          <w:szCs w:val="21"/>
          <w:u w:val="single"/>
        </w:rPr>
        <w:t xml:space="preserve">          </w:t>
      </w:r>
      <w:r>
        <w:rPr>
          <w:rFonts w:ascii="宋体" w:hAnsi="宋体"/>
          <w:color w:val="000000"/>
          <w:szCs w:val="21"/>
        </w:rPr>
        <w:t>（所有成员单位名称）自愿组成</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（联合体名称）</w:t>
      </w:r>
      <w:r>
        <w:rPr>
          <w:rFonts w:hint="eastAsia" w:ascii="宋体" w:hAnsi="宋体"/>
          <w:color w:val="000000"/>
          <w:szCs w:val="21"/>
        </w:rPr>
        <w:t>联合体</w:t>
      </w:r>
      <w:r>
        <w:rPr>
          <w:rFonts w:ascii="宋体" w:hAnsi="宋体"/>
          <w:color w:val="000000"/>
          <w:szCs w:val="21"/>
        </w:rPr>
        <w:t>，共同参加</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（项目名称）</w:t>
      </w:r>
      <w:r>
        <w:rPr>
          <w:rFonts w:hint="eastAsia" w:ascii="宋体" w:hAnsi="宋体"/>
          <w:color w:val="000000"/>
          <w:szCs w:val="21"/>
        </w:rPr>
        <w:t>总承包</w:t>
      </w:r>
      <w:r>
        <w:rPr>
          <w:rFonts w:ascii="宋体" w:hAnsi="宋体"/>
          <w:color w:val="000000"/>
          <w:szCs w:val="21"/>
        </w:rPr>
        <w:t>投标。现就联合体投标事宜订立如下协议。</w:t>
      </w:r>
    </w:p>
    <w:p>
      <w:pPr>
        <w:topLinePunct/>
        <w:spacing w:line="440" w:lineRule="exact"/>
        <w:ind w:firstLine="420" w:firstLineChars="200"/>
        <w:rPr>
          <w:rFonts w:ascii="宋体" w:hAnsi="宋体"/>
          <w:color w:val="000000"/>
          <w:szCs w:val="21"/>
        </w:rPr>
      </w:pPr>
      <w:r>
        <w:rPr>
          <w:rFonts w:ascii="宋体" w:hAnsi="宋体"/>
          <w:color w:val="000000"/>
          <w:szCs w:val="21"/>
        </w:rPr>
        <w:t>1</w:t>
      </w:r>
      <w:r>
        <w:rPr>
          <w:rFonts w:hint="eastAsia" w:ascii="宋体" w:hAnsi="宋体"/>
          <w:color w:val="000000"/>
          <w:szCs w:val="21"/>
        </w:rPr>
        <w:t>、</w:t>
      </w:r>
      <w:r>
        <w:rPr>
          <w:rFonts w:ascii="宋体" w:hAnsi="宋体"/>
          <w:color w:val="000000"/>
          <w:szCs w:val="21"/>
          <w:u w:val="single"/>
        </w:rPr>
        <w:t xml:space="preserve">       </w:t>
      </w:r>
      <w:r>
        <w:rPr>
          <w:rFonts w:ascii="宋体" w:hAnsi="宋体"/>
          <w:color w:val="000000"/>
          <w:szCs w:val="21"/>
        </w:rPr>
        <w:t>（某成员单位名称）为</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（联合体名称）牵头人。</w:t>
      </w:r>
    </w:p>
    <w:p>
      <w:pPr>
        <w:topLinePunct/>
        <w:spacing w:line="440" w:lineRule="exact"/>
        <w:ind w:firstLine="420" w:firstLineChars="200"/>
        <w:rPr>
          <w:rFonts w:ascii="宋体" w:hAnsi="宋体"/>
          <w:color w:val="000000"/>
          <w:szCs w:val="21"/>
        </w:rPr>
      </w:pPr>
      <w:r>
        <w:rPr>
          <w:rFonts w:ascii="宋体" w:hAnsi="宋体"/>
          <w:color w:val="000000"/>
          <w:szCs w:val="21"/>
        </w:rPr>
        <w:t>2、联合体牵头人</w:t>
      </w:r>
      <w:r>
        <w:rPr>
          <w:rFonts w:hint="eastAsia" w:ascii="宋体" w:hAnsi="宋体"/>
          <w:color w:val="000000"/>
          <w:szCs w:val="21"/>
        </w:rPr>
        <w:t>合法代表联合体各成员负责本招标项目投标文件编制和合同谈判活动，并代表联合体提交和接收相关的资料、信息及指示，并处理与之有关的一切事务，</w:t>
      </w:r>
      <w:r>
        <w:rPr>
          <w:rFonts w:ascii="宋体" w:hAnsi="宋体"/>
          <w:color w:val="000000"/>
          <w:szCs w:val="21"/>
        </w:rPr>
        <w:t>负责合同实施阶段的主办、组织和协调工作。</w:t>
      </w:r>
    </w:p>
    <w:p>
      <w:pPr>
        <w:topLinePunct/>
        <w:spacing w:line="440" w:lineRule="exact"/>
        <w:ind w:firstLine="420" w:firstLineChars="200"/>
        <w:rPr>
          <w:rFonts w:ascii="宋体" w:hAnsi="宋体"/>
          <w:color w:val="000000"/>
          <w:szCs w:val="21"/>
        </w:rPr>
      </w:pPr>
      <w:r>
        <w:rPr>
          <w:rFonts w:ascii="宋体" w:hAnsi="宋体"/>
          <w:color w:val="000000"/>
          <w:szCs w:val="21"/>
        </w:rPr>
        <w:t>3、联合体将严格按照招标文件的各项要求，递交投标文件，履行合同，并对外承担连带责任。</w:t>
      </w:r>
    </w:p>
    <w:p>
      <w:pPr>
        <w:topLinePunct/>
        <w:spacing w:line="440" w:lineRule="exact"/>
        <w:ind w:left="210" w:leftChars="100" w:firstLine="210" w:firstLineChars="100"/>
        <w:rPr>
          <w:rFonts w:ascii="宋体" w:hAnsi="宋体"/>
          <w:color w:val="000000"/>
          <w:szCs w:val="21"/>
        </w:rPr>
      </w:pPr>
      <w:r>
        <w:rPr>
          <w:rFonts w:ascii="宋体" w:hAnsi="宋体"/>
          <w:color w:val="000000"/>
          <w:szCs w:val="21"/>
        </w:rPr>
        <w:t>4、联合体各成员单位内部的职责分工如下：</w:t>
      </w:r>
      <w:r>
        <w:rPr>
          <w:rFonts w:ascii="宋体" w:hAnsi="宋体"/>
          <w:color w:val="000000"/>
          <w:szCs w:val="21"/>
          <w:u w:val="single"/>
        </w:rPr>
        <w:t xml:space="preserve">         </w:t>
      </w:r>
      <w:r>
        <w:rPr>
          <w:rFonts w:hint="eastAsia" w:ascii="宋体" w:hAnsi="宋体"/>
          <w:color w:val="000000"/>
          <w:szCs w:val="21"/>
        </w:rPr>
        <w:t>，且投标保证金由</w:t>
      </w:r>
      <w:r>
        <w:rPr>
          <w:rFonts w:hint="eastAsia" w:ascii="宋体" w:hAnsi="宋体"/>
          <w:color w:val="000000"/>
          <w:szCs w:val="21"/>
          <w:u w:val="single"/>
        </w:rPr>
        <w:t xml:space="preserve">        </w:t>
      </w:r>
      <w:r>
        <w:rPr>
          <w:rFonts w:hint="eastAsia" w:ascii="宋体" w:hAnsi="宋体"/>
          <w:color w:val="000000"/>
          <w:szCs w:val="21"/>
        </w:rPr>
        <w:t>（某成员单位名称）缴纳。</w:t>
      </w:r>
    </w:p>
    <w:p>
      <w:pPr>
        <w:topLinePunct/>
        <w:spacing w:line="440" w:lineRule="exact"/>
        <w:ind w:firstLine="420" w:firstLineChars="200"/>
        <w:rPr>
          <w:rFonts w:ascii="宋体" w:hAnsi="宋体"/>
          <w:color w:val="000000"/>
          <w:szCs w:val="21"/>
        </w:rPr>
      </w:pPr>
      <w:r>
        <w:rPr>
          <w:rFonts w:ascii="宋体" w:hAnsi="宋体"/>
          <w:color w:val="000000"/>
          <w:szCs w:val="21"/>
        </w:rPr>
        <w:t xml:space="preserve">5、本协议书自签署之日起生效，合同履行完毕后自动失效。 </w:t>
      </w:r>
    </w:p>
    <w:p>
      <w:pPr>
        <w:topLinePunct/>
        <w:spacing w:line="440" w:lineRule="exact"/>
        <w:ind w:firstLine="420" w:firstLineChars="200"/>
        <w:rPr>
          <w:rFonts w:ascii="宋体" w:hAnsi="宋体"/>
          <w:color w:val="000000"/>
          <w:szCs w:val="21"/>
        </w:rPr>
      </w:pPr>
      <w:r>
        <w:rPr>
          <w:rFonts w:ascii="宋体" w:hAnsi="宋体"/>
          <w:color w:val="000000"/>
          <w:szCs w:val="21"/>
        </w:rPr>
        <w:t>6、本协议书一式</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份，联合体成员和招标人各执</w:t>
      </w:r>
      <w:r>
        <w:rPr>
          <w:rFonts w:hint="eastAsia" w:ascii="宋体" w:hAnsi="宋体"/>
          <w:color w:val="000000"/>
          <w:szCs w:val="21"/>
          <w:u w:val="single"/>
        </w:rPr>
        <w:t xml:space="preserve">     </w:t>
      </w:r>
      <w:r>
        <w:rPr>
          <w:rFonts w:ascii="宋体" w:hAnsi="宋体"/>
          <w:color w:val="000000"/>
          <w:szCs w:val="21"/>
        </w:rPr>
        <w:t>份。</w:t>
      </w:r>
    </w:p>
    <w:p>
      <w:pPr>
        <w:topLinePunct/>
        <w:spacing w:line="440" w:lineRule="exact"/>
        <w:rPr>
          <w:rFonts w:ascii="宋体" w:hAnsi="宋体"/>
          <w:color w:val="000000"/>
          <w:szCs w:val="21"/>
        </w:rPr>
      </w:pPr>
    </w:p>
    <w:p>
      <w:pPr>
        <w:topLinePunct/>
        <w:spacing w:line="440" w:lineRule="exact"/>
        <w:rPr>
          <w:rFonts w:ascii="宋体" w:hAnsi="宋体"/>
          <w:color w:val="000000"/>
          <w:szCs w:val="21"/>
        </w:rPr>
      </w:pPr>
    </w:p>
    <w:p>
      <w:pPr>
        <w:topLinePunct/>
        <w:spacing w:line="440" w:lineRule="exact"/>
        <w:rPr>
          <w:rFonts w:ascii="宋体" w:hAnsi="宋体"/>
          <w:color w:val="000000"/>
          <w:szCs w:val="21"/>
        </w:rPr>
      </w:pPr>
      <w:r>
        <w:rPr>
          <w:rFonts w:ascii="宋体" w:hAnsi="宋体"/>
          <w:color w:val="000000"/>
          <w:szCs w:val="21"/>
        </w:rPr>
        <w:t>牵头人名称：</w:t>
      </w:r>
      <w:r>
        <w:rPr>
          <w:rFonts w:ascii="宋体" w:hAnsi="宋体"/>
          <w:color w:val="000000"/>
          <w:szCs w:val="21"/>
          <w:u w:val="single"/>
        </w:rPr>
        <w:t xml:space="preserve">                                 </w:t>
      </w:r>
      <w:r>
        <w:rPr>
          <w:rFonts w:ascii="宋体" w:hAnsi="宋体"/>
          <w:color w:val="000000"/>
          <w:szCs w:val="21"/>
        </w:rPr>
        <w:t>（盖单位章）</w:t>
      </w:r>
    </w:p>
    <w:p>
      <w:pPr>
        <w:topLinePunct/>
        <w:spacing w:line="440" w:lineRule="exact"/>
        <w:rPr>
          <w:rFonts w:ascii="宋体" w:hAnsi="宋体"/>
          <w:color w:val="000000"/>
          <w:szCs w:val="21"/>
        </w:rPr>
      </w:pPr>
    </w:p>
    <w:p>
      <w:pPr>
        <w:topLinePunct/>
        <w:spacing w:line="440" w:lineRule="exact"/>
        <w:rPr>
          <w:rFonts w:ascii="宋体" w:hAnsi="宋体"/>
          <w:color w:val="000000"/>
          <w:szCs w:val="21"/>
        </w:rPr>
      </w:pPr>
    </w:p>
    <w:p>
      <w:pPr>
        <w:topLinePunct/>
        <w:spacing w:line="440" w:lineRule="exact"/>
        <w:rPr>
          <w:rFonts w:ascii="宋体" w:hAnsi="宋体"/>
          <w:color w:val="000000"/>
          <w:szCs w:val="21"/>
        </w:rPr>
      </w:pPr>
      <w:r>
        <w:rPr>
          <w:rFonts w:ascii="宋体" w:hAnsi="宋体"/>
          <w:color w:val="000000"/>
          <w:szCs w:val="21"/>
        </w:rPr>
        <w:t>成员名称：</w:t>
      </w:r>
      <w:r>
        <w:rPr>
          <w:rFonts w:ascii="宋体" w:hAnsi="宋体"/>
          <w:color w:val="000000"/>
          <w:szCs w:val="21"/>
          <w:u w:val="single"/>
        </w:rPr>
        <w:t xml:space="preserve">                                 </w:t>
      </w:r>
      <w:r>
        <w:rPr>
          <w:rFonts w:ascii="宋体" w:hAnsi="宋体"/>
          <w:color w:val="000000"/>
          <w:szCs w:val="21"/>
        </w:rPr>
        <w:t>（盖单位章）</w:t>
      </w:r>
    </w:p>
    <w:p>
      <w:pPr>
        <w:topLinePunct/>
        <w:spacing w:line="440" w:lineRule="exact"/>
        <w:rPr>
          <w:rFonts w:ascii="宋体" w:hAnsi="宋体"/>
          <w:color w:val="000000"/>
          <w:szCs w:val="21"/>
        </w:rPr>
      </w:pPr>
    </w:p>
    <w:p>
      <w:pPr>
        <w:topLinePunct/>
        <w:spacing w:line="440" w:lineRule="exact"/>
        <w:rPr>
          <w:rFonts w:ascii="宋体" w:hAnsi="宋体"/>
          <w:color w:val="000000"/>
          <w:szCs w:val="21"/>
        </w:rPr>
      </w:pPr>
      <w:r>
        <w:rPr>
          <w:rFonts w:ascii="宋体" w:hAnsi="宋体"/>
          <w:color w:val="000000"/>
          <w:szCs w:val="21"/>
        </w:rPr>
        <w:t xml:space="preserve"> </w:t>
      </w:r>
    </w:p>
    <w:p>
      <w:pPr>
        <w:topLinePunct/>
        <w:spacing w:line="440" w:lineRule="exact"/>
        <w:rPr>
          <w:rFonts w:ascii="宋体" w:hAnsi="宋体"/>
          <w:color w:val="000000"/>
          <w:szCs w:val="21"/>
        </w:rPr>
      </w:pPr>
    </w:p>
    <w:p>
      <w:pPr>
        <w:ind w:firstLine="2879" w:firstLineChars="1371"/>
        <w:rPr>
          <w:rFonts w:ascii="宋体" w:hAnsi="宋体"/>
          <w:color w:val="000000"/>
        </w:rPr>
      </w:pPr>
      <w:r>
        <w:rPr>
          <w:rFonts w:ascii="宋体" w:hAnsi="宋体"/>
          <w:color w:val="000000"/>
          <w:u w:val="single"/>
        </w:rPr>
        <w:t xml:space="preserve">        </w:t>
      </w:r>
      <w:r>
        <w:rPr>
          <w:rFonts w:ascii="宋体" w:hAnsi="宋体"/>
          <w:color w:val="000000"/>
        </w:rPr>
        <w:t>年</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ascii="宋体" w:hAnsi="宋体"/>
          <w:color w:val="000000"/>
        </w:rPr>
        <w:t>月</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ascii="宋体" w:hAnsi="宋体"/>
          <w:color w:val="000000"/>
        </w:rPr>
        <w:t>日</w:t>
      </w: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spacing w:line="480" w:lineRule="exact"/>
        <w:ind w:firstLine="3885" w:firstLineChars="1850"/>
        <w:rPr>
          <w:rFonts w:hint="eastAsia" w:hAnsi="宋体"/>
          <w:color w:val="000000"/>
          <w:kern w:val="0"/>
          <w:szCs w:val="21"/>
        </w:rPr>
      </w:pPr>
    </w:p>
    <w:p>
      <w:pPr>
        <w:pStyle w:val="4"/>
        <w:jc w:val="center"/>
        <w:rPr>
          <w:rFonts w:hint="eastAsia"/>
          <w:color w:val="000000"/>
          <w:sz w:val="30"/>
          <w:szCs w:val="30"/>
        </w:rPr>
      </w:pPr>
      <w:bookmarkStart w:id="1735" w:name="_Toc59203262"/>
      <w:r>
        <w:rPr>
          <w:rFonts w:hint="eastAsia"/>
          <w:color w:val="000000"/>
          <w:sz w:val="30"/>
          <w:szCs w:val="30"/>
        </w:rPr>
        <w:t>3、</w:t>
      </w:r>
      <w:r>
        <w:rPr>
          <w:color w:val="000000"/>
          <w:sz w:val="30"/>
          <w:szCs w:val="30"/>
        </w:rPr>
        <w:t>投标人基本情况表</w:t>
      </w:r>
      <w:r>
        <w:rPr>
          <w:rFonts w:hint="eastAsia"/>
          <w:color w:val="000000"/>
          <w:sz w:val="30"/>
          <w:szCs w:val="30"/>
        </w:rPr>
        <w:t>（包含联合体各方）</w:t>
      </w:r>
      <w:bookmarkEnd w:id="1735"/>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897"/>
        <w:gridCol w:w="1021"/>
        <w:gridCol w:w="1160"/>
        <w:gridCol w:w="311"/>
        <w:gridCol w:w="1246"/>
        <w:gridCol w:w="63"/>
        <w:gridCol w:w="72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626" w:type="dxa"/>
            <w:noWrap w:val="0"/>
            <w:vAlign w:val="center"/>
          </w:tcPr>
          <w:p>
            <w:pPr>
              <w:jc w:val="center"/>
              <w:rPr>
                <w:color w:val="000000"/>
                <w:szCs w:val="21"/>
              </w:rPr>
            </w:pPr>
            <w:r>
              <w:rPr>
                <w:color w:val="000000"/>
                <w:szCs w:val="21"/>
              </w:rPr>
              <w:t>投标人名称</w:t>
            </w:r>
          </w:p>
        </w:tc>
        <w:tc>
          <w:tcPr>
            <w:tcW w:w="7341" w:type="dxa"/>
            <w:gridSpan w:val="8"/>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626" w:type="dxa"/>
            <w:noWrap w:val="0"/>
            <w:vAlign w:val="center"/>
          </w:tcPr>
          <w:p>
            <w:pPr>
              <w:jc w:val="center"/>
              <w:rPr>
                <w:color w:val="000000"/>
                <w:szCs w:val="21"/>
              </w:rPr>
            </w:pPr>
            <w:r>
              <w:rPr>
                <w:color w:val="000000"/>
                <w:szCs w:val="21"/>
              </w:rPr>
              <w:t>注册地址</w:t>
            </w:r>
          </w:p>
        </w:tc>
        <w:tc>
          <w:tcPr>
            <w:tcW w:w="3389" w:type="dxa"/>
            <w:gridSpan w:val="4"/>
            <w:noWrap w:val="0"/>
            <w:vAlign w:val="center"/>
          </w:tcPr>
          <w:p>
            <w:pPr>
              <w:jc w:val="center"/>
              <w:rPr>
                <w:color w:val="000000"/>
                <w:szCs w:val="21"/>
              </w:rPr>
            </w:pPr>
          </w:p>
        </w:tc>
        <w:tc>
          <w:tcPr>
            <w:tcW w:w="1246" w:type="dxa"/>
            <w:noWrap w:val="0"/>
            <w:vAlign w:val="center"/>
          </w:tcPr>
          <w:p>
            <w:pPr>
              <w:jc w:val="center"/>
              <w:rPr>
                <w:color w:val="000000"/>
                <w:szCs w:val="21"/>
              </w:rPr>
            </w:pPr>
            <w:r>
              <w:rPr>
                <w:color w:val="000000"/>
                <w:szCs w:val="21"/>
              </w:rPr>
              <w:t>邮政编码</w:t>
            </w:r>
          </w:p>
        </w:tc>
        <w:tc>
          <w:tcPr>
            <w:tcW w:w="2706" w:type="dxa"/>
            <w:gridSpan w:val="3"/>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626" w:type="dxa"/>
            <w:vMerge w:val="restart"/>
            <w:noWrap w:val="0"/>
            <w:vAlign w:val="center"/>
          </w:tcPr>
          <w:p>
            <w:pPr>
              <w:jc w:val="center"/>
              <w:rPr>
                <w:color w:val="000000"/>
                <w:szCs w:val="21"/>
              </w:rPr>
            </w:pPr>
            <w:r>
              <w:rPr>
                <w:color w:val="000000"/>
                <w:szCs w:val="21"/>
              </w:rPr>
              <w:t>联系方式</w:t>
            </w:r>
          </w:p>
        </w:tc>
        <w:tc>
          <w:tcPr>
            <w:tcW w:w="897" w:type="dxa"/>
            <w:noWrap w:val="0"/>
            <w:vAlign w:val="center"/>
          </w:tcPr>
          <w:p>
            <w:pPr>
              <w:jc w:val="center"/>
              <w:rPr>
                <w:color w:val="000000"/>
                <w:szCs w:val="21"/>
              </w:rPr>
            </w:pPr>
            <w:r>
              <w:rPr>
                <w:color w:val="000000"/>
                <w:szCs w:val="21"/>
              </w:rPr>
              <w:t>联系人</w:t>
            </w:r>
          </w:p>
        </w:tc>
        <w:tc>
          <w:tcPr>
            <w:tcW w:w="2492" w:type="dxa"/>
            <w:gridSpan w:val="3"/>
            <w:noWrap w:val="0"/>
            <w:vAlign w:val="center"/>
          </w:tcPr>
          <w:p>
            <w:pPr>
              <w:jc w:val="center"/>
              <w:rPr>
                <w:color w:val="000000"/>
                <w:szCs w:val="21"/>
              </w:rPr>
            </w:pPr>
          </w:p>
        </w:tc>
        <w:tc>
          <w:tcPr>
            <w:tcW w:w="1246" w:type="dxa"/>
            <w:noWrap w:val="0"/>
            <w:vAlign w:val="center"/>
          </w:tcPr>
          <w:p>
            <w:pPr>
              <w:jc w:val="center"/>
              <w:rPr>
                <w:color w:val="000000"/>
                <w:szCs w:val="21"/>
              </w:rPr>
            </w:pPr>
            <w:r>
              <w:rPr>
                <w:color w:val="000000"/>
                <w:szCs w:val="21"/>
              </w:rPr>
              <w:t>电  话</w:t>
            </w:r>
          </w:p>
        </w:tc>
        <w:tc>
          <w:tcPr>
            <w:tcW w:w="2706" w:type="dxa"/>
            <w:gridSpan w:val="3"/>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626" w:type="dxa"/>
            <w:vMerge w:val="continue"/>
            <w:noWrap w:val="0"/>
            <w:vAlign w:val="center"/>
          </w:tcPr>
          <w:p>
            <w:pPr>
              <w:jc w:val="center"/>
              <w:rPr>
                <w:color w:val="000000"/>
                <w:szCs w:val="21"/>
              </w:rPr>
            </w:pPr>
          </w:p>
        </w:tc>
        <w:tc>
          <w:tcPr>
            <w:tcW w:w="897" w:type="dxa"/>
            <w:noWrap w:val="0"/>
            <w:vAlign w:val="center"/>
          </w:tcPr>
          <w:p>
            <w:pPr>
              <w:jc w:val="center"/>
              <w:rPr>
                <w:color w:val="000000"/>
                <w:szCs w:val="21"/>
              </w:rPr>
            </w:pPr>
            <w:r>
              <w:rPr>
                <w:color w:val="000000"/>
                <w:szCs w:val="21"/>
              </w:rPr>
              <w:t>传  真</w:t>
            </w:r>
          </w:p>
        </w:tc>
        <w:tc>
          <w:tcPr>
            <w:tcW w:w="2492" w:type="dxa"/>
            <w:gridSpan w:val="3"/>
            <w:noWrap w:val="0"/>
            <w:vAlign w:val="center"/>
          </w:tcPr>
          <w:p>
            <w:pPr>
              <w:jc w:val="center"/>
              <w:rPr>
                <w:color w:val="000000"/>
                <w:szCs w:val="21"/>
              </w:rPr>
            </w:pPr>
          </w:p>
        </w:tc>
        <w:tc>
          <w:tcPr>
            <w:tcW w:w="1246" w:type="dxa"/>
            <w:noWrap w:val="0"/>
            <w:vAlign w:val="center"/>
          </w:tcPr>
          <w:p>
            <w:pPr>
              <w:jc w:val="center"/>
              <w:rPr>
                <w:color w:val="000000"/>
                <w:szCs w:val="21"/>
              </w:rPr>
            </w:pPr>
            <w:r>
              <w:rPr>
                <w:color w:val="000000"/>
                <w:szCs w:val="21"/>
              </w:rPr>
              <w:t>网  址</w:t>
            </w:r>
          </w:p>
        </w:tc>
        <w:tc>
          <w:tcPr>
            <w:tcW w:w="2706" w:type="dxa"/>
            <w:gridSpan w:val="3"/>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626" w:type="dxa"/>
            <w:noWrap w:val="0"/>
            <w:vAlign w:val="center"/>
          </w:tcPr>
          <w:p>
            <w:pPr>
              <w:jc w:val="center"/>
              <w:rPr>
                <w:rFonts w:ascii="宋体" w:hAnsi="宋体"/>
                <w:color w:val="000000"/>
                <w:szCs w:val="21"/>
              </w:rPr>
            </w:pPr>
            <w:r>
              <w:rPr>
                <w:rFonts w:hint="eastAsia" w:ascii="宋体" w:hAnsi="宋体"/>
                <w:color w:val="000000"/>
              </w:rPr>
              <w:t>统一社会信用代码</w:t>
            </w:r>
          </w:p>
        </w:tc>
        <w:tc>
          <w:tcPr>
            <w:tcW w:w="7341" w:type="dxa"/>
            <w:gridSpan w:val="8"/>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626" w:type="dxa"/>
            <w:noWrap w:val="0"/>
            <w:vAlign w:val="center"/>
          </w:tcPr>
          <w:p>
            <w:pPr>
              <w:jc w:val="center"/>
              <w:rPr>
                <w:color w:val="000000"/>
                <w:szCs w:val="21"/>
              </w:rPr>
            </w:pPr>
            <w:r>
              <w:rPr>
                <w:color w:val="000000"/>
                <w:szCs w:val="21"/>
              </w:rPr>
              <w:t>法定代表人</w:t>
            </w:r>
          </w:p>
        </w:tc>
        <w:tc>
          <w:tcPr>
            <w:tcW w:w="897" w:type="dxa"/>
            <w:noWrap w:val="0"/>
            <w:vAlign w:val="center"/>
          </w:tcPr>
          <w:p>
            <w:pPr>
              <w:jc w:val="center"/>
              <w:rPr>
                <w:color w:val="000000"/>
                <w:szCs w:val="21"/>
              </w:rPr>
            </w:pPr>
            <w:r>
              <w:rPr>
                <w:color w:val="000000"/>
                <w:szCs w:val="21"/>
              </w:rPr>
              <w:t>姓名</w:t>
            </w:r>
          </w:p>
        </w:tc>
        <w:tc>
          <w:tcPr>
            <w:tcW w:w="1021" w:type="dxa"/>
            <w:noWrap w:val="0"/>
            <w:vAlign w:val="center"/>
          </w:tcPr>
          <w:p>
            <w:pPr>
              <w:jc w:val="center"/>
              <w:rPr>
                <w:color w:val="000000"/>
                <w:szCs w:val="21"/>
              </w:rPr>
            </w:pPr>
          </w:p>
        </w:tc>
        <w:tc>
          <w:tcPr>
            <w:tcW w:w="1160" w:type="dxa"/>
            <w:noWrap w:val="0"/>
            <w:vAlign w:val="center"/>
          </w:tcPr>
          <w:p>
            <w:pPr>
              <w:jc w:val="center"/>
              <w:rPr>
                <w:color w:val="000000"/>
                <w:szCs w:val="21"/>
              </w:rPr>
            </w:pPr>
            <w:r>
              <w:rPr>
                <w:color w:val="000000"/>
                <w:szCs w:val="21"/>
              </w:rPr>
              <w:t>技术职称</w:t>
            </w:r>
          </w:p>
        </w:tc>
        <w:tc>
          <w:tcPr>
            <w:tcW w:w="1620" w:type="dxa"/>
            <w:gridSpan w:val="3"/>
            <w:noWrap w:val="0"/>
            <w:vAlign w:val="center"/>
          </w:tcPr>
          <w:p>
            <w:pPr>
              <w:jc w:val="center"/>
              <w:rPr>
                <w:color w:val="000000"/>
                <w:szCs w:val="21"/>
              </w:rPr>
            </w:pPr>
          </w:p>
        </w:tc>
        <w:tc>
          <w:tcPr>
            <w:tcW w:w="720" w:type="dxa"/>
            <w:noWrap w:val="0"/>
            <w:vAlign w:val="center"/>
          </w:tcPr>
          <w:p>
            <w:pPr>
              <w:jc w:val="center"/>
              <w:rPr>
                <w:color w:val="000000"/>
                <w:szCs w:val="21"/>
              </w:rPr>
            </w:pPr>
            <w:r>
              <w:rPr>
                <w:color w:val="000000"/>
                <w:szCs w:val="21"/>
              </w:rPr>
              <w:t>电话</w:t>
            </w:r>
          </w:p>
        </w:tc>
        <w:tc>
          <w:tcPr>
            <w:tcW w:w="1923"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626" w:type="dxa"/>
            <w:noWrap w:val="0"/>
            <w:vAlign w:val="center"/>
          </w:tcPr>
          <w:p>
            <w:pPr>
              <w:jc w:val="center"/>
              <w:rPr>
                <w:color w:val="000000"/>
                <w:szCs w:val="21"/>
              </w:rPr>
            </w:pPr>
            <w:r>
              <w:rPr>
                <w:color w:val="000000"/>
                <w:szCs w:val="21"/>
              </w:rPr>
              <w:t>技术负责人</w:t>
            </w:r>
          </w:p>
        </w:tc>
        <w:tc>
          <w:tcPr>
            <w:tcW w:w="897" w:type="dxa"/>
            <w:noWrap w:val="0"/>
            <w:vAlign w:val="center"/>
          </w:tcPr>
          <w:p>
            <w:pPr>
              <w:jc w:val="center"/>
              <w:rPr>
                <w:color w:val="000000"/>
                <w:szCs w:val="21"/>
              </w:rPr>
            </w:pPr>
            <w:r>
              <w:rPr>
                <w:color w:val="000000"/>
                <w:szCs w:val="21"/>
              </w:rPr>
              <w:t>姓名</w:t>
            </w:r>
          </w:p>
        </w:tc>
        <w:tc>
          <w:tcPr>
            <w:tcW w:w="1021" w:type="dxa"/>
            <w:noWrap w:val="0"/>
            <w:vAlign w:val="center"/>
          </w:tcPr>
          <w:p>
            <w:pPr>
              <w:jc w:val="center"/>
              <w:rPr>
                <w:color w:val="000000"/>
                <w:szCs w:val="21"/>
              </w:rPr>
            </w:pPr>
          </w:p>
        </w:tc>
        <w:tc>
          <w:tcPr>
            <w:tcW w:w="1160" w:type="dxa"/>
            <w:noWrap w:val="0"/>
            <w:vAlign w:val="center"/>
          </w:tcPr>
          <w:p>
            <w:pPr>
              <w:jc w:val="center"/>
              <w:rPr>
                <w:color w:val="000000"/>
                <w:szCs w:val="21"/>
              </w:rPr>
            </w:pPr>
            <w:r>
              <w:rPr>
                <w:color w:val="000000"/>
                <w:szCs w:val="21"/>
              </w:rPr>
              <w:t>技术职称</w:t>
            </w:r>
          </w:p>
        </w:tc>
        <w:tc>
          <w:tcPr>
            <w:tcW w:w="1620" w:type="dxa"/>
            <w:gridSpan w:val="3"/>
            <w:noWrap w:val="0"/>
            <w:vAlign w:val="center"/>
          </w:tcPr>
          <w:p>
            <w:pPr>
              <w:jc w:val="center"/>
              <w:rPr>
                <w:color w:val="000000"/>
                <w:szCs w:val="21"/>
              </w:rPr>
            </w:pPr>
          </w:p>
        </w:tc>
        <w:tc>
          <w:tcPr>
            <w:tcW w:w="720" w:type="dxa"/>
            <w:noWrap w:val="0"/>
            <w:vAlign w:val="center"/>
          </w:tcPr>
          <w:p>
            <w:pPr>
              <w:jc w:val="center"/>
              <w:rPr>
                <w:color w:val="000000"/>
                <w:szCs w:val="21"/>
              </w:rPr>
            </w:pPr>
            <w:r>
              <w:rPr>
                <w:color w:val="000000"/>
                <w:szCs w:val="21"/>
              </w:rPr>
              <w:t>电话</w:t>
            </w:r>
          </w:p>
        </w:tc>
        <w:tc>
          <w:tcPr>
            <w:tcW w:w="1923"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626" w:type="dxa"/>
            <w:noWrap w:val="0"/>
            <w:vAlign w:val="center"/>
          </w:tcPr>
          <w:p>
            <w:pPr>
              <w:jc w:val="center"/>
              <w:rPr>
                <w:color w:val="000000"/>
                <w:szCs w:val="21"/>
              </w:rPr>
            </w:pPr>
            <w:r>
              <w:rPr>
                <w:color w:val="000000"/>
                <w:szCs w:val="21"/>
              </w:rPr>
              <w:t>成立时间</w:t>
            </w:r>
          </w:p>
        </w:tc>
        <w:tc>
          <w:tcPr>
            <w:tcW w:w="1918" w:type="dxa"/>
            <w:gridSpan w:val="2"/>
            <w:noWrap w:val="0"/>
            <w:vAlign w:val="center"/>
          </w:tcPr>
          <w:p>
            <w:pPr>
              <w:jc w:val="center"/>
              <w:rPr>
                <w:color w:val="000000"/>
                <w:szCs w:val="21"/>
              </w:rPr>
            </w:pPr>
          </w:p>
        </w:tc>
        <w:tc>
          <w:tcPr>
            <w:tcW w:w="5423" w:type="dxa"/>
            <w:gridSpan w:val="6"/>
            <w:noWrap w:val="0"/>
            <w:vAlign w:val="center"/>
          </w:tcPr>
          <w:p>
            <w:pPr>
              <w:jc w:val="center"/>
              <w:rPr>
                <w:color w:val="000000"/>
                <w:szCs w:val="21"/>
              </w:rPr>
            </w:pPr>
            <w:r>
              <w:rPr>
                <w:color w:val="000000"/>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626" w:type="dxa"/>
            <w:noWrap w:val="0"/>
            <w:vAlign w:val="center"/>
          </w:tcPr>
          <w:p>
            <w:pPr>
              <w:jc w:val="center"/>
              <w:rPr>
                <w:color w:val="000000"/>
                <w:szCs w:val="21"/>
              </w:rPr>
            </w:pPr>
            <w:r>
              <w:rPr>
                <w:color w:val="000000"/>
                <w:szCs w:val="21"/>
              </w:rPr>
              <w:t>企业资质等级</w:t>
            </w:r>
          </w:p>
        </w:tc>
        <w:tc>
          <w:tcPr>
            <w:tcW w:w="1918" w:type="dxa"/>
            <w:gridSpan w:val="2"/>
            <w:noWrap w:val="0"/>
            <w:vAlign w:val="center"/>
          </w:tcPr>
          <w:p>
            <w:pPr>
              <w:jc w:val="center"/>
              <w:rPr>
                <w:color w:val="000000"/>
                <w:szCs w:val="21"/>
              </w:rPr>
            </w:pPr>
          </w:p>
        </w:tc>
        <w:tc>
          <w:tcPr>
            <w:tcW w:w="1160" w:type="dxa"/>
            <w:vMerge w:val="restart"/>
            <w:noWrap w:val="0"/>
            <w:vAlign w:val="center"/>
          </w:tcPr>
          <w:p>
            <w:pPr>
              <w:jc w:val="center"/>
              <w:rPr>
                <w:color w:val="000000"/>
                <w:szCs w:val="21"/>
              </w:rPr>
            </w:pPr>
            <w:r>
              <w:rPr>
                <w:color w:val="000000"/>
                <w:szCs w:val="21"/>
              </w:rPr>
              <w:t>其中</w:t>
            </w:r>
          </w:p>
        </w:tc>
        <w:tc>
          <w:tcPr>
            <w:tcW w:w="1620" w:type="dxa"/>
            <w:gridSpan w:val="3"/>
            <w:noWrap w:val="0"/>
            <w:vAlign w:val="center"/>
          </w:tcPr>
          <w:p>
            <w:pPr>
              <w:jc w:val="center"/>
              <w:rPr>
                <w:color w:val="000000"/>
                <w:szCs w:val="21"/>
              </w:rPr>
            </w:pPr>
            <w:r>
              <w:rPr>
                <w:rFonts w:hint="eastAsia"/>
                <w:color w:val="000000"/>
                <w:szCs w:val="21"/>
              </w:rPr>
              <w:t>施工</w:t>
            </w:r>
            <w:r>
              <w:rPr>
                <w:color w:val="000000"/>
                <w:szCs w:val="21"/>
              </w:rPr>
              <w:t>项目经理</w:t>
            </w:r>
          </w:p>
        </w:tc>
        <w:tc>
          <w:tcPr>
            <w:tcW w:w="2643" w:type="dxa"/>
            <w:gridSpan w:val="2"/>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626" w:type="dxa"/>
            <w:noWrap w:val="0"/>
            <w:vAlign w:val="center"/>
          </w:tcPr>
          <w:p>
            <w:pPr>
              <w:jc w:val="center"/>
              <w:rPr>
                <w:rFonts w:hint="eastAsia"/>
                <w:color w:val="000000"/>
                <w:szCs w:val="21"/>
              </w:rPr>
            </w:pPr>
            <w:r>
              <w:rPr>
                <w:rFonts w:hint="eastAsia"/>
                <w:color w:val="000000"/>
                <w:szCs w:val="21"/>
              </w:rPr>
              <w:t>安全生产许可证</w:t>
            </w:r>
            <w:r>
              <w:rPr>
                <w:color w:val="000000"/>
                <w:szCs w:val="21"/>
              </w:rPr>
              <w:t>号</w:t>
            </w:r>
            <w:r>
              <w:rPr>
                <w:rFonts w:hint="eastAsia"/>
                <w:color w:val="000000"/>
                <w:szCs w:val="21"/>
              </w:rPr>
              <w:t>（如有）</w:t>
            </w:r>
          </w:p>
        </w:tc>
        <w:tc>
          <w:tcPr>
            <w:tcW w:w="1918" w:type="dxa"/>
            <w:gridSpan w:val="2"/>
            <w:noWrap w:val="0"/>
            <w:vAlign w:val="center"/>
          </w:tcPr>
          <w:p>
            <w:pPr>
              <w:jc w:val="center"/>
              <w:rPr>
                <w:color w:val="000000"/>
                <w:szCs w:val="21"/>
              </w:rPr>
            </w:pPr>
          </w:p>
        </w:tc>
        <w:tc>
          <w:tcPr>
            <w:tcW w:w="1160" w:type="dxa"/>
            <w:vMerge w:val="continue"/>
            <w:noWrap w:val="0"/>
            <w:vAlign w:val="center"/>
          </w:tcPr>
          <w:p>
            <w:pPr>
              <w:jc w:val="center"/>
              <w:rPr>
                <w:color w:val="000000"/>
                <w:szCs w:val="21"/>
              </w:rPr>
            </w:pPr>
          </w:p>
        </w:tc>
        <w:tc>
          <w:tcPr>
            <w:tcW w:w="1620" w:type="dxa"/>
            <w:gridSpan w:val="3"/>
            <w:noWrap w:val="0"/>
            <w:vAlign w:val="center"/>
          </w:tcPr>
          <w:p>
            <w:pPr>
              <w:jc w:val="center"/>
              <w:rPr>
                <w:color w:val="000000"/>
                <w:szCs w:val="21"/>
              </w:rPr>
            </w:pPr>
            <w:r>
              <w:rPr>
                <w:color w:val="000000"/>
                <w:szCs w:val="21"/>
              </w:rPr>
              <w:t>高级职称人员</w:t>
            </w:r>
          </w:p>
        </w:tc>
        <w:tc>
          <w:tcPr>
            <w:tcW w:w="2643" w:type="dxa"/>
            <w:gridSpan w:val="2"/>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626" w:type="dxa"/>
            <w:noWrap w:val="0"/>
            <w:vAlign w:val="center"/>
          </w:tcPr>
          <w:p>
            <w:pPr>
              <w:jc w:val="center"/>
              <w:rPr>
                <w:color w:val="000000"/>
                <w:szCs w:val="21"/>
              </w:rPr>
            </w:pPr>
            <w:r>
              <w:rPr>
                <w:color w:val="000000"/>
                <w:szCs w:val="21"/>
              </w:rPr>
              <w:t>注册资金</w:t>
            </w:r>
          </w:p>
        </w:tc>
        <w:tc>
          <w:tcPr>
            <w:tcW w:w="1918" w:type="dxa"/>
            <w:gridSpan w:val="2"/>
            <w:noWrap w:val="0"/>
            <w:vAlign w:val="center"/>
          </w:tcPr>
          <w:p>
            <w:pPr>
              <w:jc w:val="center"/>
              <w:rPr>
                <w:color w:val="000000"/>
                <w:szCs w:val="21"/>
              </w:rPr>
            </w:pPr>
          </w:p>
        </w:tc>
        <w:tc>
          <w:tcPr>
            <w:tcW w:w="1160" w:type="dxa"/>
            <w:vMerge w:val="continue"/>
            <w:noWrap w:val="0"/>
            <w:vAlign w:val="center"/>
          </w:tcPr>
          <w:p>
            <w:pPr>
              <w:jc w:val="center"/>
              <w:rPr>
                <w:color w:val="000000"/>
                <w:szCs w:val="21"/>
              </w:rPr>
            </w:pPr>
          </w:p>
        </w:tc>
        <w:tc>
          <w:tcPr>
            <w:tcW w:w="1620" w:type="dxa"/>
            <w:gridSpan w:val="3"/>
            <w:noWrap w:val="0"/>
            <w:vAlign w:val="center"/>
          </w:tcPr>
          <w:p>
            <w:pPr>
              <w:jc w:val="center"/>
              <w:rPr>
                <w:color w:val="000000"/>
                <w:szCs w:val="21"/>
              </w:rPr>
            </w:pPr>
            <w:r>
              <w:rPr>
                <w:color w:val="000000"/>
                <w:szCs w:val="21"/>
              </w:rPr>
              <w:t>中级职称人员</w:t>
            </w:r>
          </w:p>
        </w:tc>
        <w:tc>
          <w:tcPr>
            <w:tcW w:w="2643" w:type="dxa"/>
            <w:gridSpan w:val="2"/>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626" w:type="dxa"/>
            <w:noWrap w:val="0"/>
            <w:vAlign w:val="center"/>
          </w:tcPr>
          <w:p>
            <w:pPr>
              <w:jc w:val="center"/>
              <w:rPr>
                <w:color w:val="000000"/>
                <w:szCs w:val="21"/>
              </w:rPr>
            </w:pPr>
            <w:r>
              <w:rPr>
                <w:rFonts w:hint="eastAsia"/>
                <w:color w:val="000000"/>
                <w:szCs w:val="21"/>
              </w:rPr>
              <w:t>企业基本账户银行</w:t>
            </w:r>
          </w:p>
        </w:tc>
        <w:tc>
          <w:tcPr>
            <w:tcW w:w="1918" w:type="dxa"/>
            <w:gridSpan w:val="2"/>
            <w:noWrap w:val="0"/>
            <w:vAlign w:val="center"/>
          </w:tcPr>
          <w:p>
            <w:pPr>
              <w:jc w:val="center"/>
              <w:rPr>
                <w:color w:val="000000"/>
                <w:szCs w:val="21"/>
              </w:rPr>
            </w:pPr>
          </w:p>
        </w:tc>
        <w:tc>
          <w:tcPr>
            <w:tcW w:w="1160" w:type="dxa"/>
            <w:vMerge w:val="continue"/>
            <w:noWrap w:val="0"/>
            <w:vAlign w:val="center"/>
          </w:tcPr>
          <w:p>
            <w:pPr>
              <w:jc w:val="center"/>
              <w:rPr>
                <w:color w:val="000000"/>
                <w:szCs w:val="21"/>
              </w:rPr>
            </w:pPr>
          </w:p>
        </w:tc>
        <w:tc>
          <w:tcPr>
            <w:tcW w:w="1620" w:type="dxa"/>
            <w:gridSpan w:val="3"/>
            <w:noWrap w:val="0"/>
            <w:vAlign w:val="center"/>
          </w:tcPr>
          <w:p>
            <w:pPr>
              <w:jc w:val="center"/>
              <w:rPr>
                <w:color w:val="000000"/>
                <w:szCs w:val="21"/>
              </w:rPr>
            </w:pPr>
            <w:r>
              <w:rPr>
                <w:color w:val="000000"/>
                <w:szCs w:val="21"/>
              </w:rPr>
              <w:t>初级职称人员</w:t>
            </w:r>
          </w:p>
        </w:tc>
        <w:tc>
          <w:tcPr>
            <w:tcW w:w="2643" w:type="dxa"/>
            <w:gridSpan w:val="2"/>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626" w:type="dxa"/>
            <w:noWrap w:val="0"/>
            <w:vAlign w:val="center"/>
          </w:tcPr>
          <w:p>
            <w:pPr>
              <w:jc w:val="center"/>
              <w:rPr>
                <w:color w:val="000000"/>
                <w:szCs w:val="21"/>
              </w:rPr>
            </w:pPr>
            <w:r>
              <w:rPr>
                <w:color w:val="000000"/>
                <w:szCs w:val="21"/>
              </w:rPr>
              <w:t>账号</w:t>
            </w:r>
          </w:p>
        </w:tc>
        <w:tc>
          <w:tcPr>
            <w:tcW w:w="1918" w:type="dxa"/>
            <w:gridSpan w:val="2"/>
            <w:noWrap w:val="0"/>
            <w:vAlign w:val="center"/>
          </w:tcPr>
          <w:p>
            <w:pPr>
              <w:jc w:val="center"/>
              <w:rPr>
                <w:color w:val="000000"/>
                <w:szCs w:val="21"/>
              </w:rPr>
            </w:pPr>
          </w:p>
        </w:tc>
        <w:tc>
          <w:tcPr>
            <w:tcW w:w="1160" w:type="dxa"/>
            <w:vMerge w:val="continue"/>
            <w:noWrap w:val="0"/>
            <w:vAlign w:val="center"/>
          </w:tcPr>
          <w:p>
            <w:pPr>
              <w:jc w:val="center"/>
              <w:rPr>
                <w:color w:val="000000"/>
                <w:szCs w:val="21"/>
              </w:rPr>
            </w:pPr>
          </w:p>
        </w:tc>
        <w:tc>
          <w:tcPr>
            <w:tcW w:w="1620" w:type="dxa"/>
            <w:gridSpan w:val="3"/>
            <w:noWrap w:val="0"/>
            <w:vAlign w:val="center"/>
          </w:tcPr>
          <w:p>
            <w:pPr>
              <w:jc w:val="center"/>
              <w:rPr>
                <w:color w:val="000000"/>
                <w:szCs w:val="21"/>
              </w:rPr>
            </w:pPr>
            <w:r>
              <w:rPr>
                <w:color w:val="000000"/>
                <w:szCs w:val="21"/>
              </w:rPr>
              <w:t>技  工</w:t>
            </w:r>
          </w:p>
        </w:tc>
        <w:tc>
          <w:tcPr>
            <w:tcW w:w="2643" w:type="dxa"/>
            <w:gridSpan w:val="2"/>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837" w:hRule="atLeast"/>
          <w:jc w:val="center"/>
        </w:trPr>
        <w:tc>
          <w:tcPr>
            <w:tcW w:w="1626" w:type="dxa"/>
            <w:noWrap w:val="0"/>
            <w:vAlign w:val="center"/>
          </w:tcPr>
          <w:p>
            <w:pPr>
              <w:jc w:val="center"/>
              <w:rPr>
                <w:color w:val="000000"/>
                <w:szCs w:val="21"/>
              </w:rPr>
            </w:pPr>
            <w:r>
              <w:rPr>
                <w:color w:val="000000"/>
                <w:szCs w:val="21"/>
              </w:rPr>
              <w:t>经营范围</w:t>
            </w:r>
          </w:p>
        </w:tc>
        <w:tc>
          <w:tcPr>
            <w:tcW w:w="7341" w:type="dxa"/>
            <w:gridSpan w:val="8"/>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626" w:type="dxa"/>
            <w:noWrap w:val="0"/>
            <w:vAlign w:val="center"/>
          </w:tcPr>
          <w:p>
            <w:pPr>
              <w:jc w:val="center"/>
              <w:rPr>
                <w:color w:val="000000"/>
                <w:szCs w:val="21"/>
              </w:rPr>
            </w:pPr>
            <w:r>
              <w:rPr>
                <w:color w:val="000000"/>
                <w:szCs w:val="21"/>
              </w:rPr>
              <w:t>备注</w:t>
            </w:r>
          </w:p>
        </w:tc>
        <w:tc>
          <w:tcPr>
            <w:tcW w:w="7341" w:type="dxa"/>
            <w:gridSpan w:val="8"/>
            <w:noWrap w:val="0"/>
            <w:vAlign w:val="center"/>
          </w:tcPr>
          <w:p>
            <w:pPr>
              <w:jc w:val="center"/>
              <w:rPr>
                <w:color w:val="000000"/>
                <w:szCs w:val="21"/>
              </w:rPr>
            </w:pPr>
          </w:p>
        </w:tc>
      </w:tr>
    </w:tbl>
    <w:p>
      <w:pPr>
        <w:spacing w:line="440" w:lineRule="exact"/>
        <w:rPr>
          <w:color w:val="000000"/>
          <w:szCs w:val="21"/>
        </w:rPr>
      </w:pPr>
    </w:p>
    <w:p>
      <w:pPr>
        <w:spacing w:line="480" w:lineRule="auto"/>
        <w:jc w:val="left"/>
        <w:rPr>
          <w:color w:val="000000"/>
          <w:szCs w:val="21"/>
        </w:rPr>
      </w:pPr>
      <w:r>
        <w:rPr>
          <w:rFonts w:hint="eastAsia"/>
          <w:color w:val="000000"/>
          <w:szCs w:val="21"/>
        </w:rPr>
        <w:t>【备注：附已录入广西建筑业企业诚信信息库的有效的企业法</w:t>
      </w:r>
      <w:r>
        <w:rPr>
          <w:color w:val="000000"/>
          <w:szCs w:val="21"/>
        </w:rPr>
        <w:t>人</w:t>
      </w:r>
      <w:r>
        <w:rPr>
          <w:rFonts w:hint="eastAsia"/>
          <w:color w:val="000000"/>
          <w:szCs w:val="21"/>
        </w:rPr>
        <w:t>营业执照、企业资质证书、安全生产许可证（联合体投标时仅为联合体中的施工单位安全生产许可证）等相关证件的原件扫描件（联合体投标的则联合体各方均须提供）。施工</w:t>
      </w:r>
      <w:r>
        <w:rPr>
          <w:color w:val="000000"/>
          <w:szCs w:val="21"/>
        </w:rPr>
        <w:t>单位</w:t>
      </w:r>
      <w:r>
        <w:rPr>
          <w:rFonts w:hint="eastAsia"/>
          <w:color w:val="000000"/>
          <w:szCs w:val="21"/>
        </w:rPr>
        <w:t>相关证明材料未通过广西建筑业企业诚信信息库审核的（</w:t>
      </w:r>
      <w:r>
        <w:rPr>
          <w:color w:val="000000"/>
          <w:szCs w:val="21"/>
        </w:rPr>
        <w:t>设计单位</w:t>
      </w:r>
      <w:r>
        <w:rPr>
          <w:rFonts w:hint="eastAsia"/>
          <w:color w:val="000000"/>
          <w:szCs w:val="21"/>
        </w:rPr>
        <w:t>不</w:t>
      </w:r>
      <w:r>
        <w:rPr>
          <w:color w:val="000000"/>
          <w:szCs w:val="21"/>
        </w:rPr>
        <w:t>需要</w:t>
      </w:r>
      <w:r>
        <w:rPr>
          <w:rFonts w:hint="eastAsia"/>
          <w:color w:val="000000"/>
          <w:szCs w:val="21"/>
        </w:rPr>
        <w:t>诚信库审核），在评审时不予承认。】</w:t>
      </w:r>
    </w:p>
    <w:p>
      <w:pPr>
        <w:pStyle w:val="4"/>
        <w:jc w:val="center"/>
        <w:rPr>
          <w:rFonts w:hint="eastAsia"/>
          <w:b w:val="0"/>
          <w:color w:val="000000"/>
          <w:sz w:val="28"/>
          <w:szCs w:val="28"/>
        </w:rPr>
      </w:pPr>
      <w:r>
        <w:rPr>
          <w:color w:val="000000"/>
        </w:rPr>
        <w:br w:type="page"/>
      </w:r>
      <w:bookmarkStart w:id="1736" w:name="_Toc59203263"/>
      <w:r>
        <w:rPr>
          <w:rFonts w:hint="eastAsia"/>
          <w:color w:val="000000"/>
          <w:sz w:val="30"/>
          <w:szCs w:val="30"/>
        </w:rPr>
        <w:t>4、</w:t>
      </w:r>
      <w:r>
        <w:rPr>
          <w:color w:val="000000"/>
          <w:sz w:val="30"/>
          <w:szCs w:val="30"/>
        </w:rPr>
        <w:t>投标保证金</w:t>
      </w:r>
      <w:r>
        <w:rPr>
          <w:rFonts w:hint="eastAsia"/>
          <w:color w:val="000000"/>
          <w:sz w:val="30"/>
          <w:szCs w:val="30"/>
        </w:rPr>
        <w:t>证明文件</w:t>
      </w:r>
      <w:bookmarkEnd w:id="1736"/>
    </w:p>
    <w:p>
      <w:pPr>
        <w:spacing w:line="480" w:lineRule="auto"/>
        <w:rPr>
          <w:rFonts w:hint="eastAsia"/>
          <w:color w:val="000000"/>
          <w:sz w:val="22"/>
          <w:szCs w:val="28"/>
        </w:rPr>
      </w:pPr>
      <w:r>
        <w:rPr>
          <w:rFonts w:hint="eastAsia"/>
          <w:color w:val="000000"/>
          <w:szCs w:val="21"/>
        </w:rPr>
        <w:t>投标保证金的转帐（或电汇、网上支付）底单原件的扫描件、电子转账截图或保函（银行保函、保证保险保函、工程担保保函）原件扫描件或电子保函截图。</w:t>
      </w:r>
    </w:p>
    <w:p>
      <w:pPr>
        <w:spacing w:line="480" w:lineRule="auto"/>
        <w:rPr>
          <w:b/>
          <w:color w:val="000000"/>
          <w:sz w:val="28"/>
          <w:szCs w:val="28"/>
        </w:rPr>
      </w:pPr>
    </w:p>
    <w:p>
      <w:pPr>
        <w:spacing w:line="480" w:lineRule="auto"/>
        <w:rPr>
          <w:b/>
          <w:color w:val="000000"/>
          <w:sz w:val="28"/>
          <w:szCs w:val="28"/>
        </w:rPr>
      </w:pPr>
    </w:p>
    <w:p>
      <w:pPr>
        <w:spacing w:line="480" w:lineRule="auto"/>
        <w:rPr>
          <w:b/>
          <w:color w:val="000000"/>
          <w:sz w:val="28"/>
          <w:szCs w:val="28"/>
        </w:rPr>
      </w:pPr>
    </w:p>
    <w:p>
      <w:pPr>
        <w:spacing w:line="480" w:lineRule="auto"/>
        <w:rPr>
          <w:b/>
          <w:color w:val="000000"/>
          <w:sz w:val="28"/>
          <w:szCs w:val="28"/>
        </w:rPr>
      </w:pPr>
    </w:p>
    <w:p>
      <w:pPr>
        <w:spacing w:line="480" w:lineRule="auto"/>
        <w:rPr>
          <w:b/>
          <w:color w:val="000000"/>
          <w:sz w:val="28"/>
          <w:szCs w:val="28"/>
        </w:rPr>
      </w:pPr>
    </w:p>
    <w:p>
      <w:pPr>
        <w:spacing w:line="480" w:lineRule="auto"/>
        <w:rPr>
          <w:b/>
          <w:color w:val="000000"/>
          <w:sz w:val="28"/>
          <w:szCs w:val="28"/>
        </w:rPr>
      </w:pPr>
    </w:p>
    <w:p>
      <w:pPr>
        <w:spacing w:line="480" w:lineRule="auto"/>
        <w:rPr>
          <w:b/>
          <w:color w:val="000000"/>
          <w:sz w:val="28"/>
          <w:szCs w:val="28"/>
        </w:rPr>
      </w:pPr>
    </w:p>
    <w:p>
      <w:pPr>
        <w:spacing w:line="480" w:lineRule="auto"/>
        <w:rPr>
          <w:b/>
          <w:color w:val="000000"/>
          <w:sz w:val="28"/>
          <w:szCs w:val="28"/>
        </w:rPr>
      </w:pPr>
    </w:p>
    <w:p>
      <w:pPr>
        <w:spacing w:line="480" w:lineRule="auto"/>
        <w:rPr>
          <w:b/>
          <w:color w:val="000000"/>
          <w:sz w:val="28"/>
          <w:szCs w:val="28"/>
        </w:rPr>
      </w:pPr>
    </w:p>
    <w:p>
      <w:pPr>
        <w:spacing w:line="480" w:lineRule="auto"/>
        <w:rPr>
          <w:b/>
          <w:color w:val="000000"/>
          <w:sz w:val="28"/>
          <w:szCs w:val="28"/>
        </w:rPr>
      </w:pPr>
    </w:p>
    <w:p>
      <w:pPr>
        <w:spacing w:line="480" w:lineRule="auto"/>
        <w:rPr>
          <w:b/>
          <w:color w:val="000000"/>
          <w:sz w:val="28"/>
          <w:szCs w:val="28"/>
        </w:rPr>
      </w:pPr>
    </w:p>
    <w:p>
      <w:pPr>
        <w:spacing w:line="480" w:lineRule="auto"/>
        <w:rPr>
          <w:b/>
          <w:color w:val="000000"/>
          <w:sz w:val="28"/>
          <w:szCs w:val="28"/>
        </w:rPr>
      </w:pPr>
    </w:p>
    <w:p>
      <w:pPr>
        <w:spacing w:line="480" w:lineRule="auto"/>
        <w:rPr>
          <w:b/>
          <w:color w:val="000000"/>
          <w:sz w:val="28"/>
          <w:szCs w:val="28"/>
        </w:rPr>
      </w:pPr>
    </w:p>
    <w:p>
      <w:pPr>
        <w:spacing w:line="480" w:lineRule="auto"/>
        <w:rPr>
          <w:b/>
          <w:color w:val="000000"/>
          <w:sz w:val="28"/>
          <w:szCs w:val="28"/>
        </w:rPr>
      </w:pPr>
    </w:p>
    <w:p>
      <w:pPr>
        <w:spacing w:line="480" w:lineRule="auto"/>
        <w:rPr>
          <w:b/>
          <w:color w:val="000000"/>
          <w:sz w:val="28"/>
          <w:szCs w:val="28"/>
        </w:rPr>
      </w:pPr>
    </w:p>
    <w:p>
      <w:pPr>
        <w:spacing w:line="480" w:lineRule="auto"/>
        <w:rPr>
          <w:b/>
          <w:color w:val="000000"/>
          <w:sz w:val="28"/>
          <w:szCs w:val="28"/>
        </w:rPr>
      </w:pPr>
    </w:p>
    <w:p>
      <w:pPr>
        <w:spacing w:line="480" w:lineRule="auto"/>
        <w:rPr>
          <w:b/>
          <w:color w:val="000000"/>
          <w:sz w:val="28"/>
          <w:szCs w:val="28"/>
        </w:rPr>
      </w:pPr>
    </w:p>
    <w:p>
      <w:pPr>
        <w:spacing w:line="480" w:lineRule="auto"/>
        <w:rPr>
          <w:b/>
          <w:color w:val="000000"/>
          <w:sz w:val="28"/>
          <w:szCs w:val="28"/>
        </w:rPr>
      </w:pPr>
    </w:p>
    <w:p>
      <w:pPr>
        <w:spacing w:line="480" w:lineRule="auto"/>
        <w:rPr>
          <w:rFonts w:hint="eastAsia"/>
          <w:b/>
          <w:color w:val="000000"/>
          <w:sz w:val="28"/>
          <w:szCs w:val="28"/>
        </w:rPr>
      </w:pPr>
    </w:p>
    <w:p>
      <w:pPr>
        <w:pStyle w:val="4"/>
        <w:jc w:val="center"/>
        <w:rPr>
          <w:rFonts w:hint="eastAsia"/>
          <w:b w:val="0"/>
          <w:color w:val="000000"/>
          <w:sz w:val="28"/>
          <w:szCs w:val="28"/>
        </w:rPr>
      </w:pPr>
      <w:bookmarkStart w:id="1737" w:name="_Toc332814356"/>
      <w:bookmarkStart w:id="1738" w:name="_Toc59203264"/>
      <w:bookmarkStart w:id="1739" w:name="_Toc251051984"/>
      <w:r>
        <w:rPr>
          <w:color w:val="000000"/>
          <w:sz w:val="30"/>
          <w:szCs w:val="30"/>
        </w:rPr>
        <w:t>5、建设工程项目管理承诺书</w:t>
      </w:r>
      <w:bookmarkEnd w:id="1737"/>
      <w:bookmarkEnd w:id="1738"/>
      <w:bookmarkEnd w:id="1739"/>
    </w:p>
    <w:p>
      <w:pPr>
        <w:spacing w:line="480" w:lineRule="auto"/>
        <w:jc w:val="left"/>
        <w:rPr>
          <w:rFonts w:hint="eastAsia"/>
          <w:color w:val="000000"/>
        </w:rPr>
      </w:pPr>
    </w:p>
    <w:p>
      <w:pPr>
        <w:spacing w:line="480" w:lineRule="auto"/>
        <w:jc w:val="left"/>
        <w:rPr>
          <w:color w:val="000000"/>
        </w:rPr>
      </w:pPr>
      <w:r>
        <w:rPr>
          <w:color w:val="000000"/>
        </w:rPr>
        <w:t>致</w:t>
      </w:r>
      <w:r>
        <w:rPr>
          <w:color w:val="000000"/>
          <w:u w:val="single"/>
        </w:rPr>
        <w:t xml:space="preserve">                        </w:t>
      </w:r>
      <w:r>
        <w:rPr>
          <w:color w:val="000000"/>
        </w:rPr>
        <w:t>（招标人名称）：</w:t>
      </w:r>
    </w:p>
    <w:p>
      <w:pPr>
        <w:spacing w:line="520" w:lineRule="exact"/>
        <w:ind w:left="-10" w:firstLine="455" w:firstLineChars="217"/>
        <w:jc w:val="left"/>
        <w:rPr>
          <w:color w:val="000000"/>
        </w:rPr>
      </w:pPr>
      <w:r>
        <w:rPr>
          <w:color w:val="000000"/>
        </w:rPr>
        <w:t>作为参与</w:t>
      </w:r>
      <w:r>
        <w:rPr>
          <w:color w:val="000000"/>
          <w:szCs w:val="21"/>
          <w:u w:val="single"/>
        </w:rPr>
        <w:t>                  </w:t>
      </w:r>
      <w:r>
        <w:rPr>
          <w:color w:val="000000"/>
        </w:rPr>
        <w:t>（工程名称）项目的投标方，根据国家、自治区相关文件规定，我方在此向招标人承诺：</w:t>
      </w:r>
    </w:p>
    <w:p>
      <w:pPr>
        <w:spacing w:line="520" w:lineRule="exact"/>
        <w:ind w:left="-10" w:firstLine="455" w:firstLineChars="217"/>
        <w:jc w:val="left"/>
        <w:rPr>
          <w:color w:val="000000"/>
        </w:rPr>
      </w:pPr>
      <w:r>
        <w:rPr>
          <w:color w:val="000000"/>
        </w:rPr>
        <w:t>1、一旦中标，我方保证按照政府相关部门的规定，在</w:t>
      </w:r>
      <w:r>
        <w:rPr>
          <w:rFonts w:hint="eastAsia"/>
          <w:color w:val="000000"/>
        </w:rPr>
        <w:t>项目开工前设</w:t>
      </w:r>
      <w:r>
        <w:rPr>
          <w:color w:val="000000"/>
        </w:rPr>
        <w:t>农民工工资</w:t>
      </w:r>
      <w:r>
        <w:rPr>
          <w:rFonts w:hint="eastAsia"/>
          <w:color w:val="000000"/>
        </w:rPr>
        <w:t>支付</w:t>
      </w:r>
      <w:r>
        <w:rPr>
          <w:color w:val="000000"/>
        </w:rPr>
        <w:t>专用账户。</w:t>
      </w:r>
      <w:r>
        <w:rPr>
          <w:rFonts w:hint="eastAsia"/>
          <w:color w:val="000000"/>
        </w:rPr>
        <w:t>严格按照《保障农民工工资支付条例》规定</w:t>
      </w:r>
      <w:r>
        <w:rPr>
          <w:color w:val="000000"/>
        </w:rPr>
        <w:t>，</w:t>
      </w:r>
      <w:r>
        <w:rPr>
          <w:rFonts w:hint="eastAsia"/>
          <w:color w:val="000000"/>
        </w:rPr>
        <w:t>存储工资保证金，专项用于支付本工程提供劳动的农民工被拖欠的工资。</w:t>
      </w:r>
      <w:r>
        <w:rPr>
          <w:color w:val="000000"/>
        </w:rPr>
        <w:t>按照与农民工依法约定的工资支付周期和具体支付日期支付工资</w:t>
      </w:r>
      <w:r>
        <w:rPr>
          <w:rFonts w:hint="eastAsia"/>
          <w:color w:val="000000"/>
        </w:rPr>
        <w:t>，保证</w:t>
      </w:r>
      <w:r>
        <w:rPr>
          <w:color w:val="000000"/>
        </w:rPr>
        <w:t>每月至少向农民工足额支付一次工资。</w:t>
      </w:r>
    </w:p>
    <w:p>
      <w:pPr>
        <w:spacing w:line="520" w:lineRule="exact"/>
        <w:ind w:left="-10" w:firstLine="455" w:firstLineChars="217"/>
        <w:jc w:val="left"/>
        <w:rPr>
          <w:color w:val="000000"/>
        </w:rPr>
      </w:pPr>
      <w:r>
        <w:rPr>
          <w:color w:val="000000"/>
        </w:rPr>
        <w:t>2、一旦中标，我方保证在施工过程中，严格执行《广西壮族自治区建筑工程安全文明施工费使用管理细则》（桂建质〔20</w:t>
      </w:r>
      <w:r>
        <w:rPr>
          <w:rFonts w:hint="eastAsia"/>
          <w:color w:val="000000"/>
        </w:rPr>
        <w:t>15</w:t>
      </w:r>
      <w:r>
        <w:rPr>
          <w:color w:val="000000"/>
        </w:rPr>
        <w:t>〕</w:t>
      </w:r>
      <w:r>
        <w:rPr>
          <w:rFonts w:hint="eastAsia"/>
          <w:color w:val="000000"/>
        </w:rPr>
        <w:t>16</w:t>
      </w:r>
      <w:r>
        <w:rPr>
          <w:color w:val="000000"/>
        </w:rPr>
        <w:t>号）的有关规定，确保建设工程各项安全防护、文明施工措施落实到位。如我方在该项目的承包中出现未按桂建质〔20</w:t>
      </w:r>
      <w:r>
        <w:rPr>
          <w:rFonts w:hint="eastAsia"/>
          <w:color w:val="000000"/>
        </w:rPr>
        <w:t>15</w:t>
      </w:r>
      <w:r>
        <w:rPr>
          <w:color w:val="000000"/>
        </w:rPr>
        <w:t>〕</w:t>
      </w:r>
      <w:r>
        <w:rPr>
          <w:rFonts w:hint="eastAsia"/>
          <w:color w:val="000000"/>
        </w:rPr>
        <w:t>16</w:t>
      </w:r>
      <w:r>
        <w:rPr>
          <w:color w:val="000000"/>
        </w:rPr>
        <w:t>号文附件一规定执行的情形，我方愿意按照相关规定接受建设单位及有关主管部门的处罚。</w:t>
      </w:r>
    </w:p>
    <w:p>
      <w:pPr>
        <w:spacing w:line="520" w:lineRule="exact"/>
        <w:ind w:left="-2" w:leftChars="-1" w:firstLine="449" w:firstLineChars="214"/>
        <w:jc w:val="left"/>
        <w:rPr>
          <w:color w:val="000000"/>
        </w:rPr>
      </w:pPr>
      <w:r>
        <w:rPr>
          <w:color w:val="000000"/>
        </w:rPr>
        <w:t>3、一旦中标，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pPr>
        <w:spacing w:line="520" w:lineRule="exact"/>
        <w:ind w:left="-10" w:firstLine="455" w:firstLineChars="217"/>
        <w:jc w:val="left"/>
        <w:rPr>
          <w:color w:val="000000"/>
        </w:rPr>
      </w:pPr>
      <w:r>
        <w:rPr>
          <w:rFonts w:hint="eastAsia"/>
          <w:color w:val="000000"/>
        </w:rPr>
        <w:t>4、一旦中标，我方保证在施工过程中，严格执行《关于禁止使用不符合规范要求的竹脚手架的通知》（</w:t>
      </w:r>
      <w:r>
        <w:rPr>
          <w:color w:val="000000"/>
        </w:rPr>
        <w:t>桂建</w:t>
      </w:r>
      <w:r>
        <w:rPr>
          <w:rFonts w:hint="eastAsia"/>
          <w:color w:val="000000"/>
        </w:rPr>
        <w:t>管字</w:t>
      </w:r>
      <w:r>
        <w:rPr>
          <w:color w:val="000000"/>
        </w:rPr>
        <w:t>〔200</w:t>
      </w:r>
      <w:r>
        <w:rPr>
          <w:rFonts w:hint="eastAsia"/>
          <w:color w:val="000000"/>
        </w:rPr>
        <w:t>3</w:t>
      </w:r>
      <w:r>
        <w:rPr>
          <w:color w:val="000000"/>
        </w:rPr>
        <w:t>〕</w:t>
      </w:r>
      <w:r>
        <w:rPr>
          <w:rFonts w:hint="eastAsia"/>
          <w:color w:val="000000"/>
        </w:rPr>
        <w:t>40</w:t>
      </w:r>
      <w:r>
        <w:rPr>
          <w:color w:val="000000"/>
        </w:rPr>
        <w:t>号</w:t>
      </w:r>
      <w:r>
        <w:rPr>
          <w:rFonts w:hint="eastAsia"/>
          <w:color w:val="000000"/>
        </w:rPr>
        <w:t>）的有关规定，不使用竹脚手架。如我方在该</w:t>
      </w:r>
      <w:r>
        <w:rPr>
          <w:color w:val="000000"/>
        </w:rPr>
        <w:t>项目的承包中出现未按规定执行的情形，我方愿意按照相关规定接受建设单位及有关主管部门的处罚。</w:t>
      </w:r>
    </w:p>
    <w:p>
      <w:pPr>
        <w:spacing w:line="520" w:lineRule="exact"/>
        <w:ind w:left="-10" w:firstLine="455" w:firstLineChars="217"/>
        <w:jc w:val="left"/>
        <w:rPr>
          <w:rFonts w:hint="eastAsia"/>
          <w:color w:val="000000"/>
        </w:rPr>
      </w:pPr>
      <w:r>
        <w:rPr>
          <w:rFonts w:hint="eastAsia"/>
          <w:color w:val="000000"/>
        </w:rPr>
        <w:t>5、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pPr>
        <w:spacing w:line="360" w:lineRule="auto"/>
        <w:jc w:val="left"/>
        <w:rPr>
          <w:color w:val="000000"/>
        </w:rPr>
      </w:pPr>
    </w:p>
    <w:p>
      <w:pPr>
        <w:spacing w:line="360" w:lineRule="auto"/>
        <w:ind w:firstLine="2940" w:firstLineChars="1400"/>
        <w:jc w:val="left"/>
        <w:rPr>
          <w:color w:val="000000"/>
          <w:u w:val="single"/>
        </w:rPr>
      </w:pPr>
      <w:r>
        <w:rPr>
          <w:color w:val="000000"/>
        </w:rPr>
        <w:t>投标人：</w:t>
      </w:r>
      <w:r>
        <w:rPr>
          <w:color w:val="000000"/>
          <w:u w:val="single"/>
        </w:rPr>
        <w:t xml:space="preserve">      </w:t>
      </w:r>
      <w:r>
        <w:rPr>
          <w:rFonts w:hint="eastAsia"/>
          <w:color w:val="000000"/>
          <w:u w:val="single"/>
        </w:rPr>
        <w:t xml:space="preserve">         </w:t>
      </w:r>
      <w:r>
        <w:rPr>
          <w:color w:val="000000"/>
          <w:u w:val="single"/>
        </w:rPr>
        <w:t xml:space="preserve">      （盖</w:t>
      </w:r>
      <w:r>
        <w:rPr>
          <w:rFonts w:hint="eastAsia"/>
          <w:color w:val="000000"/>
          <w:u w:val="single"/>
        </w:rPr>
        <w:t>单位</w:t>
      </w:r>
      <w:r>
        <w:rPr>
          <w:color w:val="000000"/>
          <w:u w:val="single"/>
        </w:rPr>
        <w:t>章）</w:t>
      </w:r>
    </w:p>
    <w:p>
      <w:pPr>
        <w:spacing w:line="360" w:lineRule="auto"/>
        <w:ind w:right="420" w:firstLine="2940" w:firstLineChars="1400"/>
        <w:rPr>
          <w:color w:val="000000"/>
        </w:rPr>
      </w:pPr>
      <w:r>
        <w:rPr>
          <w:color w:val="000000"/>
        </w:rPr>
        <w:t>日期：</w:t>
      </w:r>
      <w:r>
        <w:rPr>
          <w:color w:val="000000"/>
          <w:szCs w:val="21"/>
          <w:u w:val="single"/>
        </w:rPr>
        <w:t xml:space="preserve">         </w:t>
      </w:r>
      <w:r>
        <w:rPr>
          <w:color w:val="000000"/>
          <w:szCs w:val="21"/>
        </w:rPr>
        <w:t>年</w:t>
      </w:r>
      <w:r>
        <w:rPr>
          <w:color w:val="000000"/>
          <w:szCs w:val="21"/>
          <w:u w:val="single"/>
        </w:rPr>
        <w:t xml:space="preserve">        </w:t>
      </w:r>
      <w:r>
        <w:rPr>
          <w:color w:val="000000"/>
          <w:szCs w:val="21"/>
        </w:rPr>
        <w:t>月</w:t>
      </w:r>
      <w:r>
        <w:rPr>
          <w:color w:val="000000"/>
          <w:szCs w:val="21"/>
          <w:u w:val="single"/>
        </w:rPr>
        <w:t xml:space="preserve">        </w:t>
      </w:r>
      <w:r>
        <w:rPr>
          <w:color w:val="000000"/>
          <w:szCs w:val="21"/>
        </w:rPr>
        <w:t>日</w:t>
      </w:r>
    </w:p>
    <w:p>
      <w:pPr>
        <w:spacing w:line="360" w:lineRule="auto"/>
        <w:jc w:val="center"/>
        <w:rPr>
          <w:b/>
          <w:color w:val="000000"/>
          <w:sz w:val="28"/>
          <w:szCs w:val="28"/>
        </w:rPr>
      </w:pPr>
      <w:r>
        <w:rPr>
          <w:color w:val="000000"/>
          <w:szCs w:val="21"/>
        </w:rPr>
        <w:br w:type="page"/>
      </w:r>
      <w:r>
        <w:rPr>
          <w:rFonts w:hint="eastAsia"/>
          <w:b/>
          <w:color w:val="000000"/>
          <w:sz w:val="28"/>
          <w:szCs w:val="28"/>
        </w:rPr>
        <w:t>广西壮族自治区建筑工程安全文明施工措施项目清单内容</w:t>
      </w:r>
    </w:p>
    <w:p>
      <w:pPr>
        <w:ind w:firstLine="2310" w:firstLineChars="1100"/>
        <w:rPr>
          <w:rFonts w:hint="eastAsia"/>
          <w:color w:val="000000"/>
        </w:rPr>
      </w:pPr>
      <w:bookmarkStart w:id="1740" w:name="_Toc402532179"/>
      <w:bookmarkStart w:id="1741" w:name="_Toc419363893"/>
      <w:bookmarkStart w:id="1742" w:name="_Toc404006882"/>
      <w:r>
        <w:rPr>
          <w:color w:val="000000"/>
        </w:rPr>
        <w:t>（桂建质〔20</w:t>
      </w:r>
      <w:r>
        <w:rPr>
          <w:rFonts w:hint="eastAsia"/>
          <w:color w:val="000000"/>
        </w:rPr>
        <w:t>15</w:t>
      </w:r>
      <w:r>
        <w:rPr>
          <w:color w:val="000000"/>
        </w:rPr>
        <w:t>〕</w:t>
      </w:r>
      <w:r>
        <w:rPr>
          <w:rFonts w:hint="eastAsia"/>
          <w:color w:val="000000"/>
        </w:rPr>
        <w:t>16</w:t>
      </w:r>
      <w:r>
        <w:rPr>
          <w:color w:val="000000"/>
        </w:rPr>
        <w:t>号文附件一）</w:t>
      </w:r>
      <w:bookmarkEnd w:id="1740"/>
      <w:bookmarkEnd w:id="1741"/>
      <w:bookmarkEnd w:id="1742"/>
    </w:p>
    <w:p>
      <w:pPr>
        <w:pStyle w:val="392"/>
        <w:spacing w:line="0" w:lineRule="atLeast"/>
        <w:jc w:val="center"/>
        <w:rPr>
          <w:rFonts w:ascii="宋体" w:hAnsi="宋体"/>
          <w:b/>
          <w:bCs/>
          <w:color w:val="000000"/>
          <w:sz w:val="24"/>
        </w:rPr>
      </w:pPr>
      <w:r>
        <w:rPr>
          <w:rFonts w:hint="eastAsia" w:ascii="宋体" w:hAnsi="宋体"/>
          <w:b/>
          <w:bCs/>
          <w:color w:val="000000"/>
          <w:sz w:val="24"/>
        </w:rPr>
        <w:t>广西壮族自治区</w:t>
      </w:r>
    </w:p>
    <w:p>
      <w:pPr>
        <w:pStyle w:val="392"/>
        <w:spacing w:line="0" w:lineRule="atLeast"/>
        <w:jc w:val="center"/>
        <w:rPr>
          <w:rFonts w:ascii="宋体" w:hAnsi="宋体"/>
          <w:b/>
          <w:bCs/>
          <w:color w:val="000000"/>
          <w:w w:val="90"/>
          <w:sz w:val="24"/>
        </w:rPr>
      </w:pPr>
      <w:r>
        <w:rPr>
          <w:rFonts w:hint="eastAsia" w:ascii="宋体" w:hAnsi="宋体"/>
          <w:b/>
          <w:bCs/>
          <w:color w:val="000000"/>
          <w:w w:val="90"/>
          <w:sz w:val="24"/>
        </w:rPr>
        <w:t>建设工程安全文明施工措施项目清单内容</w:t>
      </w:r>
    </w:p>
    <w:tbl>
      <w:tblPr>
        <w:tblStyle w:val="8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Height w:val="501" w:hRule="exact"/>
        </w:trPr>
        <w:tc>
          <w:tcPr>
            <w:tcW w:w="738" w:type="dxa"/>
            <w:noWrap w:val="0"/>
            <w:vAlign w:val="center"/>
          </w:tcPr>
          <w:p>
            <w:pPr>
              <w:pStyle w:val="392"/>
              <w:spacing w:line="300" w:lineRule="exact"/>
              <w:jc w:val="center"/>
              <w:rPr>
                <w:rFonts w:ascii="方正仿宋_GBK" w:eastAsia="方正仿宋_GBK"/>
                <w:b/>
                <w:bCs/>
                <w:color w:val="000000"/>
                <w:szCs w:val="21"/>
              </w:rPr>
            </w:pPr>
            <w:r>
              <w:rPr>
                <w:rFonts w:hint="eastAsia" w:ascii="方正仿宋_GBK" w:eastAsia="方正仿宋_GBK"/>
                <w:b/>
                <w:bCs/>
                <w:color w:val="000000"/>
                <w:szCs w:val="21"/>
              </w:rPr>
              <w:t>类别</w:t>
            </w:r>
          </w:p>
        </w:tc>
        <w:tc>
          <w:tcPr>
            <w:tcW w:w="2070" w:type="dxa"/>
            <w:gridSpan w:val="2"/>
            <w:noWrap w:val="0"/>
            <w:vAlign w:val="center"/>
          </w:tcPr>
          <w:p>
            <w:pPr>
              <w:pStyle w:val="392"/>
              <w:spacing w:line="300" w:lineRule="exact"/>
              <w:jc w:val="center"/>
              <w:rPr>
                <w:rFonts w:ascii="方正仿宋_GBK" w:eastAsia="方正仿宋_GBK"/>
                <w:b/>
                <w:bCs/>
                <w:color w:val="000000"/>
                <w:szCs w:val="21"/>
              </w:rPr>
            </w:pPr>
            <w:r>
              <w:rPr>
                <w:rFonts w:hint="eastAsia" w:ascii="方正仿宋_GBK" w:eastAsia="方正仿宋_GBK"/>
                <w:b/>
                <w:bCs/>
                <w:color w:val="000000"/>
                <w:szCs w:val="21"/>
              </w:rPr>
              <w:t>项目名称</w:t>
            </w:r>
          </w:p>
        </w:tc>
        <w:tc>
          <w:tcPr>
            <w:tcW w:w="6645" w:type="dxa"/>
            <w:noWrap w:val="0"/>
            <w:vAlign w:val="center"/>
          </w:tcPr>
          <w:p>
            <w:pPr>
              <w:pStyle w:val="392"/>
              <w:spacing w:line="300" w:lineRule="exact"/>
              <w:jc w:val="center"/>
              <w:rPr>
                <w:rFonts w:ascii="方正仿宋_GBK" w:eastAsia="方正仿宋_GBK"/>
                <w:b/>
                <w:bCs/>
                <w:color w:val="000000"/>
                <w:szCs w:val="21"/>
              </w:rPr>
            </w:pPr>
            <w:r>
              <w:rPr>
                <w:rFonts w:hint="eastAsia" w:ascii="方正仿宋_GBK" w:eastAsia="方正仿宋_GBK"/>
                <w:b/>
                <w:bCs/>
                <w:color w:val="000000"/>
                <w:szCs w:val="21"/>
              </w:rPr>
              <w:t>主要内容和要求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738" w:type="dxa"/>
            <w:vMerge w:val="restart"/>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文明</w:t>
            </w:r>
          </w:p>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施工</w:t>
            </w:r>
          </w:p>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与</w:t>
            </w:r>
          </w:p>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环境</w:t>
            </w:r>
          </w:p>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保护</w:t>
            </w:r>
          </w:p>
        </w:tc>
        <w:tc>
          <w:tcPr>
            <w:tcW w:w="2070" w:type="dxa"/>
            <w:gridSpan w:val="2"/>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安全警示</w:t>
            </w:r>
          </w:p>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标志牌</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在易发伤亡事故（或危险）处设置明显的、符合国家标准要求的安全警示标志牌。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2070" w:type="dxa"/>
            <w:gridSpan w:val="2"/>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现场围挡</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1. 现场采用封闭围挡，高度不小于1.8m。</w:t>
            </w:r>
          </w:p>
          <w:p>
            <w:pPr>
              <w:pStyle w:val="392"/>
              <w:spacing w:line="300" w:lineRule="exact"/>
              <w:rPr>
                <w:rFonts w:ascii="方正仿宋_GBK" w:eastAsia="方正仿宋_GBK"/>
                <w:color w:val="000000"/>
                <w:szCs w:val="21"/>
              </w:rPr>
            </w:pPr>
            <w:r>
              <w:rPr>
                <w:rFonts w:hint="eastAsia" w:ascii="方正仿宋_GBK" w:eastAsia="方正仿宋_GBK"/>
                <w:color w:val="000000"/>
                <w:szCs w:val="21"/>
              </w:rPr>
              <w:t>2. 围挡材料可用彩色、定型钢板，砌块等墙体。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2070" w:type="dxa"/>
            <w:gridSpan w:val="2"/>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七牌二图</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在进门处悬挂工程概况、现场出入制度、管理人员名单及监督电话、安全生产规定、文明施工、消防保卫、节能公示等七牌以及施工现场总平面图、工程效果图。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Height w:val="510" w:hRule="atLeas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2070" w:type="dxa"/>
            <w:gridSpan w:val="2"/>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企业标志</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现场出入的大门应设有本企业标志或企业标识。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2070" w:type="dxa"/>
            <w:gridSpan w:val="2"/>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场容场貌</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1. 道路畅通。</w:t>
            </w:r>
          </w:p>
          <w:p>
            <w:pPr>
              <w:pStyle w:val="392"/>
              <w:spacing w:line="300" w:lineRule="exact"/>
              <w:rPr>
                <w:rFonts w:ascii="方正仿宋_GBK" w:eastAsia="方正仿宋_GBK"/>
                <w:color w:val="000000"/>
                <w:szCs w:val="21"/>
              </w:rPr>
            </w:pPr>
            <w:r>
              <w:rPr>
                <w:rFonts w:hint="eastAsia" w:ascii="方正仿宋_GBK" w:eastAsia="方正仿宋_GBK"/>
                <w:color w:val="000000"/>
                <w:szCs w:val="21"/>
              </w:rPr>
              <w:t>2. 排水设施齐全畅通。</w:t>
            </w:r>
          </w:p>
          <w:p>
            <w:pPr>
              <w:pStyle w:val="392"/>
              <w:spacing w:line="300" w:lineRule="exact"/>
              <w:rPr>
                <w:rFonts w:ascii="方正仿宋_GBK" w:eastAsia="方正仿宋_GBK"/>
                <w:color w:val="000000"/>
                <w:szCs w:val="21"/>
              </w:rPr>
            </w:pPr>
            <w:r>
              <w:rPr>
                <w:rFonts w:hint="eastAsia" w:ascii="方正仿宋_GBK" w:eastAsia="方正仿宋_GBK"/>
                <w:color w:val="000000"/>
                <w:szCs w:val="21"/>
              </w:rPr>
              <w:t>3. 工地地面硬化处理（办公区、生活区、现场道路、材料堆放、混凝土搅拌、砂浆搅拌、钢筋加工等场地和外脚手架基础等）。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2070" w:type="dxa"/>
            <w:gridSpan w:val="2"/>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材料堆放</w:t>
            </w:r>
          </w:p>
        </w:tc>
        <w:tc>
          <w:tcPr>
            <w:tcW w:w="6645" w:type="dxa"/>
            <w:noWrap w:val="0"/>
            <w:vAlign w:val="center"/>
          </w:tcPr>
          <w:p>
            <w:pPr>
              <w:pStyle w:val="392"/>
              <w:numPr>
                <w:ilvl w:val="0"/>
                <w:numId w:val="4"/>
              </w:numPr>
              <w:spacing w:line="300" w:lineRule="exact"/>
              <w:rPr>
                <w:rFonts w:ascii="方正仿宋_GBK" w:eastAsia="方正仿宋_GBK"/>
                <w:color w:val="000000"/>
                <w:szCs w:val="21"/>
              </w:rPr>
            </w:pPr>
            <w:r>
              <w:rPr>
                <w:rFonts w:hint="eastAsia" w:ascii="方正仿宋_GBK" w:eastAsia="方正仿宋_GBK"/>
                <w:color w:val="000000"/>
                <w:szCs w:val="21"/>
              </w:rPr>
              <w:t>材料、构件、料具等堆放时，应有名称、品种、规格等标牌。</w:t>
            </w:r>
          </w:p>
          <w:p>
            <w:pPr>
              <w:pStyle w:val="392"/>
              <w:spacing w:line="300" w:lineRule="exact"/>
              <w:rPr>
                <w:rFonts w:ascii="方正仿宋_GBK" w:eastAsia="方正仿宋_GBK"/>
                <w:color w:val="000000"/>
                <w:szCs w:val="21"/>
              </w:rPr>
            </w:pPr>
            <w:r>
              <w:rPr>
                <w:rFonts w:hint="eastAsia" w:ascii="方正仿宋_GBK" w:eastAsia="方正仿宋_GBK"/>
                <w:color w:val="000000"/>
                <w:szCs w:val="21"/>
              </w:rPr>
              <w:t>2. 水泥和其它易飞扬细颗粒建筑材料应封闭存放或采取覆盖等措施。</w:t>
            </w:r>
          </w:p>
          <w:p>
            <w:pPr>
              <w:pStyle w:val="392"/>
              <w:spacing w:line="300" w:lineRule="exact"/>
              <w:rPr>
                <w:rFonts w:ascii="方正仿宋_GBK" w:eastAsia="方正仿宋_GBK"/>
                <w:color w:val="000000"/>
                <w:szCs w:val="21"/>
              </w:rPr>
            </w:pPr>
            <w:r>
              <w:rPr>
                <w:rFonts w:hint="eastAsia" w:ascii="方正仿宋_GBK" w:eastAsia="方正仿宋_GBK"/>
                <w:color w:val="000000"/>
                <w:szCs w:val="21"/>
              </w:rPr>
              <w:t>3. 易燃、易爆和有毒有害物品分类存放。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Height w:val="510" w:hRule="exac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2070" w:type="dxa"/>
            <w:gridSpan w:val="2"/>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现场防火</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消防器材配置合理，符合消防要求。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2070" w:type="dxa"/>
            <w:gridSpan w:val="2"/>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垃圾清运</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1. 施工现场应设置密闭式垃圾站，施工垃圾、生活垃圾应分类存放。</w:t>
            </w:r>
          </w:p>
          <w:p>
            <w:pPr>
              <w:pStyle w:val="392"/>
              <w:spacing w:line="300" w:lineRule="exact"/>
              <w:rPr>
                <w:rFonts w:ascii="方正仿宋_GBK" w:eastAsia="方正仿宋_GBK"/>
                <w:color w:val="000000"/>
                <w:szCs w:val="21"/>
              </w:rPr>
            </w:pPr>
            <w:r>
              <w:rPr>
                <w:rFonts w:hint="eastAsia" w:ascii="方正仿宋_GBK" w:eastAsia="方正仿宋_GBK"/>
                <w:color w:val="000000"/>
                <w:szCs w:val="21"/>
              </w:rPr>
              <w:t>2. 施工垃圾必须采用相应容器或管道运输。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2070" w:type="dxa"/>
            <w:gridSpan w:val="2"/>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宣传栏、环保及不扰民措施</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宣传栏、安全宣传标语等，洗车（防止污染市区道路）、粉尘、噪声控制和排污（污水、废气）措施等。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738" w:type="dxa"/>
            <w:vMerge w:val="restart"/>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临时设施</w:t>
            </w:r>
          </w:p>
        </w:tc>
        <w:tc>
          <w:tcPr>
            <w:tcW w:w="2070" w:type="dxa"/>
            <w:gridSpan w:val="2"/>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现场办公</w:t>
            </w:r>
          </w:p>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生活设施</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1. 施工现场办公、生活区与作业区分开设置，保持安全距离。</w:t>
            </w:r>
          </w:p>
          <w:p>
            <w:pPr>
              <w:pStyle w:val="392"/>
              <w:spacing w:line="300" w:lineRule="exact"/>
              <w:rPr>
                <w:rFonts w:ascii="方正仿宋_GBK" w:eastAsia="方正仿宋_GBK"/>
                <w:color w:val="000000"/>
                <w:szCs w:val="21"/>
              </w:rPr>
            </w:pPr>
            <w:r>
              <w:rPr>
                <w:rFonts w:hint="eastAsia" w:ascii="方正仿宋_GBK" w:eastAsia="方正仿宋_GBK"/>
                <w:color w:val="000000"/>
                <w:szCs w:val="21"/>
              </w:rPr>
              <w:t>2. 工地办公室、现场宿舍、食堂、厕所、饮水、沐浴、休息场所等符合卫生、消防安全要求。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525" w:type="dxa"/>
            <w:vMerge w:val="restart"/>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施工现场</w:t>
            </w:r>
          </w:p>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临时用电</w:t>
            </w:r>
          </w:p>
        </w:tc>
        <w:tc>
          <w:tcPr>
            <w:tcW w:w="1545" w:type="dxa"/>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配电线路</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1. 按照TN-S系统要求配备五芯电缆、四芯电缆和三芯电缆。</w:t>
            </w:r>
          </w:p>
          <w:p>
            <w:pPr>
              <w:pStyle w:val="392"/>
              <w:spacing w:line="300" w:lineRule="exact"/>
              <w:rPr>
                <w:rFonts w:ascii="方正仿宋_GBK" w:eastAsia="方正仿宋_GBK"/>
                <w:color w:val="000000"/>
                <w:szCs w:val="21"/>
              </w:rPr>
            </w:pPr>
            <w:r>
              <w:rPr>
                <w:rFonts w:hint="eastAsia" w:ascii="方正仿宋_GBK" w:eastAsia="方正仿宋_GBK"/>
                <w:color w:val="000000"/>
                <w:szCs w:val="21"/>
              </w:rPr>
              <w:t>2. 按要求架设临时用电线路的电杆、横担、瓷夹、瓷瓶等，或电缆埋地的地沟。</w:t>
            </w:r>
          </w:p>
          <w:p>
            <w:pPr>
              <w:pStyle w:val="392"/>
              <w:spacing w:line="300" w:lineRule="exact"/>
              <w:rPr>
                <w:rFonts w:ascii="方正仿宋_GBK" w:eastAsia="方正仿宋_GBK"/>
                <w:color w:val="000000"/>
                <w:szCs w:val="21"/>
              </w:rPr>
            </w:pPr>
            <w:r>
              <w:rPr>
                <w:rFonts w:hint="eastAsia" w:ascii="方正仿宋_GBK" w:eastAsia="方正仿宋_GBK"/>
                <w:color w:val="000000"/>
                <w:szCs w:val="21"/>
              </w:rPr>
              <w:t>3. 对靠近施工现场的外电线路，设置木质、塑料等绝缘体的防护设施。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525" w:type="dxa"/>
            <w:vMerge w:val="continue"/>
            <w:noWrap w:val="0"/>
            <w:vAlign w:val="center"/>
          </w:tcPr>
          <w:p>
            <w:pPr>
              <w:pStyle w:val="392"/>
              <w:spacing w:line="300" w:lineRule="exact"/>
              <w:jc w:val="center"/>
              <w:rPr>
                <w:rFonts w:ascii="方正仿宋_GBK" w:eastAsia="方正仿宋_GBK"/>
                <w:color w:val="000000"/>
                <w:szCs w:val="21"/>
              </w:rPr>
            </w:pPr>
          </w:p>
        </w:tc>
        <w:tc>
          <w:tcPr>
            <w:tcW w:w="1545" w:type="dxa"/>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配电箱</w:t>
            </w:r>
          </w:p>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开关箱</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1. 按三级配电要求，配备总配电箱、分配电箱、开关箱三类（铁质）标准电箱，开关箱应符合“一机、一箱、一闸、一漏”，三类电箱中的各类电器应是合格品。</w:t>
            </w:r>
          </w:p>
          <w:p>
            <w:pPr>
              <w:pStyle w:val="392"/>
              <w:spacing w:line="300" w:lineRule="exact"/>
              <w:rPr>
                <w:rFonts w:ascii="方正仿宋_GBK" w:eastAsia="方正仿宋_GBK"/>
                <w:color w:val="000000"/>
                <w:szCs w:val="21"/>
              </w:rPr>
            </w:pPr>
            <w:r>
              <w:rPr>
                <w:rFonts w:hint="eastAsia" w:ascii="方正仿宋_GBK" w:eastAsia="方正仿宋_GBK"/>
                <w:color w:val="000000"/>
                <w:szCs w:val="21"/>
              </w:rPr>
              <w:t>2. 按两级保护的要求，选取符合容量要求和质量合格的总配电箱和开关箱中的漏电保护器。</w:t>
            </w:r>
          </w:p>
          <w:p>
            <w:pPr>
              <w:pStyle w:val="392"/>
              <w:spacing w:line="300" w:lineRule="exact"/>
              <w:rPr>
                <w:rFonts w:ascii="方正仿宋_GBK" w:eastAsia="方正仿宋_GBK"/>
                <w:color w:val="000000"/>
                <w:szCs w:val="21"/>
              </w:rPr>
            </w:pPr>
            <w:r>
              <w:rPr>
                <w:rFonts w:hint="eastAsia" w:ascii="方正仿宋_GBK" w:eastAsia="方正仿宋_GBK"/>
                <w:color w:val="000000"/>
                <w:szCs w:val="21"/>
              </w:rPr>
              <w:t>3. 对大型、落地式分配电箱、开关箱设置防护棚和通透式围挡。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Height w:val="575" w:hRule="atLeas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525" w:type="dxa"/>
            <w:vMerge w:val="continue"/>
            <w:noWrap w:val="0"/>
            <w:vAlign w:val="center"/>
          </w:tcPr>
          <w:p>
            <w:pPr>
              <w:pStyle w:val="392"/>
              <w:spacing w:line="300" w:lineRule="exact"/>
              <w:jc w:val="center"/>
              <w:rPr>
                <w:rFonts w:ascii="方正仿宋_GBK" w:eastAsia="方正仿宋_GBK"/>
                <w:color w:val="000000"/>
                <w:szCs w:val="21"/>
              </w:rPr>
            </w:pPr>
          </w:p>
        </w:tc>
        <w:tc>
          <w:tcPr>
            <w:tcW w:w="1545" w:type="dxa"/>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接地装置</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施工现场应设置不少于三处的重复接地装置。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Height w:val="916" w:hRule="atLeas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525" w:type="dxa"/>
            <w:vMerge w:val="continue"/>
            <w:noWrap w:val="0"/>
            <w:vAlign w:val="center"/>
          </w:tcPr>
          <w:p>
            <w:pPr>
              <w:pStyle w:val="392"/>
              <w:spacing w:line="300" w:lineRule="exact"/>
              <w:jc w:val="center"/>
              <w:rPr>
                <w:rFonts w:ascii="方正仿宋_GBK" w:eastAsia="方正仿宋_GBK"/>
                <w:color w:val="000000"/>
                <w:szCs w:val="21"/>
              </w:rPr>
            </w:pPr>
          </w:p>
        </w:tc>
        <w:tc>
          <w:tcPr>
            <w:tcW w:w="1545" w:type="dxa"/>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现场变配电装置</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总配电房建筑材料必须达到消防防火要求，室内做硬地坪、电缆沟。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Height w:val="612" w:hRule="atLeast"/>
        </w:trPr>
        <w:tc>
          <w:tcPr>
            <w:tcW w:w="738" w:type="dxa"/>
            <w:noWrap w:val="0"/>
            <w:vAlign w:val="center"/>
          </w:tcPr>
          <w:p>
            <w:pPr>
              <w:pStyle w:val="392"/>
              <w:spacing w:line="300" w:lineRule="exact"/>
              <w:jc w:val="center"/>
              <w:rPr>
                <w:rFonts w:ascii="方正仿宋_GBK" w:eastAsia="方正仿宋_GBK"/>
                <w:b/>
                <w:bCs/>
                <w:color w:val="000000"/>
                <w:szCs w:val="21"/>
              </w:rPr>
            </w:pPr>
            <w:r>
              <w:rPr>
                <w:rFonts w:hint="eastAsia" w:ascii="方正仿宋_GBK" w:eastAsia="方正仿宋_GBK"/>
                <w:b/>
                <w:bCs/>
                <w:color w:val="000000"/>
                <w:szCs w:val="21"/>
              </w:rPr>
              <w:t>类别</w:t>
            </w:r>
          </w:p>
        </w:tc>
        <w:tc>
          <w:tcPr>
            <w:tcW w:w="2070" w:type="dxa"/>
            <w:gridSpan w:val="2"/>
            <w:noWrap w:val="0"/>
            <w:vAlign w:val="center"/>
          </w:tcPr>
          <w:p>
            <w:pPr>
              <w:pStyle w:val="392"/>
              <w:spacing w:line="300" w:lineRule="exact"/>
              <w:jc w:val="center"/>
              <w:rPr>
                <w:rFonts w:ascii="方正仿宋_GBK" w:eastAsia="方正仿宋_GBK"/>
                <w:b/>
                <w:bCs/>
                <w:color w:val="000000"/>
                <w:szCs w:val="21"/>
              </w:rPr>
            </w:pPr>
            <w:r>
              <w:rPr>
                <w:rFonts w:hint="eastAsia" w:ascii="方正仿宋_GBK" w:eastAsia="方正仿宋_GBK"/>
                <w:b/>
                <w:bCs/>
                <w:color w:val="000000"/>
                <w:szCs w:val="21"/>
              </w:rPr>
              <w:t>项目名称</w:t>
            </w:r>
          </w:p>
        </w:tc>
        <w:tc>
          <w:tcPr>
            <w:tcW w:w="6645" w:type="dxa"/>
            <w:noWrap w:val="0"/>
            <w:vAlign w:val="center"/>
          </w:tcPr>
          <w:p>
            <w:pPr>
              <w:pStyle w:val="392"/>
              <w:spacing w:line="300" w:lineRule="exact"/>
              <w:jc w:val="center"/>
              <w:rPr>
                <w:rFonts w:ascii="方正仿宋_GBK" w:eastAsia="方正仿宋_GBK"/>
                <w:b/>
                <w:bCs/>
                <w:color w:val="000000"/>
                <w:szCs w:val="21"/>
              </w:rPr>
            </w:pPr>
            <w:r>
              <w:rPr>
                <w:rFonts w:hint="eastAsia" w:ascii="方正仿宋_GBK" w:eastAsia="方正仿宋_GBK"/>
                <w:b/>
                <w:bCs/>
                <w:color w:val="000000"/>
                <w:szCs w:val="21"/>
              </w:rPr>
              <w:t>主要内容和要求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738" w:type="dxa"/>
            <w:vMerge w:val="restart"/>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安全施工</w:t>
            </w:r>
          </w:p>
        </w:tc>
        <w:tc>
          <w:tcPr>
            <w:tcW w:w="525" w:type="dxa"/>
            <w:vMerge w:val="restart"/>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高处作业防护</w:t>
            </w:r>
          </w:p>
        </w:tc>
        <w:tc>
          <w:tcPr>
            <w:tcW w:w="15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楼层、屋面、阳台等临边</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设两道防护栏杆和18cm高的踢脚板，用密目式安全立网全封闭。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525" w:type="dxa"/>
            <w:vMerge w:val="continue"/>
            <w:noWrap w:val="0"/>
            <w:vAlign w:val="center"/>
          </w:tcPr>
          <w:p>
            <w:pPr>
              <w:pStyle w:val="392"/>
              <w:spacing w:line="300" w:lineRule="exact"/>
              <w:jc w:val="center"/>
              <w:rPr>
                <w:rFonts w:ascii="方正仿宋_GBK" w:eastAsia="方正仿宋_GBK"/>
                <w:color w:val="000000"/>
                <w:szCs w:val="21"/>
              </w:rPr>
            </w:pPr>
          </w:p>
        </w:tc>
        <w:tc>
          <w:tcPr>
            <w:tcW w:w="15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通道口</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设防护棚，防护棚应为不小于5cm厚的木板或两道相距50cm的竹笆。两侧应沿栏杆架用密目式安全网封闭。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525" w:type="dxa"/>
            <w:vMerge w:val="continue"/>
            <w:noWrap w:val="0"/>
            <w:vAlign w:val="center"/>
          </w:tcPr>
          <w:p>
            <w:pPr>
              <w:pStyle w:val="392"/>
              <w:spacing w:line="300" w:lineRule="exact"/>
              <w:jc w:val="center"/>
              <w:rPr>
                <w:rFonts w:ascii="方正仿宋_GBK" w:eastAsia="方正仿宋_GBK"/>
                <w:color w:val="000000"/>
                <w:szCs w:val="21"/>
              </w:rPr>
            </w:pPr>
          </w:p>
        </w:tc>
        <w:tc>
          <w:tcPr>
            <w:tcW w:w="15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预留洞口</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用硬质材料全封闭，短边超过1.5m长的洞口，除封闭外四周还应设有防护栏杆。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Height w:val="605" w:hRule="atLeas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525" w:type="dxa"/>
            <w:vMerge w:val="continue"/>
            <w:noWrap w:val="0"/>
            <w:vAlign w:val="center"/>
          </w:tcPr>
          <w:p>
            <w:pPr>
              <w:pStyle w:val="392"/>
              <w:spacing w:line="300" w:lineRule="exact"/>
              <w:jc w:val="center"/>
              <w:rPr>
                <w:rFonts w:ascii="方正仿宋_GBK" w:eastAsia="方正仿宋_GBK"/>
                <w:color w:val="000000"/>
                <w:szCs w:val="21"/>
              </w:rPr>
            </w:pPr>
          </w:p>
        </w:tc>
        <w:tc>
          <w:tcPr>
            <w:tcW w:w="15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电梯井口</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设置定型化、工具化的防护门，在电梯井内每隔2层（不大于10m）设置一道水平防护。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525" w:type="dxa"/>
            <w:vMerge w:val="continue"/>
            <w:noWrap w:val="0"/>
            <w:vAlign w:val="center"/>
          </w:tcPr>
          <w:p>
            <w:pPr>
              <w:pStyle w:val="392"/>
              <w:spacing w:line="300" w:lineRule="exact"/>
              <w:jc w:val="center"/>
              <w:rPr>
                <w:rFonts w:ascii="方正仿宋_GBK" w:eastAsia="方正仿宋_GBK"/>
                <w:color w:val="000000"/>
                <w:szCs w:val="21"/>
              </w:rPr>
            </w:pPr>
          </w:p>
        </w:tc>
        <w:tc>
          <w:tcPr>
            <w:tcW w:w="15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楼梯边</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设1.2m高的定型化、工具化的防护栏，18cm高的踢脚板。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525" w:type="dxa"/>
            <w:vMerge w:val="continue"/>
            <w:noWrap w:val="0"/>
            <w:vAlign w:val="center"/>
          </w:tcPr>
          <w:p>
            <w:pPr>
              <w:pStyle w:val="392"/>
              <w:spacing w:line="300" w:lineRule="exact"/>
              <w:jc w:val="center"/>
              <w:rPr>
                <w:rFonts w:ascii="方正仿宋_GBK" w:eastAsia="方正仿宋_GBK"/>
                <w:color w:val="000000"/>
                <w:szCs w:val="21"/>
              </w:rPr>
            </w:pPr>
          </w:p>
        </w:tc>
        <w:tc>
          <w:tcPr>
            <w:tcW w:w="15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垂直方向交叉作业</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设置防护隔离棚或其它设施。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525" w:type="dxa"/>
            <w:vMerge w:val="continue"/>
            <w:noWrap w:val="0"/>
            <w:vAlign w:val="center"/>
          </w:tcPr>
          <w:p>
            <w:pPr>
              <w:pStyle w:val="392"/>
              <w:spacing w:line="300" w:lineRule="exact"/>
              <w:jc w:val="center"/>
              <w:rPr>
                <w:rFonts w:ascii="方正仿宋_GBK" w:eastAsia="方正仿宋_GBK"/>
                <w:color w:val="000000"/>
                <w:szCs w:val="21"/>
              </w:rPr>
            </w:pPr>
          </w:p>
        </w:tc>
        <w:tc>
          <w:tcPr>
            <w:tcW w:w="15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高处作业</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有悬挂安全带的悬索或其它设施，有操作平台，有上下的梯子或其它形式的通道。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525" w:type="dxa"/>
            <w:vMerge w:val="continue"/>
            <w:noWrap w:val="0"/>
            <w:vAlign w:val="center"/>
          </w:tcPr>
          <w:p>
            <w:pPr>
              <w:pStyle w:val="392"/>
              <w:spacing w:line="300" w:lineRule="exact"/>
              <w:jc w:val="center"/>
              <w:rPr>
                <w:rFonts w:ascii="方正仿宋_GBK" w:eastAsia="方正仿宋_GBK"/>
                <w:color w:val="000000"/>
                <w:szCs w:val="21"/>
              </w:rPr>
            </w:pPr>
          </w:p>
        </w:tc>
        <w:tc>
          <w:tcPr>
            <w:tcW w:w="15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基坑、物料平台</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设1.2m高标准化的防护栏，用密目式安全立网封闭，悬挂标识。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2070" w:type="dxa"/>
            <w:gridSpan w:val="2"/>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安全防护用品</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安全帽、安全带、特种作业人员（电工、焊工、架子工等）防护服装、用品等。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Height w:val="655" w:hRule="atLeast"/>
        </w:trPr>
        <w:tc>
          <w:tcPr>
            <w:tcW w:w="738" w:type="dxa"/>
            <w:vMerge w:val="restart"/>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其它</w:t>
            </w:r>
          </w:p>
        </w:tc>
        <w:tc>
          <w:tcPr>
            <w:tcW w:w="525" w:type="dxa"/>
            <w:vMerge w:val="restart"/>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机械设备防护</w:t>
            </w:r>
          </w:p>
        </w:tc>
        <w:tc>
          <w:tcPr>
            <w:tcW w:w="1545" w:type="dxa"/>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中小型机械</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设防护棚（同通道口防护并有防雨措施）。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525" w:type="dxa"/>
            <w:vMerge w:val="continue"/>
            <w:noWrap w:val="0"/>
            <w:vAlign w:val="center"/>
          </w:tcPr>
          <w:p>
            <w:pPr>
              <w:pStyle w:val="392"/>
              <w:spacing w:line="300" w:lineRule="exact"/>
              <w:jc w:val="center"/>
              <w:rPr>
                <w:rFonts w:ascii="方正仿宋_GBK" w:eastAsia="方正仿宋_GBK"/>
                <w:color w:val="000000"/>
                <w:szCs w:val="21"/>
              </w:rPr>
            </w:pPr>
          </w:p>
        </w:tc>
        <w:tc>
          <w:tcPr>
            <w:tcW w:w="1545" w:type="dxa"/>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垂直运输设备</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1. 垂直运输设备检测、检验、日常维护、保养等。</w:t>
            </w:r>
          </w:p>
          <w:p>
            <w:pPr>
              <w:pStyle w:val="392"/>
              <w:spacing w:line="300" w:lineRule="exact"/>
              <w:rPr>
                <w:rFonts w:ascii="方正仿宋_GBK" w:eastAsia="方正仿宋_GBK"/>
                <w:color w:val="000000"/>
                <w:szCs w:val="21"/>
              </w:rPr>
            </w:pPr>
            <w:r>
              <w:rPr>
                <w:rFonts w:hint="eastAsia" w:ascii="方正仿宋_GBK" w:eastAsia="方正仿宋_GBK"/>
                <w:color w:val="000000"/>
                <w:szCs w:val="21"/>
              </w:rPr>
              <w:t>2. 物料提升机、施工电梯等物料平台搭设、外侧用密目式安全立网全封闭，有安全通道、安全防护门、防护棚等。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Height w:val="510" w:hRule="exac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2070" w:type="dxa"/>
            <w:gridSpan w:val="2"/>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专家论证审查</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超过一定规模的危险性较大分部分项工程专家论证审查。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Height w:val="510" w:hRule="exac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2070" w:type="dxa"/>
            <w:gridSpan w:val="2"/>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应急救援预案</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救援器材准备及演练等。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738" w:type="dxa"/>
            <w:vMerge w:val="continue"/>
            <w:noWrap w:val="0"/>
            <w:vAlign w:val="center"/>
          </w:tcPr>
          <w:p>
            <w:pPr>
              <w:pStyle w:val="392"/>
              <w:spacing w:line="300" w:lineRule="exact"/>
              <w:jc w:val="center"/>
              <w:rPr>
                <w:rFonts w:ascii="方正仿宋_GBK" w:eastAsia="方正仿宋_GBK"/>
                <w:color w:val="000000"/>
                <w:szCs w:val="21"/>
              </w:rPr>
            </w:pPr>
          </w:p>
        </w:tc>
        <w:tc>
          <w:tcPr>
            <w:tcW w:w="2070" w:type="dxa"/>
            <w:gridSpan w:val="2"/>
            <w:noWrap w:val="0"/>
            <w:vAlign w:val="center"/>
          </w:tcPr>
          <w:p>
            <w:pPr>
              <w:pStyle w:val="392"/>
              <w:spacing w:line="300" w:lineRule="exact"/>
              <w:jc w:val="center"/>
              <w:rPr>
                <w:rFonts w:ascii="方正仿宋_GBK" w:eastAsia="方正仿宋_GBK"/>
                <w:color w:val="000000"/>
                <w:szCs w:val="21"/>
              </w:rPr>
            </w:pPr>
            <w:r>
              <w:rPr>
                <w:rFonts w:hint="eastAsia" w:ascii="方正仿宋_GBK" w:eastAsia="方正仿宋_GBK"/>
                <w:color w:val="000000"/>
                <w:szCs w:val="21"/>
              </w:rPr>
              <w:t>非正常情况施工</w:t>
            </w:r>
          </w:p>
        </w:tc>
        <w:tc>
          <w:tcPr>
            <w:tcW w:w="6645" w:type="dxa"/>
            <w:noWrap w:val="0"/>
            <w:vAlign w:val="center"/>
          </w:tcPr>
          <w:p>
            <w:pPr>
              <w:pStyle w:val="392"/>
              <w:spacing w:line="300" w:lineRule="exact"/>
              <w:rPr>
                <w:rFonts w:ascii="方正仿宋_GBK" w:eastAsia="方正仿宋_GBK"/>
                <w:color w:val="000000"/>
                <w:szCs w:val="21"/>
              </w:rPr>
            </w:pPr>
            <w:r>
              <w:rPr>
                <w:rFonts w:hint="eastAsia" w:ascii="方正仿宋_GBK" w:eastAsia="方正仿宋_GBK"/>
                <w:color w:val="000000"/>
                <w:szCs w:val="21"/>
              </w:rPr>
              <w:t>其它特殊情况下的防护费用，如：城市主干道、人流密集、河边等处施工及文物、古建筑、古树保护等。</w:t>
            </w:r>
          </w:p>
        </w:tc>
      </w:tr>
    </w:tbl>
    <w:p>
      <w:pPr>
        <w:ind w:firstLine="2310" w:firstLineChars="1100"/>
        <w:rPr>
          <w:rFonts w:hint="eastAsia"/>
          <w:color w:val="000000"/>
        </w:rPr>
      </w:pPr>
    </w:p>
    <w:p>
      <w:pPr>
        <w:spacing w:before="120" w:beforeLines="50"/>
        <w:ind w:firstLine="420" w:firstLineChars="200"/>
        <w:rPr>
          <w:color w:val="000000"/>
        </w:rPr>
      </w:pPr>
      <w:r>
        <w:rPr>
          <w:rFonts w:hint="eastAsia"/>
          <w:color w:val="000000"/>
        </w:rPr>
        <w:t>注：本表所列建设工程安全文明施工费，是依据现行律法规及标准规范确定的。如法律法规和标准规范修订，本表所列项目应按照修订后的法律法规和标准规范进行调整。</w:t>
      </w:r>
    </w:p>
    <w:p>
      <w:pPr>
        <w:pStyle w:val="4"/>
        <w:jc w:val="left"/>
        <w:rPr>
          <w:rFonts w:hint="eastAsia"/>
          <w:b w:val="0"/>
          <w:color w:val="000000"/>
          <w:sz w:val="28"/>
          <w:szCs w:val="28"/>
        </w:rPr>
      </w:pPr>
      <w:r>
        <w:rPr>
          <w:rFonts w:hAnsi="宋体"/>
          <w:color w:val="000000"/>
        </w:rPr>
        <w:br w:type="page"/>
      </w:r>
      <w:bookmarkStart w:id="1743" w:name="_Toc59203265"/>
      <w:r>
        <w:rPr>
          <w:color w:val="000000"/>
          <w:sz w:val="30"/>
          <w:szCs w:val="30"/>
        </w:rPr>
        <w:t>6</w:t>
      </w:r>
      <w:r>
        <w:rPr>
          <w:rFonts w:hint="eastAsia"/>
          <w:color w:val="000000"/>
          <w:sz w:val="30"/>
          <w:szCs w:val="30"/>
        </w:rPr>
        <w:t>、管理机构配备情况表、</w:t>
      </w:r>
      <w:r>
        <w:rPr>
          <w:color w:val="000000"/>
          <w:sz w:val="30"/>
          <w:szCs w:val="30"/>
        </w:rPr>
        <w:t>拟投入本工程的主要施工设备表</w:t>
      </w:r>
      <w:r>
        <w:rPr>
          <w:rFonts w:hint="eastAsia"/>
          <w:color w:val="000000"/>
          <w:sz w:val="30"/>
          <w:szCs w:val="30"/>
        </w:rPr>
        <w:t>、</w:t>
      </w:r>
      <w:r>
        <w:rPr>
          <w:color w:val="000000"/>
          <w:sz w:val="30"/>
          <w:szCs w:val="30"/>
        </w:rPr>
        <w:t>拟配备本工程的试验和检测仪器设备表</w:t>
      </w:r>
      <w:bookmarkEnd w:id="1743"/>
    </w:p>
    <w:p>
      <w:pPr>
        <w:tabs>
          <w:tab w:val="left" w:pos="826"/>
        </w:tabs>
        <w:snapToGrid w:val="0"/>
        <w:spacing w:line="420" w:lineRule="exact"/>
        <w:jc w:val="center"/>
        <w:rPr>
          <w:rFonts w:hint="eastAsia"/>
          <w:color w:val="000000"/>
          <w:sz w:val="24"/>
          <w:szCs w:val="28"/>
        </w:rPr>
      </w:pPr>
    </w:p>
    <w:p>
      <w:pPr>
        <w:tabs>
          <w:tab w:val="left" w:pos="826"/>
        </w:tabs>
        <w:snapToGrid w:val="0"/>
        <w:spacing w:line="360" w:lineRule="auto"/>
        <w:ind w:firstLine="525" w:firstLineChars="250"/>
        <w:jc w:val="left"/>
        <w:rPr>
          <w:color w:val="000000"/>
        </w:rPr>
      </w:pPr>
      <w:r>
        <w:rPr>
          <w:rFonts w:hint="eastAsia"/>
          <w:color w:val="000000"/>
        </w:rPr>
        <w:t>应附上述人员的相应注册证书，建造师安全生产考核合格证书（B类），项目施工专职安全生产管理人员安全生产考核合格证书（C类），身份证、职称证（如有）等材料的原件扫描件。施工项目经理注册建造师</w:t>
      </w:r>
      <w:r>
        <w:rPr>
          <w:color w:val="000000"/>
        </w:rPr>
        <w:t>注册</w:t>
      </w:r>
      <w:r>
        <w:rPr>
          <w:rFonts w:hint="eastAsia"/>
          <w:color w:val="000000"/>
        </w:rPr>
        <w:t>证书和安全生产考核合格证书（B类）、项目施工专职安全生产管理人员安全生产考核合格证书（C类）以诚信库链接为</w:t>
      </w:r>
      <w:r>
        <w:rPr>
          <w:color w:val="000000"/>
        </w:rPr>
        <w:t>准</w:t>
      </w:r>
      <w:r>
        <w:rPr>
          <w:rFonts w:hint="eastAsia"/>
          <w:color w:val="000000"/>
        </w:rPr>
        <w:t>。</w:t>
      </w:r>
    </w:p>
    <w:p>
      <w:pPr>
        <w:tabs>
          <w:tab w:val="left" w:pos="826"/>
        </w:tabs>
        <w:snapToGrid w:val="0"/>
        <w:spacing w:line="360" w:lineRule="auto"/>
        <w:ind w:firstLine="525" w:firstLineChars="250"/>
        <w:jc w:val="left"/>
        <w:rPr>
          <w:color w:val="000000"/>
        </w:rPr>
      </w:pPr>
    </w:p>
    <w:p>
      <w:pPr>
        <w:rPr>
          <w:rFonts w:hint="eastAsia" w:ascii="宋体" w:hAnsi="宋体"/>
          <w:b/>
          <w:color w:val="000000"/>
          <w:sz w:val="24"/>
        </w:rPr>
      </w:pPr>
      <w:r>
        <w:rPr>
          <w:rFonts w:ascii="宋体" w:hAnsi="宋体"/>
          <w:b/>
          <w:color w:val="000000"/>
          <w:sz w:val="24"/>
        </w:rPr>
        <w:t>6</w:t>
      </w:r>
      <w:r>
        <w:rPr>
          <w:rFonts w:hint="eastAsia" w:ascii="宋体" w:hAnsi="宋体"/>
          <w:b/>
          <w:color w:val="000000"/>
          <w:sz w:val="24"/>
        </w:rPr>
        <w:t>.1总承包</w:t>
      </w:r>
      <w:r>
        <w:rPr>
          <w:rFonts w:ascii="宋体" w:hAnsi="宋体"/>
          <w:b/>
          <w:color w:val="000000"/>
          <w:sz w:val="24"/>
        </w:rPr>
        <w:t>管理机构配备情况表</w:t>
      </w:r>
    </w:p>
    <w:p>
      <w:pPr>
        <w:pStyle w:val="358"/>
        <w:rPr>
          <w:color w:val="000000"/>
        </w:rPr>
      </w:pP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29"/>
        <w:gridCol w:w="816"/>
        <w:gridCol w:w="1148"/>
        <w:gridCol w:w="1148"/>
        <w:gridCol w:w="1148"/>
        <w:gridCol w:w="1148"/>
        <w:gridCol w:w="850"/>
        <w:gridCol w:w="1057"/>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67" w:hRule="atLeast"/>
          <w:jc w:val="center"/>
        </w:trPr>
        <w:tc>
          <w:tcPr>
            <w:tcW w:w="761" w:type="dxa"/>
            <w:vMerge w:val="restart"/>
            <w:noWrap w:val="0"/>
            <w:vAlign w:val="center"/>
          </w:tcPr>
          <w:p>
            <w:pPr>
              <w:ind w:left="223" w:hanging="222" w:hangingChars="106"/>
              <w:jc w:val="center"/>
              <w:rPr>
                <w:color w:val="000000"/>
              </w:rPr>
            </w:pPr>
            <w:r>
              <w:rPr>
                <w:color w:val="000000"/>
              </w:rPr>
              <w:t>岗位</w:t>
            </w:r>
          </w:p>
        </w:tc>
        <w:tc>
          <w:tcPr>
            <w:tcW w:w="829" w:type="dxa"/>
            <w:vMerge w:val="restart"/>
            <w:noWrap w:val="0"/>
            <w:vAlign w:val="center"/>
          </w:tcPr>
          <w:p>
            <w:pPr>
              <w:ind w:left="223" w:hanging="222" w:hangingChars="106"/>
              <w:jc w:val="center"/>
              <w:rPr>
                <w:color w:val="000000"/>
              </w:rPr>
            </w:pPr>
            <w:r>
              <w:rPr>
                <w:color w:val="000000"/>
              </w:rPr>
              <w:t>姓名</w:t>
            </w:r>
          </w:p>
        </w:tc>
        <w:tc>
          <w:tcPr>
            <w:tcW w:w="816" w:type="dxa"/>
            <w:vMerge w:val="restart"/>
            <w:noWrap w:val="0"/>
            <w:vAlign w:val="center"/>
          </w:tcPr>
          <w:p>
            <w:pPr>
              <w:ind w:left="223" w:hanging="222" w:hangingChars="106"/>
              <w:jc w:val="center"/>
              <w:rPr>
                <w:color w:val="000000"/>
              </w:rPr>
            </w:pPr>
            <w:r>
              <w:rPr>
                <w:color w:val="000000"/>
              </w:rPr>
              <w:t>职称</w:t>
            </w:r>
          </w:p>
        </w:tc>
        <w:tc>
          <w:tcPr>
            <w:tcW w:w="4592" w:type="dxa"/>
            <w:gridSpan w:val="4"/>
            <w:noWrap w:val="0"/>
            <w:vAlign w:val="center"/>
          </w:tcPr>
          <w:p>
            <w:pPr>
              <w:ind w:left="223" w:hanging="222" w:hangingChars="106"/>
              <w:jc w:val="center"/>
              <w:rPr>
                <w:color w:val="000000"/>
              </w:rPr>
            </w:pPr>
            <w:r>
              <w:rPr>
                <w:color w:val="000000"/>
              </w:rPr>
              <w:t>执业或职业资格证明</w:t>
            </w:r>
          </w:p>
        </w:tc>
        <w:tc>
          <w:tcPr>
            <w:tcW w:w="1907" w:type="dxa"/>
            <w:gridSpan w:val="2"/>
            <w:noWrap w:val="0"/>
            <w:vAlign w:val="center"/>
          </w:tcPr>
          <w:p>
            <w:pPr>
              <w:jc w:val="center"/>
              <w:rPr>
                <w:color w:val="000000"/>
              </w:rPr>
            </w:pPr>
            <w:r>
              <w:rPr>
                <w:color w:val="000000"/>
              </w:rPr>
              <w:t>承担完工工程情况</w:t>
            </w:r>
          </w:p>
        </w:tc>
        <w:tc>
          <w:tcPr>
            <w:tcW w:w="1134" w:type="dxa"/>
            <w:vMerge w:val="restart"/>
            <w:noWrap w:val="0"/>
            <w:vAlign w:val="top"/>
          </w:tcPr>
          <w:p>
            <w:pPr>
              <w:jc w:val="left"/>
              <w:rPr>
                <w:color w:val="000000"/>
              </w:rPr>
            </w:pPr>
            <w:r>
              <w:rPr>
                <w:rFonts w:hint="eastAsia"/>
                <w:color w:val="000000"/>
              </w:rPr>
              <w:t>社保所附证明材料索引号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44" w:hRule="atLeast"/>
          <w:jc w:val="center"/>
        </w:trPr>
        <w:tc>
          <w:tcPr>
            <w:tcW w:w="761" w:type="dxa"/>
            <w:vMerge w:val="continue"/>
            <w:noWrap w:val="0"/>
            <w:vAlign w:val="center"/>
          </w:tcPr>
          <w:p>
            <w:pPr>
              <w:ind w:left="223" w:hanging="222" w:hangingChars="106"/>
              <w:jc w:val="center"/>
              <w:rPr>
                <w:color w:val="000000"/>
              </w:rPr>
            </w:pPr>
          </w:p>
        </w:tc>
        <w:tc>
          <w:tcPr>
            <w:tcW w:w="829" w:type="dxa"/>
            <w:vMerge w:val="continue"/>
            <w:noWrap w:val="0"/>
            <w:vAlign w:val="center"/>
          </w:tcPr>
          <w:p>
            <w:pPr>
              <w:ind w:left="223" w:hanging="222" w:hangingChars="106"/>
              <w:jc w:val="center"/>
              <w:rPr>
                <w:color w:val="000000"/>
              </w:rPr>
            </w:pPr>
          </w:p>
        </w:tc>
        <w:tc>
          <w:tcPr>
            <w:tcW w:w="816" w:type="dxa"/>
            <w:vMerge w:val="continue"/>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r>
              <w:rPr>
                <w:color w:val="000000"/>
              </w:rPr>
              <w:t>证书名称</w:t>
            </w:r>
          </w:p>
        </w:tc>
        <w:tc>
          <w:tcPr>
            <w:tcW w:w="1148" w:type="dxa"/>
            <w:noWrap w:val="0"/>
            <w:vAlign w:val="center"/>
          </w:tcPr>
          <w:p>
            <w:pPr>
              <w:ind w:left="223" w:hanging="222" w:hangingChars="106"/>
              <w:jc w:val="center"/>
              <w:rPr>
                <w:color w:val="000000"/>
              </w:rPr>
            </w:pPr>
            <w:r>
              <w:rPr>
                <w:color w:val="000000"/>
              </w:rPr>
              <w:t>级别</w:t>
            </w:r>
          </w:p>
        </w:tc>
        <w:tc>
          <w:tcPr>
            <w:tcW w:w="1148" w:type="dxa"/>
            <w:noWrap w:val="0"/>
            <w:vAlign w:val="center"/>
          </w:tcPr>
          <w:p>
            <w:pPr>
              <w:ind w:left="223" w:hanging="222" w:hangingChars="106"/>
              <w:jc w:val="center"/>
              <w:rPr>
                <w:color w:val="000000"/>
              </w:rPr>
            </w:pPr>
            <w:r>
              <w:rPr>
                <w:color w:val="000000"/>
              </w:rPr>
              <w:t>证号</w:t>
            </w:r>
          </w:p>
        </w:tc>
        <w:tc>
          <w:tcPr>
            <w:tcW w:w="1148" w:type="dxa"/>
            <w:noWrap w:val="0"/>
            <w:vAlign w:val="center"/>
          </w:tcPr>
          <w:p>
            <w:pPr>
              <w:ind w:left="223" w:hanging="222" w:hangingChars="106"/>
              <w:jc w:val="center"/>
              <w:rPr>
                <w:color w:val="000000"/>
              </w:rPr>
            </w:pPr>
            <w:r>
              <w:rPr>
                <w:color w:val="000000"/>
              </w:rPr>
              <w:t>专业</w:t>
            </w:r>
          </w:p>
        </w:tc>
        <w:tc>
          <w:tcPr>
            <w:tcW w:w="850" w:type="dxa"/>
            <w:noWrap w:val="0"/>
            <w:vAlign w:val="center"/>
          </w:tcPr>
          <w:p>
            <w:pPr>
              <w:jc w:val="center"/>
              <w:rPr>
                <w:color w:val="000000"/>
              </w:rPr>
            </w:pPr>
            <w:r>
              <w:rPr>
                <w:color w:val="000000"/>
              </w:rPr>
              <w:t>项目数</w:t>
            </w:r>
          </w:p>
        </w:tc>
        <w:tc>
          <w:tcPr>
            <w:tcW w:w="1057" w:type="dxa"/>
            <w:noWrap w:val="0"/>
            <w:vAlign w:val="center"/>
          </w:tcPr>
          <w:p>
            <w:pPr>
              <w:jc w:val="center"/>
              <w:rPr>
                <w:color w:val="000000"/>
              </w:rPr>
            </w:pPr>
            <w:r>
              <w:rPr>
                <w:color w:val="000000"/>
              </w:rPr>
              <w:t>主要项目</w:t>
            </w:r>
          </w:p>
          <w:p>
            <w:pPr>
              <w:jc w:val="center"/>
              <w:rPr>
                <w:color w:val="000000"/>
              </w:rPr>
            </w:pPr>
            <w:r>
              <w:rPr>
                <w:color w:val="000000"/>
              </w:rPr>
              <w:t>名称</w:t>
            </w:r>
          </w:p>
        </w:tc>
        <w:tc>
          <w:tcPr>
            <w:tcW w:w="1134" w:type="dxa"/>
            <w:vMerge w:val="continue"/>
            <w:noWrap w:val="0"/>
            <w:vAlign w:val="top"/>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61"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057" w:type="dxa"/>
            <w:noWrap w:val="0"/>
            <w:vAlign w:val="center"/>
          </w:tcPr>
          <w:p>
            <w:pPr>
              <w:ind w:left="223" w:hanging="222" w:hangingChars="106"/>
              <w:jc w:val="center"/>
              <w:rPr>
                <w:color w:val="000000"/>
              </w:rPr>
            </w:pPr>
          </w:p>
        </w:tc>
        <w:tc>
          <w:tcPr>
            <w:tcW w:w="1134" w:type="dxa"/>
            <w:noWrap w:val="0"/>
            <w:vAlign w:val="top"/>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61"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057" w:type="dxa"/>
            <w:noWrap w:val="0"/>
            <w:vAlign w:val="center"/>
          </w:tcPr>
          <w:p>
            <w:pPr>
              <w:ind w:left="223" w:hanging="222" w:hangingChars="106"/>
              <w:jc w:val="center"/>
              <w:rPr>
                <w:color w:val="000000"/>
              </w:rPr>
            </w:pPr>
          </w:p>
        </w:tc>
        <w:tc>
          <w:tcPr>
            <w:tcW w:w="1134" w:type="dxa"/>
            <w:noWrap w:val="0"/>
            <w:vAlign w:val="top"/>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61"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057" w:type="dxa"/>
            <w:noWrap w:val="0"/>
            <w:vAlign w:val="center"/>
          </w:tcPr>
          <w:p>
            <w:pPr>
              <w:ind w:left="223" w:hanging="222" w:hangingChars="106"/>
              <w:jc w:val="center"/>
              <w:rPr>
                <w:color w:val="000000"/>
              </w:rPr>
            </w:pPr>
          </w:p>
        </w:tc>
        <w:tc>
          <w:tcPr>
            <w:tcW w:w="1134" w:type="dxa"/>
            <w:noWrap w:val="0"/>
            <w:vAlign w:val="top"/>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61"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057" w:type="dxa"/>
            <w:noWrap w:val="0"/>
            <w:vAlign w:val="center"/>
          </w:tcPr>
          <w:p>
            <w:pPr>
              <w:ind w:left="223" w:hanging="222" w:hangingChars="106"/>
              <w:jc w:val="center"/>
              <w:rPr>
                <w:color w:val="000000"/>
              </w:rPr>
            </w:pPr>
          </w:p>
        </w:tc>
        <w:tc>
          <w:tcPr>
            <w:tcW w:w="1134" w:type="dxa"/>
            <w:noWrap w:val="0"/>
            <w:vAlign w:val="top"/>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61"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057" w:type="dxa"/>
            <w:noWrap w:val="0"/>
            <w:vAlign w:val="center"/>
          </w:tcPr>
          <w:p>
            <w:pPr>
              <w:ind w:left="223" w:hanging="222" w:hangingChars="106"/>
              <w:jc w:val="center"/>
              <w:rPr>
                <w:color w:val="000000"/>
              </w:rPr>
            </w:pPr>
          </w:p>
        </w:tc>
        <w:tc>
          <w:tcPr>
            <w:tcW w:w="1134" w:type="dxa"/>
            <w:noWrap w:val="0"/>
            <w:vAlign w:val="top"/>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61"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057" w:type="dxa"/>
            <w:noWrap w:val="0"/>
            <w:vAlign w:val="center"/>
          </w:tcPr>
          <w:p>
            <w:pPr>
              <w:ind w:left="223" w:hanging="222" w:hangingChars="106"/>
              <w:jc w:val="center"/>
              <w:rPr>
                <w:color w:val="000000"/>
              </w:rPr>
            </w:pPr>
          </w:p>
        </w:tc>
        <w:tc>
          <w:tcPr>
            <w:tcW w:w="1134" w:type="dxa"/>
            <w:noWrap w:val="0"/>
            <w:vAlign w:val="top"/>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61"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057" w:type="dxa"/>
            <w:noWrap w:val="0"/>
            <w:vAlign w:val="center"/>
          </w:tcPr>
          <w:p>
            <w:pPr>
              <w:ind w:left="223" w:hanging="222" w:hangingChars="106"/>
              <w:jc w:val="center"/>
              <w:rPr>
                <w:color w:val="000000"/>
              </w:rPr>
            </w:pPr>
          </w:p>
        </w:tc>
        <w:tc>
          <w:tcPr>
            <w:tcW w:w="1134" w:type="dxa"/>
            <w:noWrap w:val="0"/>
            <w:vAlign w:val="top"/>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61"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057" w:type="dxa"/>
            <w:noWrap w:val="0"/>
            <w:vAlign w:val="center"/>
          </w:tcPr>
          <w:p>
            <w:pPr>
              <w:ind w:left="223" w:hanging="222" w:hangingChars="106"/>
              <w:jc w:val="center"/>
              <w:rPr>
                <w:color w:val="000000"/>
              </w:rPr>
            </w:pPr>
          </w:p>
        </w:tc>
        <w:tc>
          <w:tcPr>
            <w:tcW w:w="1134" w:type="dxa"/>
            <w:noWrap w:val="0"/>
            <w:vAlign w:val="top"/>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61"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057" w:type="dxa"/>
            <w:noWrap w:val="0"/>
            <w:vAlign w:val="center"/>
          </w:tcPr>
          <w:p>
            <w:pPr>
              <w:ind w:left="223" w:hanging="222" w:hangingChars="106"/>
              <w:jc w:val="center"/>
              <w:rPr>
                <w:color w:val="000000"/>
              </w:rPr>
            </w:pPr>
          </w:p>
        </w:tc>
        <w:tc>
          <w:tcPr>
            <w:tcW w:w="1134" w:type="dxa"/>
            <w:noWrap w:val="0"/>
            <w:vAlign w:val="top"/>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979" w:hRule="atLeast"/>
          <w:jc w:val="center"/>
        </w:trPr>
        <w:tc>
          <w:tcPr>
            <w:tcW w:w="10039" w:type="dxa"/>
            <w:gridSpan w:val="10"/>
            <w:noWrap w:val="0"/>
            <w:vAlign w:val="top"/>
          </w:tcPr>
          <w:p>
            <w:pPr>
              <w:spacing w:before="120" w:beforeLines="50" w:after="120" w:afterLines="50" w:line="360" w:lineRule="auto"/>
              <w:rPr>
                <w:color w:val="000000"/>
                <w:szCs w:val="21"/>
              </w:rPr>
            </w:pPr>
            <w:r>
              <w:rPr>
                <w:color w:val="000000"/>
                <w:szCs w:val="21"/>
              </w:rPr>
              <w:t>一旦我单位中标，将实行</w:t>
            </w:r>
            <w:r>
              <w:rPr>
                <w:rFonts w:hint="eastAsia"/>
                <w:color w:val="000000"/>
                <w:szCs w:val="21"/>
              </w:rPr>
              <w:t>工程总承包项目经理</w:t>
            </w:r>
            <w:r>
              <w:rPr>
                <w:color w:val="000000"/>
                <w:szCs w:val="21"/>
              </w:rPr>
              <w:t>负责制，我方保证并配备上述项目管理机构。上述填报内容真实，若不真实，愿按有关规定接受处理。项目管理班子机构设置、职责分工等情况另附资料说明。</w:t>
            </w:r>
          </w:p>
        </w:tc>
      </w:tr>
    </w:tbl>
    <w:p>
      <w:pPr>
        <w:tabs>
          <w:tab w:val="left" w:pos="0"/>
        </w:tabs>
        <w:spacing w:line="360" w:lineRule="auto"/>
        <w:ind w:right="-210"/>
        <w:rPr>
          <w:color w:val="000000"/>
        </w:rPr>
      </w:pPr>
    </w:p>
    <w:p>
      <w:pPr>
        <w:tabs>
          <w:tab w:val="left" w:pos="826"/>
        </w:tabs>
        <w:snapToGrid w:val="0"/>
        <w:spacing w:line="420" w:lineRule="exact"/>
        <w:rPr>
          <w:rFonts w:hint="eastAsia"/>
          <w:b/>
          <w:color w:val="000000"/>
          <w:szCs w:val="21"/>
        </w:rPr>
      </w:pPr>
      <w:r>
        <w:rPr>
          <w:color w:val="000000"/>
        </w:rPr>
        <w:br w:type="page"/>
      </w:r>
      <w:r>
        <w:rPr>
          <w:b/>
          <w:color w:val="000000"/>
          <w:szCs w:val="21"/>
        </w:rPr>
        <w:t>6</w:t>
      </w:r>
      <w:r>
        <w:rPr>
          <w:rFonts w:hint="eastAsia"/>
          <w:b/>
          <w:color w:val="000000"/>
          <w:szCs w:val="21"/>
        </w:rPr>
        <w:t>.2设计</w:t>
      </w:r>
      <w:r>
        <w:rPr>
          <w:b/>
          <w:color w:val="000000"/>
          <w:szCs w:val="21"/>
        </w:rPr>
        <w:t>管理机构配备情况表</w:t>
      </w:r>
    </w:p>
    <w:p>
      <w:pPr>
        <w:pStyle w:val="358"/>
        <w:rPr>
          <w:color w:val="000000"/>
        </w:rPr>
      </w:pP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829"/>
        <w:gridCol w:w="816"/>
        <w:gridCol w:w="1148"/>
        <w:gridCol w:w="1148"/>
        <w:gridCol w:w="1148"/>
        <w:gridCol w:w="1148"/>
        <w:gridCol w:w="850"/>
        <w:gridCol w:w="1084"/>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67" w:hRule="atLeast"/>
          <w:jc w:val="center"/>
        </w:trPr>
        <w:tc>
          <w:tcPr>
            <w:tcW w:w="743" w:type="dxa"/>
            <w:vMerge w:val="restart"/>
            <w:noWrap w:val="0"/>
            <w:vAlign w:val="center"/>
          </w:tcPr>
          <w:p>
            <w:pPr>
              <w:ind w:left="223" w:hanging="222" w:hangingChars="106"/>
              <w:jc w:val="center"/>
              <w:rPr>
                <w:color w:val="000000"/>
              </w:rPr>
            </w:pPr>
            <w:r>
              <w:rPr>
                <w:color w:val="000000"/>
              </w:rPr>
              <w:t>岗位</w:t>
            </w:r>
          </w:p>
        </w:tc>
        <w:tc>
          <w:tcPr>
            <w:tcW w:w="829" w:type="dxa"/>
            <w:vMerge w:val="restart"/>
            <w:noWrap w:val="0"/>
            <w:vAlign w:val="center"/>
          </w:tcPr>
          <w:p>
            <w:pPr>
              <w:ind w:left="223" w:hanging="222" w:hangingChars="106"/>
              <w:jc w:val="center"/>
              <w:rPr>
                <w:color w:val="000000"/>
              </w:rPr>
            </w:pPr>
            <w:r>
              <w:rPr>
                <w:color w:val="000000"/>
              </w:rPr>
              <w:t>姓名</w:t>
            </w:r>
          </w:p>
        </w:tc>
        <w:tc>
          <w:tcPr>
            <w:tcW w:w="816" w:type="dxa"/>
            <w:vMerge w:val="restart"/>
            <w:noWrap w:val="0"/>
            <w:vAlign w:val="center"/>
          </w:tcPr>
          <w:p>
            <w:pPr>
              <w:ind w:left="223" w:hanging="222" w:hangingChars="106"/>
              <w:jc w:val="center"/>
              <w:rPr>
                <w:color w:val="000000"/>
              </w:rPr>
            </w:pPr>
            <w:r>
              <w:rPr>
                <w:color w:val="000000"/>
              </w:rPr>
              <w:t>职称</w:t>
            </w:r>
          </w:p>
        </w:tc>
        <w:tc>
          <w:tcPr>
            <w:tcW w:w="4592" w:type="dxa"/>
            <w:gridSpan w:val="4"/>
            <w:noWrap w:val="0"/>
            <w:vAlign w:val="center"/>
          </w:tcPr>
          <w:p>
            <w:pPr>
              <w:ind w:left="223" w:hanging="222" w:hangingChars="106"/>
              <w:jc w:val="center"/>
              <w:rPr>
                <w:color w:val="000000"/>
              </w:rPr>
            </w:pPr>
            <w:r>
              <w:rPr>
                <w:color w:val="000000"/>
              </w:rPr>
              <w:t>执业或职业资格证明</w:t>
            </w:r>
          </w:p>
        </w:tc>
        <w:tc>
          <w:tcPr>
            <w:tcW w:w="1934" w:type="dxa"/>
            <w:gridSpan w:val="2"/>
            <w:noWrap w:val="0"/>
            <w:vAlign w:val="center"/>
          </w:tcPr>
          <w:p>
            <w:pPr>
              <w:jc w:val="center"/>
              <w:rPr>
                <w:color w:val="000000"/>
              </w:rPr>
            </w:pPr>
            <w:r>
              <w:rPr>
                <w:color w:val="000000"/>
              </w:rPr>
              <w:t>承担完工工程情况</w:t>
            </w:r>
          </w:p>
        </w:tc>
        <w:tc>
          <w:tcPr>
            <w:tcW w:w="1084" w:type="dxa"/>
            <w:vMerge w:val="restart"/>
            <w:noWrap w:val="0"/>
            <w:vAlign w:val="top"/>
          </w:tcPr>
          <w:p>
            <w:pPr>
              <w:jc w:val="center"/>
              <w:rPr>
                <w:color w:val="000000"/>
              </w:rPr>
            </w:pPr>
            <w:r>
              <w:rPr>
                <w:rFonts w:hint="eastAsia"/>
                <w:color w:val="000000"/>
              </w:rPr>
              <w:t>社保所附证明材料索引号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44" w:hRule="atLeast"/>
          <w:jc w:val="center"/>
        </w:trPr>
        <w:tc>
          <w:tcPr>
            <w:tcW w:w="743" w:type="dxa"/>
            <w:vMerge w:val="continue"/>
            <w:noWrap w:val="0"/>
            <w:vAlign w:val="center"/>
          </w:tcPr>
          <w:p>
            <w:pPr>
              <w:ind w:left="223" w:hanging="222" w:hangingChars="106"/>
              <w:jc w:val="center"/>
              <w:rPr>
                <w:color w:val="000000"/>
              </w:rPr>
            </w:pPr>
          </w:p>
        </w:tc>
        <w:tc>
          <w:tcPr>
            <w:tcW w:w="829" w:type="dxa"/>
            <w:vMerge w:val="continue"/>
            <w:noWrap w:val="0"/>
            <w:vAlign w:val="center"/>
          </w:tcPr>
          <w:p>
            <w:pPr>
              <w:ind w:left="223" w:hanging="222" w:hangingChars="106"/>
              <w:jc w:val="center"/>
              <w:rPr>
                <w:color w:val="000000"/>
              </w:rPr>
            </w:pPr>
          </w:p>
        </w:tc>
        <w:tc>
          <w:tcPr>
            <w:tcW w:w="816" w:type="dxa"/>
            <w:vMerge w:val="continue"/>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r>
              <w:rPr>
                <w:color w:val="000000"/>
              </w:rPr>
              <w:t>证书名称</w:t>
            </w:r>
          </w:p>
        </w:tc>
        <w:tc>
          <w:tcPr>
            <w:tcW w:w="1148" w:type="dxa"/>
            <w:noWrap w:val="0"/>
            <w:vAlign w:val="center"/>
          </w:tcPr>
          <w:p>
            <w:pPr>
              <w:ind w:left="223" w:hanging="222" w:hangingChars="106"/>
              <w:jc w:val="center"/>
              <w:rPr>
                <w:color w:val="000000"/>
              </w:rPr>
            </w:pPr>
            <w:r>
              <w:rPr>
                <w:color w:val="000000"/>
              </w:rPr>
              <w:t>级别</w:t>
            </w:r>
          </w:p>
        </w:tc>
        <w:tc>
          <w:tcPr>
            <w:tcW w:w="1148" w:type="dxa"/>
            <w:noWrap w:val="0"/>
            <w:vAlign w:val="center"/>
          </w:tcPr>
          <w:p>
            <w:pPr>
              <w:ind w:left="223" w:hanging="222" w:hangingChars="106"/>
              <w:jc w:val="center"/>
              <w:rPr>
                <w:color w:val="000000"/>
              </w:rPr>
            </w:pPr>
            <w:r>
              <w:rPr>
                <w:color w:val="000000"/>
              </w:rPr>
              <w:t>证号</w:t>
            </w:r>
          </w:p>
        </w:tc>
        <w:tc>
          <w:tcPr>
            <w:tcW w:w="1148" w:type="dxa"/>
            <w:noWrap w:val="0"/>
            <w:vAlign w:val="center"/>
          </w:tcPr>
          <w:p>
            <w:pPr>
              <w:ind w:left="223" w:hanging="222" w:hangingChars="106"/>
              <w:jc w:val="center"/>
              <w:rPr>
                <w:color w:val="000000"/>
              </w:rPr>
            </w:pPr>
            <w:r>
              <w:rPr>
                <w:color w:val="000000"/>
              </w:rPr>
              <w:t>专业</w:t>
            </w:r>
          </w:p>
        </w:tc>
        <w:tc>
          <w:tcPr>
            <w:tcW w:w="850" w:type="dxa"/>
            <w:noWrap w:val="0"/>
            <w:vAlign w:val="center"/>
          </w:tcPr>
          <w:p>
            <w:pPr>
              <w:jc w:val="center"/>
              <w:rPr>
                <w:color w:val="000000"/>
              </w:rPr>
            </w:pPr>
            <w:r>
              <w:rPr>
                <w:color w:val="000000"/>
              </w:rPr>
              <w:t>项目数</w:t>
            </w:r>
          </w:p>
        </w:tc>
        <w:tc>
          <w:tcPr>
            <w:tcW w:w="1084" w:type="dxa"/>
            <w:noWrap w:val="0"/>
            <w:vAlign w:val="center"/>
          </w:tcPr>
          <w:p>
            <w:pPr>
              <w:jc w:val="center"/>
              <w:rPr>
                <w:color w:val="000000"/>
              </w:rPr>
            </w:pPr>
            <w:r>
              <w:rPr>
                <w:color w:val="000000"/>
              </w:rPr>
              <w:t>主要项目名称</w:t>
            </w:r>
          </w:p>
        </w:tc>
        <w:tc>
          <w:tcPr>
            <w:tcW w:w="1084" w:type="dxa"/>
            <w:vMerge w:val="continue"/>
            <w:noWrap w:val="0"/>
            <w:vAlign w:val="top"/>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4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084" w:type="dxa"/>
            <w:noWrap w:val="0"/>
            <w:vAlign w:val="center"/>
          </w:tcPr>
          <w:p>
            <w:pPr>
              <w:ind w:left="223" w:hanging="222" w:hangingChars="106"/>
              <w:jc w:val="center"/>
              <w:rPr>
                <w:color w:val="000000"/>
              </w:rPr>
            </w:pPr>
          </w:p>
        </w:tc>
        <w:tc>
          <w:tcPr>
            <w:tcW w:w="1084" w:type="dxa"/>
            <w:noWrap w:val="0"/>
            <w:vAlign w:val="top"/>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4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084" w:type="dxa"/>
            <w:noWrap w:val="0"/>
            <w:vAlign w:val="center"/>
          </w:tcPr>
          <w:p>
            <w:pPr>
              <w:ind w:left="223" w:hanging="222" w:hangingChars="106"/>
              <w:jc w:val="center"/>
              <w:rPr>
                <w:color w:val="000000"/>
              </w:rPr>
            </w:pPr>
          </w:p>
        </w:tc>
        <w:tc>
          <w:tcPr>
            <w:tcW w:w="1084" w:type="dxa"/>
            <w:noWrap w:val="0"/>
            <w:vAlign w:val="top"/>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4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084" w:type="dxa"/>
            <w:noWrap w:val="0"/>
            <w:vAlign w:val="center"/>
          </w:tcPr>
          <w:p>
            <w:pPr>
              <w:ind w:left="223" w:hanging="222" w:hangingChars="106"/>
              <w:jc w:val="center"/>
              <w:rPr>
                <w:color w:val="000000"/>
              </w:rPr>
            </w:pPr>
          </w:p>
        </w:tc>
        <w:tc>
          <w:tcPr>
            <w:tcW w:w="1084" w:type="dxa"/>
            <w:noWrap w:val="0"/>
            <w:vAlign w:val="top"/>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4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084" w:type="dxa"/>
            <w:noWrap w:val="0"/>
            <w:vAlign w:val="center"/>
          </w:tcPr>
          <w:p>
            <w:pPr>
              <w:ind w:left="223" w:hanging="222" w:hangingChars="106"/>
              <w:jc w:val="center"/>
              <w:rPr>
                <w:color w:val="000000"/>
              </w:rPr>
            </w:pPr>
          </w:p>
        </w:tc>
        <w:tc>
          <w:tcPr>
            <w:tcW w:w="1084" w:type="dxa"/>
            <w:noWrap w:val="0"/>
            <w:vAlign w:val="top"/>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4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084" w:type="dxa"/>
            <w:noWrap w:val="0"/>
            <w:vAlign w:val="center"/>
          </w:tcPr>
          <w:p>
            <w:pPr>
              <w:ind w:left="223" w:hanging="222" w:hangingChars="106"/>
              <w:jc w:val="center"/>
              <w:rPr>
                <w:color w:val="000000"/>
              </w:rPr>
            </w:pPr>
          </w:p>
        </w:tc>
        <w:tc>
          <w:tcPr>
            <w:tcW w:w="1084" w:type="dxa"/>
            <w:noWrap w:val="0"/>
            <w:vAlign w:val="top"/>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4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084" w:type="dxa"/>
            <w:noWrap w:val="0"/>
            <w:vAlign w:val="center"/>
          </w:tcPr>
          <w:p>
            <w:pPr>
              <w:ind w:left="223" w:hanging="222" w:hangingChars="106"/>
              <w:jc w:val="center"/>
              <w:rPr>
                <w:color w:val="000000"/>
              </w:rPr>
            </w:pPr>
          </w:p>
        </w:tc>
        <w:tc>
          <w:tcPr>
            <w:tcW w:w="1084" w:type="dxa"/>
            <w:noWrap w:val="0"/>
            <w:vAlign w:val="top"/>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4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084" w:type="dxa"/>
            <w:noWrap w:val="0"/>
            <w:vAlign w:val="center"/>
          </w:tcPr>
          <w:p>
            <w:pPr>
              <w:ind w:left="223" w:hanging="222" w:hangingChars="106"/>
              <w:jc w:val="center"/>
              <w:rPr>
                <w:color w:val="000000"/>
              </w:rPr>
            </w:pPr>
          </w:p>
        </w:tc>
        <w:tc>
          <w:tcPr>
            <w:tcW w:w="1084" w:type="dxa"/>
            <w:noWrap w:val="0"/>
            <w:vAlign w:val="top"/>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4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084" w:type="dxa"/>
            <w:noWrap w:val="0"/>
            <w:vAlign w:val="center"/>
          </w:tcPr>
          <w:p>
            <w:pPr>
              <w:ind w:left="223" w:hanging="222" w:hangingChars="106"/>
              <w:jc w:val="center"/>
              <w:rPr>
                <w:color w:val="000000"/>
              </w:rPr>
            </w:pPr>
          </w:p>
        </w:tc>
        <w:tc>
          <w:tcPr>
            <w:tcW w:w="1084" w:type="dxa"/>
            <w:noWrap w:val="0"/>
            <w:vAlign w:val="top"/>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4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084" w:type="dxa"/>
            <w:noWrap w:val="0"/>
            <w:vAlign w:val="center"/>
          </w:tcPr>
          <w:p>
            <w:pPr>
              <w:ind w:left="223" w:hanging="222" w:hangingChars="106"/>
              <w:jc w:val="center"/>
              <w:rPr>
                <w:color w:val="000000"/>
              </w:rPr>
            </w:pPr>
          </w:p>
        </w:tc>
        <w:tc>
          <w:tcPr>
            <w:tcW w:w="1084" w:type="dxa"/>
            <w:noWrap w:val="0"/>
            <w:vAlign w:val="top"/>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979" w:hRule="atLeast"/>
          <w:jc w:val="center"/>
        </w:trPr>
        <w:tc>
          <w:tcPr>
            <w:tcW w:w="9998" w:type="dxa"/>
            <w:gridSpan w:val="10"/>
            <w:noWrap w:val="0"/>
            <w:vAlign w:val="top"/>
          </w:tcPr>
          <w:p>
            <w:pPr>
              <w:spacing w:before="120" w:beforeLines="50" w:after="120" w:afterLines="50" w:line="360" w:lineRule="auto"/>
              <w:rPr>
                <w:color w:val="000000"/>
                <w:szCs w:val="21"/>
              </w:rPr>
            </w:pPr>
            <w:r>
              <w:rPr>
                <w:color w:val="000000"/>
                <w:szCs w:val="21"/>
              </w:rPr>
              <w:t>一旦我单位中标，将实行</w:t>
            </w:r>
            <w:r>
              <w:rPr>
                <w:rFonts w:hint="eastAsia"/>
                <w:color w:val="000000"/>
                <w:szCs w:val="21"/>
              </w:rPr>
              <w:t>设计负责人</w:t>
            </w:r>
            <w:r>
              <w:rPr>
                <w:color w:val="000000"/>
                <w:szCs w:val="21"/>
              </w:rPr>
              <w:t>负责制，我方保证并配备上述项目管理机构。上述填报内容真实，若不真实，愿按有关规定接受处理。项目管理班子机构设置、职责分工等情况另附资料说明。</w:t>
            </w:r>
          </w:p>
        </w:tc>
      </w:tr>
    </w:tbl>
    <w:p>
      <w:pPr>
        <w:tabs>
          <w:tab w:val="left" w:pos="0"/>
        </w:tabs>
        <w:spacing w:line="360" w:lineRule="auto"/>
        <w:ind w:right="-210"/>
        <w:rPr>
          <w:color w:val="000000"/>
        </w:rPr>
      </w:pPr>
    </w:p>
    <w:p>
      <w:pPr>
        <w:tabs>
          <w:tab w:val="left" w:pos="826"/>
        </w:tabs>
        <w:snapToGrid w:val="0"/>
        <w:spacing w:line="420" w:lineRule="exact"/>
        <w:rPr>
          <w:rFonts w:hint="eastAsia"/>
          <w:b/>
          <w:color w:val="000000"/>
          <w:szCs w:val="21"/>
        </w:rPr>
      </w:pPr>
      <w:r>
        <w:rPr>
          <w:color w:val="000000"/>
        </w:rPr>
        <w:br w:type="page"/>
      </w:r>
      <w:r>
        <w:rPr>
          <w:b/>
          <w:color w:val="000000"/>
          <w:szCs w:val="21"/>
        </w:rPr>
        <w:t>6</w:t>
      </w:r>
      <w:r>
        <w:rPr>
          <w:rFonts w:hint="eastAsia"/>
          <w:b/>
          <w:color w:val="000000"/>
          <w:szCs w:val="21"/>
        </w:rPr>
        <w:t>.3施工</w:t>
      </w:r>
      <w:r>
        <w:rPr>
          <w:b/>
          <w:color w:val="000000"/>
          <w:szCs w:val="21"/>
        </w:rPr>
        <w:t>管理机构配备情况表</w:t>
      </w:r>
    </w:p>
    <w:p>
      <w:pPr>
        <w:pStyle w:val="358"/>
        <w:rPr>
          <w:color w:val="000000"/>
        </w:rPr>
      </w:pP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29"/>
        <w:gridCol w:w="816"/>
        <w:gridCol w:w="1148"/>
        <w:gridCol w:w="1148"/>
        <w:gridCol w:w="1148"/>
        <w:gridCol w:w="1148"/>
        <w:gridCol w:w="850"/>
        <w:gridCol w:w="1233"/>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67" w:hRule="atLeast"/>
          <w:jc w:val="center"/>
        </w:trPr>
        <w:tc>
          <w:tcPr>
            <w:tcW w:w="736" w:type="dxa"/>
            <w:vMerge w:val="restart"/>
            <w:noWrap w:val="0"/>
            <w:vAlign w:val="center"/>
          </w:tcPr>
          <w:p>
            <w:pPr>
              <w:ind w:left="223" w:hanging="222" w:hangingChars="106"/>
              <w:jc w:val="center"/>
              <w:rPr>
                <w:color w:val="000000"/>
              </w:rPr>
            </w:pPr>
            <w:r>
              <w:rPr>
                <w:color w:val="000000"/>
              </w:rPr>
              <w:t>岗位</w:t>
            </w:r>
          </w:p>
        </w:tc>
        <w:tc>
          <w:tcPr>
            <w:tcW w:w="829" w:type="dxa"/>
            <w:vMerge w:val="restart"/>
            <w:noWrap w:val="0"/>
            <w:vAlign w:val="center"/>
          </w:tcPr>
          <w:p>
            <w:pPr>
              <w:ind w:left="223" w:hanging="222" w:hangingChars="106"/>
              <w:jc w:val="center"/>
              <w:rPr>
                <w:color w:val="000000"/>
              </w:rPr>
            </w:pPr>
            <w:r>
              <w:rPr>
                <w:color w:val="000000"/>
              </w:rPr>
              <w:t>姓名</w:t>
            </w:r>
          </w:p>
        </w:tc>
        <w:tc>
          <w:tcPr>
            <w:tcW w:w="816" w:type="dxa"/>
            <w:vMerge w:val="restart"/>
            <w:noWrap w:val="0"/>
            <w:vAlign w:val="center"/>
          </w:tcPr>
          <w:p>
            <w:pPr>
              <w:ind w:left="223" w:hanging="222" w:hangingChars="106"/>
              <w:jc w:val="center"/>
              <w:rPr>
                <w:color w:val="000000"/>
              </w:rPr>
            </w:pPr>
            <w:r>
              <w:rPr>
                <w:color w:val="000000"/>
              </w:rPr>
              <w:t>职称</w:t>
            </w:r>
          </w:p>
        </w:tc>
        <w:tc>
          <w:tcPr>
            <w:tcW w:w="4592" w:type="dxa"/>
            <w:gridSpan w:val="4"/>
            <w:noWrap w:val="0"/>
            <w:vAlign w:val="center"/>
          </w:tcPr>
          <w:p>
            <w:pPr>
              <w:ind w:left="223" w:hanging="222" w:hangingChars="106"/>
              <w:jc w:val="center"/>
              <w:rPr>
                <w:color w:val="000000"/>
              </w:rPr>
            </w:pPr>
            <w:r>
              <w:rPr>
                <w:color w:val="000000"/>
              </w:rPr>
              <w:t>执业或职业资格证明</w:t>
            </w:r>
          </w:p>
        </w:tc>
        <w:tc>
          <w:tcPr>
            <w:tcW w:w="2083" w:type="dxa"/>
            <w:gridSpan w:val="2"/>
            <w:noWrap w:val="0"/>
            <w:vAlign w:val="top"/>
          </w:tcPr>
          <w:p>
            <w:pPr>
              <w:ind w:left="223" w:hanging="222" w:hangingChars="106"/>
              <w:jc w:val="center"/>
              <w:rPr>
                <w:color w:val="000000"/>
              </w:rPr>
            </w:pPr>
            <w:r>
              <w:rPr>
                <w:color w:val="000000"/>
              </w:rPr>
              <w:t>承担完工工程情况</w:t>
            </w:r>
          </w:p>
        </w:tc>
        <w:tc>
          <w:tcPr>
            <w:tcW w:w="1021" w:type="dxa"/>
            <w:vMerge w:val="restart"/>
            <w:noWrap w:val="0"/>
            <w:vAlign w:val="top"/>
          </w:tcPr>
          <w:p>
            <w:pPr>
              <w:jc w:val="center"/>
              <w:rPr>
                <w:color w:val="000000"/>
              </w:rPr>
            </w:pPr>
            <w:r>
              <w:rPr>
                <w:rFonts w:hint="eastAsia"/>
                <w:color w:val="000000"/>
              </w:rPr>
              <w:t>社保所附证明材料索引号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44" w:hRule="atLeast"/>
          <w:jc w:val="center"/>
        </w:trPr>
        <w:tc>
          <w:tcPr>
            <w:tcW w:w="736" w:type="dxa"/>
            <w:vMerge w:val="continue"/>
            <w:noWrap w:val="0"/>
            <w:vAlign w:val="center"/>
          </w:tcPr>
          <w:p>
            <w:pPr>
              <w:ind w:left="223" w:hanging="222" w:hangingChars="106"/>
              <w:jc w:val="center"/>
              <w:rPr>
                <w:color w:val="000000"/>
              </w:rPr>
            </w:pPr>
          </w:p>
        </w:tc>
        <w:tc>
          <w:tcPr>
            <w:tcW w:w="829" w:type="dxa"/>
            <w:vMerge w:val="continue"/>
            <w:noWrap w:val="0"/>
            <w:vAlign w:val="center"/>
          </w:tcPr>
          <w:p>
            <w:pPr>
              <w:ind w:left="223" w:hanging="222" w:hangingChars="106"/>
              <w:jc w:val="center"/>
              <w:rPr>
                <w:color w:val="000000"/>
              </w:rPr>
            </w:pPr>
          </w:p>
        </w:tc>
        <w:tc>
          <w:tcPr>
            <w:tcW w:w="816" w:type="dxa"/>
            <w:vMerge w:val="continue"/>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r>
              <w:rPr>
                <w:color w:val="000000"/>
              </w:rPr>
              <w:t>证书名称</w:t>
            </w:r>
          </w:p>
        </w:tc>
        <w:tc>
          <w:tcPr>
            <w:tcW w:w="1148" w:type="dxa"/>
            <w:noWrap w:val="0"/>
            <w:vAlign w:val="center"/>
          </w:tcPr>
          <w:p>
            <w:pPr>
              <w:ind w:left="223" w:hanging="222" w:hangingChars="106"/>
              <w:jc w:val="center"/>
              <w:rPr>
                <w:color w:val="000000"/>
              </w:rPr>
            </w:pPr>
            <w:r>
              <w:rPr>
                <w:color w:val="000000"/>
              </w:rPr>
              <w:t>级别</w:t>
            </w:r>
          </w:p>
        </w:tc>
        <w:tc>
          <w:tcPr>
            <w:tcW w:w="1148" w:type="dxa"/>
            <w:noWrap w:val="0"/>
            <w:vAlign w:val="center"/>
          </w:tcPr>
          <w:p>
            <w:pPr>
              <w:ind w:left="223" w:hanging="222" w:hangingChars="106"/>
              <w:jc w:val="center"/>
              <w:rPr>
                <w:color w:val="000000"/>
              </w:rPr>
            </w:pPr>
            <w:r>
              <w:rPr>
                <w:color w:val="000000"/>
              </w:rPr>
              <w:t>证号</w:t>
            </w:r>
          </w:p>
        </w:tc>
        <w:tc>
          <w:tcPr>
            <w:tcW w:w="1148" w:type="dxa"/>
            <w:noWrap w:val="0"/>
            <w:vAlign w:val="center"/>
          </w:tcPr>
          <w:p>
            <w:pPr>
              <w:ind w:left="223" w:hanging="222" w:hangingChars="106"/>
              <w:jc w:val="center"/>
              <w:rPr>
                <w:color w:val="000000"/>
              </w:rPr>
            </w:pPr>
            <w:r>
              <w:rPr>
                <w:color w:val="000000"/>
              </w:rPr>
              <w:t>专业</w:t>
            </w:r>
          </w:p>
        </w:tc>
        <w:tc>
          <w:tcPr>
            <w:tcW w:w="850" w:type="dxa"/>
            <w:noWrap w:val="0"/>
            <w:vAlign w:val="center"/>
          </w:tcPr>
          <w:p>
            <w:pPr>
              <w:jc w:val="center"/>
              <w:rPr>
                <w:color w:val="000000"/>
              </w:rPr>
            </w:pPr>
            <w:r>
              <w:rPr>
                <w:color w:val="000000"/>
              </w:rPr>
              <w:t>项目数</w:t>
            </w:r>
          </w:p>
        </w:tc>
        <w:tc>
          <w:tcPr>
            <w:tcW w:w="1233" w:type="dxa"/>
            <w:noWrap w:val="0"/>
            <w:vAlign w:val="top"/>
          </w:tcPr>
          <w:p>
            <w:pPr>
              <w:jc w:val="center"/>
              <w:rPr>
                <w:rFonts w:hint="eastAsia"/>
                <w:color w:val="000000"/>
              </w:rPr>
            </w:pPr>
            <w:r>
              <w:rPr>
                <w:color w:val="000000"/>
              </w:rPr>
              <w:t>主要项目</w:t>
            </w:r>
          </w:p>
          <w:p>
            <w:pPr>
              <w:jc w:val="center"/>
              <w:rPr>
                <w:color w:val="000000"/>
              </w:rPr>
            </w:pPr>
            <w:r>
              <w:rPr>
                <w:color w:val="000000"/>
              </w:rPr>
              <w:t>名称</w:t>
            </w:r>
          </w:p>
        </w:tc>
        <w:tc>
          <w:tcPr>
            <w:tcW w:w="1021" w:type="dxa"/>
            <w:vMerge w:val="continue"/>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36"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233" w:type="dxa"/>
            <w:noWrap w:val="0"/>
            <w:vAlign w:val="top"/>
          </w:tcPr>
          <w:p>
            <w:pPr>
              <w:ind w:left="223" w:hanging="222" w:hangingChars="106"/>
              <w:jc w:val="center"/>
              <w:rPr>
                <w:color w:val="000000"/>
              </w:rPr>
            </w:pPr>
          </w:p>
        </w:tc>
        <w:tc>
          <w:tcPr>
            <w:tcW w:w="1021"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36"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233" w:type="dxa"/>
            <w:noWrap w:val="0"/>
            <w:vAlign w:val="top"/>
          </w:tcPr>
          <w:p>
            <w:pPr>
              <w:ind w:left="223" w:hanging="222" w:hangingChars="106"/>
              <w:jc w:val="center"/>
              <w:rPr>
                <w:color w:val="000000"/>
              </w:rPr>
            </w:pPr>
          </w:p>
        </w:tc>
        <w:tc>
          <w:tcPr>
            <w:tcW w:w="1021"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36"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233" w:type="dxa"/>
            <w:noWrap w:val="0"/>
            <w:vAlign w:val="top"/>
          </w:tcPr>
          <w:p>
            <w:pPr>
              <w:ind w:left="223" w:hanging="222" w:hangingChars="106"/>
              <w:jc w:val="center"/>
              <w:rPr>
                <w:color w:val="000000"/>
              </w:rPr>
            </w:pPr>
          </w:p>
        </w:tc>
        <w:tc>
          <w:tcPr>
            <w:tcW w:w="1021"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36"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233" w:type="dxa"/>
            <w:noWrap w:val="0"/>
            <w:vAlign w:val="top"/>
          </w:tcPr>
          <w:p>
            <w:pPr>
              <w:ind w:left="223" w:hanging="222" w:hangingChars="106"/>
              <w:jc w:val="center"/>
              <w:rPr>
                <w:color w:val="000000"/>
              </w:rPr>
            </w:pPr>
          </w:p>
        </w:tc>
        <w:tc>
          <w:tcPr>
            <w:tcW w:w="1021"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36"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233" w:type="dxa"/>
            <w:noWrap w:val="0"/>
            <w:vAlign w:val="top"/>
          </w:tcPr>
          <w:p>
            <w:pPr>
              <w:ind w:left="223" w:hanging="222" w:hangingChars="106"/>
              <w:jc w:val="center"/>
              <w:rPr>
                <w:color w:val="000000"/>
              </w:rPr>
            </w:pPr>
          </w:p>
        </w:tc>
        <w:tc>
          <w:tcPr>
            <w:tcW w:w="1021"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36"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233" w:type="dxa"/>
            <w:noWrap w:val="0"/>
            <w:vAlign w:val="top"/>
          </w:tcPr>
          <w:p>
            <w:pPr>
              <w:ind w:left="223" w:hanging="222" w:hangingChars="106"/>
              <w:jc w:val="center"/>
              <w:rPr>
                <w:color w:val="000000"/>
              </w:rPr>
            </w:pPr>
          </w:p>
        </w:tc>
        <w:tc>
          <w:tcPr>
            <w:tcW w:w="1021"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36"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233" w:type="dxa"/>
            <w:noWrap w:val="0"/>
            <w:vAlign w:val="top"/>
          </w:tcPr>
          <w:p>
            <w:pPr>
              <w:ind w:left="223" w:hanging="222" w:hangingChars="106"/>
              <w:jc w:val="center"/>
              <w:rPr>
                <w:color w:val="000000"/>
              </w:rPr>
            </w:pPr>
          </w:p>
        </w:tc>
        <w:tc>
          <w:tcPr>
            <w:tcW w:w="1021"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36"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233" w:type="dxa"/>
            <w:noWrap w:val="0"/>
            <w:vAlign w:val="top"/>
          </w:tcPr>
          <w:p>
            <w:pPr>
              <w:ind w:left="223" w:hanging="222" w:hangingChars="106"/>
              <w:jc w:val="center"/>
              <w:rPr>
                <w:color w:val="000000"/>
              </w:rPr>
            </w:pPr>
          </w:p>
        </w:tc>
        <w:tc>
          <w:tcPr>
            <w:tcW w:w="1021"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0" w:hRule="atLeast"/>
          <w:jc w:val="center"/>
        </w:trPr>
        <w:tc>
          <w:tcPr>
            <w:tcW w:w="736"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233" w:type="dxa"/>
            <w:noWrap w:val="0"/>
            <w:vAlign w:val="top"/>
          </w:tcPr>
          <w:p>
            <w:pPr>
              <w:ind w:left="223" w:hanging="222" w:hangingChars="106"/>
              <w:jc w:val="center"/>
              <w:rPr>
                <w:color w:val="000000"/>
              </w:rPr>
            </w:pPr>
          </w:p>
        </w:tc>
        <w:tc>
          <w:tcPr>
            <w:tcW w:w="1021"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979" w:hRule="atLeast"/>
          <w:jc w:val="center"/>
        </w:trPr>
        <w:tc>
          <w:tcPr>
            <w:tcW w:w="10077" w:type="dxa"/>
            <w:gridSpan w:val="10"/>
            <w:noWrap w:val="0"/>
            <w:vAlign w:val="top"/>
          </w:tcPr>
          <w:p>
            <w:pPr>
              <w:spacing w:before="120" w:beforeLines="50" w:after="120" w:afterLines="50" w:line="360" w:lineRule="auto"/>
              <w:rPr>
                <w:color w:val="000000"/>
                <w:szCs w:val="21"/>
              </w:rPr>
            </w:pPr>
            <w:r>
              <w:rPr>
                <w:color w:val="000000"/>
                <w:szCs w:val="21"/>
              </w:rPr>
              <w:t>一旦我单位中标，将实行项目经理负责制，我方保证并配备上述项目管理机构。上述填报内容真实，若不真实，愿按有关规定接受处理。项目管理班子机构设置、职责分工等情况另附资料说明。</w:t>
            </w:r>
          </w:p>
        </w:tc>
      </w:tr>
    </w:tbl>
    <w:p>
      <w:pPr>
        <w:tabs>
          <w:tab w:val="left" w:pos="0"/>
        </w:tabs>
        <w:spacing w:line="360" w:lineRule="auto"/>
        <w:ind w:right="-210"/>
        <w:rPr>
          <w:rFonts w:hint="eastAsia" w:ascii="宋体" w:hAnsi="宋体"/>
          <w:color w:val="000000"/>
          <w:szCs w:val="21"/>
        </w:rPr>
      </w:pPr>
    </w:p>
    <w:p>
      <w:pPr>
        <w:tabs>
          <w:tab w:val="left" w:pos="0"/>
        </w:tabs>
        <w:spacing w:line="360" w:lineRule="auto"/>
        <w:ind w:right="-210"/>
        <w:rPr>
          <w:rFonts w:hint="eastAsia" w:ascii="宋体" w:hAnsi="宋体"/>
          <w:color w:val="000000"/>
          <w:szCs w:val="21"/>
        </w:rPr>
      </w:pPr>
      <w:r>
        <w:rPr>
          <w:rFonts w:ascii="宋体" w:hAnsi="宋体"/>
          <w:color w:val="000000"/>
          <w:szCs w:val="21"/>
        </w:rPr>
        <w:t>备注：</w:t>
      </w:r>
    </w:p>
    <w:p>
      <w:pPr>
        <w:tabs>
          <w:tab w:val="left" w:pos="0"/>
        </w:tabs>
        <w:spacing w:line="440" w:lineRule="exact"/>
        <w:ind w:right="-210"/>
        <w:rPr>
          <w:rFonts w:hint="eastAsia" w:ascii="宋体" w:hAnsi="宋体"/>
          <w:color w:val="000000"/>
          <w:szCs w:val="21"/>
        </w:rPr>
      </w:pPr>
      <w:r>
        <w:rPr>
          <w:rFonts w:hint="eastAsia" w:ascii="宋体" w:hAnsi="宋体"/>
          <w:color w:val="000000"/>
          <w:szCs w:val="21"/>
        </w:rPr>
        <w:t>1、必须包含拟派工程总承包项目经理、项目设计负责人、施工项目经理、项目施工专职安全生产管理人员基本情况（附其相应注册证书，建造师安全生产考核合格证书（B类），项目施工专职安全生产管理人员安全生产考核合格证书（C类），身份证、职称证（如有）等材料的原件的扫描件）。施工项目经理注册建造师注册类证书和安全生产考核合格证书（B类）、项目施工专职安全生产管理人员安全生产考核合格证书（C类）以诚信库链接</w:t>
      </w:r>
      <w:r>
        <w:rPr>
          <w:rFonts w:ascii="宋体" w:hAnsi="宋体"/>
          <w:color w:val="000000"/>
          <w:szCs w:val="21"/>
        </w:rPr>
        <w:t>为准</w:t>
      </w:r>
      <w:r>
        <w:rPr>
          <w:rFonts w:hint="eastAsia" w:ascii="宋体" w:hAnsi="宋体"/>
          <w:color w:val="000000"/>
          <w:szCs w:val="21"/>
        </w:rPr>
        <w:t>。</w:t>
      </w:r>
    </w:p>
    <w:p>
      <w:pPr>
        <w:spacing w:line="440" w:lineRule="exact"/>
        <w:rPr>
          <w:rFonts w:hint="eastAsia" w:ascii="宋体" w:hAnsi="宋体"/>
          <w:color w:val="000000"/>
          <w:szCs w:val="21"/>
        </w:rPr>
      </w:pPr>
      <w:r>
        <w:rPr>
          <w:rFonts w:hint="eastAsia" w:ascii="宋体" w:hAnsi="宋体"/>
          <w:color w:val="000000"/>
          <w:szCs w:val="21"/>
        </w:rPr>
        <w:t>2、附</w:t>
      </w:r>
      <w:r>
        <w:rPr>
          <w:rFonts w:ascii="宋体" w:hAnsi="宋体"/>
          <w:color w:val="000000"/>
          <w:szCs w:val="21"/>
        </w:rPr>
        <w:t>各岗位人员资格证件</w:t>
      </w:r>
      <w:r>
        <w:rPr>
          <w:rFonts w:hint="eastAsia" w:ascii="宋体" w:hAnsi="宋体"/>
          <w:color w:val="000000"/>
          <w:szCs w:val="21"/>
        </w:rPr>
        <w:t>或职称证</w:t>
      </w:r>
      <w:r>
        <w:rPr>
          <w:rFonts w:ascii="宋体" w:hAnsi="宋体"/>
          <w:color w:val="000000"/>
          <w:szCs w:val="21"/>
        </w:rPr>
        <w:t>原件的扫描件</w:t>
      </w:r>
      <w:r>
        <w:rPr>
          <w:rFonts w:hint="eastAsia" w:ascii="宋体" w:hAnsi="宋体"/>
          <w:color w:val="000000"/>
          <w:szCs w:val="21"/>
        </w:rPr>
        <w:t>。</w:t>
      </w:r>
    </w:p>
    <w:p>
      <w:pPr>
        <w:spacing w:line="460" w:lineRule="exact"/>
        <w:ind w:firstLine="420" w:firstLineChars="200"/>
        <w:rPr>
          <w:color w:val="000000"/>
          <w:szCs w:val="21"/>
        </w:rPr>
      </w:pPr>
      <w:r>
        <w:rPr>
          <w:color w:val="000000"/>
        </w:rPr>
        <w:br w:type="page"/>
      </w:r>
    </w:p>
    <w:p>
      <w:pPr>
        <w:tabs>
          <w:tab w:val="left" w:pos="826"/>
        </w:tabs>
        <w:snapToGrid w:val="0"/>
        <w:spacing w:line="420" w:lineRule="exact"/>
        <w:rPr>
          <w:b/>
          <w:color w:val="000000"/>
          <w:szCs w:val="21"/>
        </w:rPr>
      </w:pPr>
      <w:r>
        <w:rPr>
          <w:b/>
          <w:color w:val="000000"/>
          <w:szCs w:val="21"/>
        </w:rPr>
        <w:t>6</w:t>
      </w:r>
      <w:r>
        <w:rPr>
          <w:rFonts w:hint="eastAsia"/>
          <w:b/>
          <w:color w:val="000000"/>
          <w:szCs w:val="21"/>
        </w:rPr>
        <w:t>.</w:t>
      </w:r>
      <w:r>
        <w:rPr>
          <w:b/>
          <w:color w:val="000000"/>
          <w:szCs w:val="21"/>
        </w:rPr>
        <w:t>4拟投入本工程的主要施工设备表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917" w:hRule="atLeast"/>
          <w:jc w:val="center"/>
        </w:trPr>
        <w:tc>
          <w:tcPr>
            <w:tcW w:w="758" w:type="dxa"/>
            <w:noWrap w:val="0"/>
            <w:vAlign w:val="center"/>
          </w:tcPr>
          <w:p>
            <w:pPr>
              <w:jc w:val="center"/>
              <w:rPr>
                <w:color w:val="000000"/>
                <w:szCs w:val="21"/>
              </w:rPr>
            </w:pPr>
            <w:r>
              <w:rPr>
                <w:color w:val="000000"/>
                <w:szCs w:val="21"/>
              </w:rPr>
              <w:t>序号</w:t>
            </w:r>
          </w:p>
        </w:tc>
        <w:tc>
          <w:tcPr>
            <w:tcW w:w="1226" w:type="dxa"/>
            <w:noWrap w:val="0"/>
            <w:vAlign w:val="center"/>
          </w:tcPr>
          <w:p>
            <w:pPr>
              <w:jc w:val="center"/>
              <w:rPr>
                <w:color w:val="000000"/>
                <w:szCs w:val="21"/>
              </w:rPr>
            </w:pPr>
            <w:r>
              <w:rPr>
                <w:color w:val="000000"/>
                <w:szCs w:val="21"/>
              </w:rPr>
              <w:t>设备名称</w:t>
            </w:r>
          </w:p>
        </w:tc>
        <w:tc>
          <w:tcPr>
            <w:tcW w:w="851" w:type="dxa"/>
            <w:noWrap w:val="0"/>
            <w:vAlign w:val="center"/>
          </w:tcPr>
          <w:p>
            <w:pPr>
              <w:jc w:val="center"/>
              <w:rPr>
                <w:color w:val="000000"/>
                <w:szCs w:val="21"/>
              </w:rPr>
            </w:pPr>
            <w:r>
              <w:rPr>
                <w:color w:val="000000"/>
                <w:szCs w:val="21"/>
              </w:rPr>
              <w:t>型号</w:t>
            </w:r>
          </w:p>
          <w:p>
            <w:pPr>
              <w:jc w:val="center"/>
              <w:rPr>
                <w:color w:val="000000"/>
                <w:szCs w:val="21"/>
              </w:rPr>
            </w:pPr>
            <w:r>
              <w:rPr>
                <w:color w:val="000000"/>
                <w:szCs w:val="21"/>
              </w:rPr>
              <w:t>规格</w:t>
            </w:r>
          </w:p>
        </w:tc>
        <w:tc>
          <w:tcPr>
            <w:tcW w:w="708" w:type="dxa"/>
            <w:noWrap w:val="0"/>
            <w:vAlign w:val="center"/>
          </w:tcPr>
          <w:p>
            <w:pPr>
              <w:jc w:val="center"/>
              <w:rPr>
                <w:color w:val="000000"/>
                <w:szCs w:val="21"/>
              </w:rPr>
            </w:pPr>
            <w:r>
              <w:rPr>
                <w:color w:val="000000"/>
                <w:szCs w:val="21"/>
              </w:rPr>
              <w:t>数量</w:t>
            </w:r>
          </w:p>
        </w:tc>
        <w:tc>
          <w:tcPr>
            <w:tcW w:w="709" w:type="dxa"/>
            <w:noWrap w:val="0"/>
            <w:vAlign w:val="center"/>
          </w:tcPr>
          <w:p>
            <w:pPr>
              <w:jc w:val="center"/>
              <w:rPr>
                <w:color w:val="000000"/>
                <w:szCs w:val="21"/>
              </w:rPr>
            </w:pPr>
            <w:r>
              <w:rPr>
                <w:color w:val="000000"/>
                <w:szCs w:val="21"/>
              </w:rPr>
              <w:t>国别</w:t>
            </w:r>
          </w:p>
          <w:p>
            <w:pPr>
              <w:jc w:val="center"/>
              <w:rPr>
                <w:color w:val="000000"/>
                <w:szCs w:val="21"/>
              </w:rPr>
            </w:pPr>
            <w:r>
              <w:rPr>
                <w:color w:val="000000"/>
                <w:szCs w:val="21"/>
              </w:rPr>
              <w:t>产地</w:t>
            </w:r>
          </w:p>
        </w:tc>
        <w:tc>
          <w:tcPr>
            <w:tcW w:w="851" w:type="dxa"/>
            <w:noWrap w:val="0"/>
            <w:vAlign w:val="center"/>
          </w:tcPr>
          <w:p>
            <w:pPr>
              <w:jc w:val="center"/>
              <w:rPr>
                <w:color w:val="000000"/>
                <w:szCs w:val="21"/>
              </w:rPr>
            </w:pPr>
            <w:r>
              <w:rPr>
                <w:color w:val="000000"/>
                <w:szCs w:val="21"/>
              </w:rPr>
              <w:t>制造</w:t>
            </w:r>
          </w:p>
          <w:p>
            <w:pPr>
              <w:jc w:val="center"/>
              <w:rPr>
                <w:color w:val="000000"/>
                <w:szCs w:val="21"/>
              </w:rPr>
            </w:pPr>
            <w:r>
              <w:rPr>
                <w:color w:val="000000"/>
                <w:szCs w:val="21"/>
              </w:rPr>
              <w:t>年份</w:t>
            </w:r>
          </w:p>
        </w:tc>
        <w:tc>
          <w:tcPr>
            <w:tcW w:w="1134" w:type="dxa"/>
            <w:noWrap w:val="0"/>
            <w:vAlign w:val="center"/>
          </w:tcPr>
          <w:p>
            <w:pPr>
              <w:jc w:val="center"/>
              <w:rPr>
                <w:color w:val="000000"/>
                <w:szCs w:val="21"/>
              </w:rPr>
            </w:pPr>
            <w:r>
              <w:rPr>
                <w:color w:val="000000"/>
                <w:szCs w:val="21"/>
              </w:rPr>
              <w:t>额定功率</w:t>
            </w:r>
          </w:p>
          <w:p>
            <w:pPr>
              <w:jc w:val="center"/>
              <w:rPr>
                <w:color w:val="000000"/>
                <w:szCs w:val="21"/>
              </w:rPr>
            </w:pPr>
            <w:r>
              <w:rPr>
                <w:color w:val="000000"/>
                <w:szCs w:val="21"/>
              </w:rPr>
              <w:t>（KW）</w:t>
            </w:r>
          </w:p>
        </w:tc>
        <w:tc>
          <w:tcPr>
            <w:tcW w:w="992" w:type="dxa"/>
            <w:noWrap w:val="0"/>
            <w:vAlign w:val="center"/>
          </w:tcPr>
          <w:p>
            <w:pPr>
              <w:jc w:val="center"/>
              <w:rPr>
                <w:color w:val="000000"/>
                <w:szCs w:val="21"/>
              </w:rPr>
            </w:pPr>
            <w:r>
              <w:rPr>
                <w:color w:val="000000"/>
                <w:szCs w:val="21"/>
              </w:rPr>
              <w:t>生产</w:t>
            </w:r>
          </w:p>
          <w:p>
            <w:pPr>
              <w:jc w:val="center"/>
              <w:rPr>
                <w:color w:val="000000"/>
                <w:szCs w:val="21"/>
              </w:rPr>
            </w:pPr>
            <w:r>
              <w:rPr>
                <w:color w:val="000000"/>
                <w:szCs w:val="21"/>
              </w:rPr>
              <w:t>能力</w:t>
            </w:r>
          </w:p>
        </w:tc>
        <w:tc>
          <w:tcPr>
            <w:tcW w:w="1134" w:type="dxa"/>
            <w:noWrap w:val="0"/>
            <w:vAlign w:val="center"/>
          </w:tcPr>
          <w:p>
            <w:pPr>
              <w:jc w:val="center"/>
              <w:rPr>
                <w:color w:val="000000"/>
                <w:szCs w:val="21"/>
              </w:rPr>
            </w:pPr>
            <w:r>
              <w:rPr>
                <w:color w:val="000000"/>
                <w:szCs w:val="21"/>
              </w:rPr>
              <w:t>用于施</w:t>
            </w:r>
          </w:p>
          <w:p>
            <w:pPr>
              <w:jc w:val="center"/>
              <w:rPr>
                <w:color w:val="000000"/>
                <w:szCs w:val="21"/>
              </w:rPr>
            </w:pPr>
            <w:r>
              <w:rPr>
                <w:color w:val="000000"/>
                <w:szCs w:val="21"/>
              </w:rPr>
              <w:t>工部位</w:t>
            </w:r>
          </w:p>
        </w:tc>
        <w:tc>
          <w:tcPr>
            <w:tcW w:w="992" w:type="dxa"/>
            <w:noWrap w:val="0"/>
            <w:vAlign w:val="center"/>
          </w:tcPr>
          <w:p>
            <w:pPr>
              <w:jc w:val="center"/>
              <w:rPr>
                <w:color w:val="000000"/>
                <w:szCs w:val="21"/>
              </w:rPr>
            </w:pPr>
            <w:r>
              <w:rPr>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54" w:hRule="atLeast"/>
          <w:jc w:val="center"/>
        </w:trPr>
        <w:tc>
          <w:tcPr>
            <w:tcW w:w="758" w:type="dxa"/>
            <w:noWrap w:val="0"/>
            <w:vAlign w:val="top"/>
          </w:tcPr>
          <w:p>
            <w:pPr>
              <w:spacing w:line="360" w:lineRule="auto"/>
              <w:rPr>
                <w:color w:val="000000"/>
                <w:szCs w:val="21"/>
              </w:rPr>
            </w:pPr>
          </w:p>
        </w:tc>
        <w:tc>
          <w:tcPr>
            <w:tcW w:w="1226" w:type="dxa"/>
            <w:noWrap w:val="0"/>
            <w:vAlign w:val="top"/>
          </w:tcPr>
          <w:p>
            <w:pPr>
              <w:spacing w:line="360" w:lineRule="auto"/>
              <w:ind w:firstLine="420" w:firstLineChars="200"/>
              <w:rPr>
                <w:color w:val="000000"/>
                <w:szCs w:val="21"/>
              </w:rPr>
            </w:pPr>
          </w:p>
        </w:tc>
        <w:tc>
          <w:tcPr>
            <w:tcW w:w="851" w:type="dxa"/>
            <w:noWrap w:val="0"/>
            <w:vAlign w:val="top"/>
          </w:tcPr>
          <w:p>
            <w:pPr>
              <w:spacing w:line="360" w:lineRule="auto"/>
              <w:rPr>
                <w:color w:val="000000"/>
                <w:szCs w:val="21"/>
              </w:rPr>
            </w:pPr>
          </w:p>
        </w:tc>
        <w:tc>
          <w:tcPr>
            <w:tcW w:w="708" w:type="dxa"/>
            <w:noWrap w:val="0"/>
            <w:vAlign w:val="top"/>
          </w:tcPr>
          <w:p>
            <w:pPr>
              <w:spacing w:line="360" w:lineRule="auto"/>
              <w:rPr>
                <w:color w:val="000000"/>
                <w:szCs w:val="21"/>
              </w:rPr>
            </w:pPr>
          </w:p>
        </w:tc>
        <w:tc>
          <w:tcPr>
            <w:tcW w:w="709" w:type="dxa"/>
            <w:noWrap w:val="0"/>
            <w:vAlign w:val="top"/>
          </w:tcPr>
          <w:p>
            <w:pPr>
              <w:spacing w:line="360" w:lineRule="auto"/>
              <w:rPr>
                <w:color w:val="000000"/>
                <w:szCs w:val="21"/>
              </w:rPr>
            </w:pPr>
          </w:p>
        </w:tc>
        <w:tc>
          <w:tcPr>
            <w:tcW w:w="851" w:type="dxa"/>
            <w:noWrap w:val="0"/>
            <w:vAlign w:val="top"/>
          </w:tcPr>
          <w:p>
            <w:pPr>
              <w:spacing w:line="360" w:lineRule="auto"/>
              <w:rPr>
                <w:color w:val="000000"/>
                <w:szCs w:val="21"/>
              </w:rPr>
            </w:pPr>
          </w:p>
        </w:tc>
        <w:tc>
          <w:tcPr>
            <w:tcW w:w="1134" w:type="dxa"/>
            <w:noWrap w:val="0"/>
            <w:vAlign w:val="top"/>
          </w:tcPr>
          <w:p>
            <w:pPr>
              <w:spacing w:line="360" w:lineRule="auto"/>
              <w:rPr>
                <w:color w:val="000000"/>
                <w:szCs w:val="21"/>
              </w:rPr>
            </w:pPr>
          </w:p>
        </w:tc>
        <w:tc>
          <w:tcPr>
            <w:tcW w:w="992" w:type="dxa"/>
            <w:noWrap w:val="0"/>
            <w:vAlign w:val="top"/>
          </w:tcPr>
          <w:p>
            <w:pPr>
              <w:spacing w:line="360" w:lineRule="auto"/>
              <w:rPr>
                <w:color w:val="000000"/>
                <w:szCs w:val="21"/>
              </w:rPr>
            </w:pPr>
          </w:p>
        </w:tc>
        <w:tc>
          <w:tcPr>
            <w:tcW w:w="1134" w:type="dxa"/>
            <w:noWrap w:val="0"/>
            <w:vAlign w:val="top"/>
          </w:tcPr>
          <w:p>
            <w:pPr>
              <w:spacing w:line="360" w:lineRule="auto"/>
              <w:rPr>
                <w:color w:val="000000"/>
                <w:szCs w:val="21"/>
              </w:rPr>
            </w:pPr>
          </w:p>
        </w:tc>
        <w:tc>
          <w:tcPr>
            <w:tcW w:w="992" w:type="dxa"/>
            <w:noWrap w:val="0"/>
            <w:vAlign w:val="top"/>
          </w:tcPr>
          <w:p>
            <w:pPr>
              <w:spacing w:line="360" w:lineRule="auto"/>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54" w:hRule="atLeast"/>
          <w:jc w:val="center"/>
        </w:trPr>
        <w:tc>
          <w:tcPr>
            <w:tcW w:w="758" w:type="dxa"/>
            <w:noWrap w:val="0"/>
            <w:vAlign w:val="top"/>
          </w:tcPr>
          <w:p>
            <w:pPr>
              <w:spacing w:line="360" w:lineRule="auto"/>
              <w:rPr>
                <w:color w:val="000000"/>
                <w:szCs w:val="21"/>
              </w:rPr>
            </w:pPr>
          </w:p>
        </w:tc>
        <w:tc>
          <w:tcPr>
            <w:tcW w:w="1226" w:type="dxa"/>
            <w:noWrap w:val="0"/>
            <w:vAlign w:val="top"/>
          </w:tcPr>
          <w:p>
            <w:pPr>
              <w:spacing w:line="360" w:lineRule="auto"/>
              <w:rPr>
                <w:color w:val="000000"/>
                <w:szCs w:val="21"/>
              </w:rPr>
            </w:pPr>
          </w:p>
        </w:tc>
        <w:tc>
          <w:tcPr>
            <w:tcW w:w="851" w:type="dxa"/>
            <w:noWrap w:val="0"/>
            <w:vAlign w:val="top"/>
          </w:tcPr>
          <w:p>
            <w:pPr>
              <w:spacing w:line="360" w:lineRule="auto"/>
              <w:rPr>
                <w:color w:val="000000"/>
                <w:szCs w:val="21"/>
              </w:rPr>
            </w:pPr>
          </w:p>
        </w:tc>
        <w:tc>
          <w:tcPr>
            <w:tcW w:w="708" w:type="dxa"/>
            <w:noWrap w:val="0"/>
            <w:vAlign w:val="top"/>
          </w:tcPr>
          <w:p>
            <w:pPr>
              <w:spacing w:line="360" w:lineRule="auto"/>
              <w:rPr>
                <w:color w:val="000000"/>
                <w:szCs w:val="21"/>
              </w:rPr>
            </w:pPr>
          </w:p>
        </w:tc>
        <w:tc>
          <w:tcPr>
            <w:tcW w:w="709" w:type="dxa"/>
            <w:noWrap w:val="0"/>
            <w:vAlign w:val="top"/>
          </w:tcPr>
          <w:p>
            <w:pPr>
              <w:spacing w:line="360" w:lineRule="auto"/>
              <w:rPr>
                <w:color w:val="000000"/>
                <w:szCs w:val="21"/>
              </w:rPr>
            </w:pPr>
          </w:p>
        </w:tc>
        <w:tc>
          <w:tcPr>
            <w:tcW w:w="851" w:type="dxa"/>
            <w:noWrap w:val="0"/>
            <w:vAlign w:val="top"/>
          </w:tcPr>
          <w:p>
            <w:pPr>
              <w:spacing w:line="360" w:lineRule="auto"/>
              <w:rPr>
                <w:color w:val="000000"/>
                <w:szCs w:val="21"/>
              </w:rPr>
            </w:pPr>
          </w:p>
        </w:tc>
        <w:tc>
          <w:tcPr>
            <w:tcW w:w="1134" w:type="dxa"/>
            <w:noWrap w:val="0"/>
            <w:vAlign w:val="top"/>
          </w:tcPr>
          <w:p>
            <w:pPr>
              <w:spacing w:line="360" w:lineRule="auto"/>
              <w:rPr>
                <w:color w:val="000000"/>
                <w:szCs w:val="21"/>
              </w:rPr>
            </w:pPr>
          </w:p>
        </w:tc>
        <w:tc>
          <w:tcPr>
            <w:tcW w:w="992" w:type="dxa"/>
            <w:noWrap w:val="0"/>
            <w:vAlign w:val="top"/>
          </w:tcPr>
          <w:p>
            <w:pPr>
              <w:spacing w:line="360" w:lineRule="auto"/>
              <w:rPr>
                <w:color w:val="000000"/>
                <w:szCs w:val="21"/>
              </w:rPr>
            </w:pPr>
          </w:p>
        </w:tc>
        <w:tc>
          <w:tcPr>
            <w:tcW w:w="1134" w:type="dxa"/>
            <w:noWrap w:val="0"/>
            <w:vAlign w:val="top"/>
          </w:tcPr>
          <w:p>
            <w:pPr>
              <w:spacing w:line="360" w:lineRule="auto"/>
              <w:rPr>
                <w:color w:val="000000"/>
                <w:szCs w:val="21"/>
              </w:rPr>
            </w:pPr>
          </w:p>
        </w:tc>
        <w:tc>
          <w:tcPr>
            <w:tcW w:w="992" w:type="dxa"/>
            <w:noWrap w:val="0"/>
            <w:vAlign w:val="top"/>
          </w:tcPr>
          <w:p>
            <w:pPr>
              <w:spacing w:line="360" w:lineRule="auto"/>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54" w:hRule="atLeast"/>
          <w:jc w:val="center"/>
        </w:trPr>
        <w:tc>
          <w:tcPr>
            <w:tcW w:w="758" w:type="dxa"/>
            <w:noWrap w:val="0"/>
            <w:vAlign w:val="top"/>
          </w:tcPr>
          <w:p>
            <w:pPr>
              <w:spacing w:line="360" w:lineRule="auto"/>
              <w:rPr>
                <w:color w:val="000000"/>
                <w:szCs w:val="21"/>
              </w:rPr>
            </w:pPr>
          </w:p>
        </w:tc>
        <w:tc>
          <w:tcPr>
            <w:tcW w:w="1226" w:type="dxa"/>
            <w:noWrap w:val="0"/>
            <w:vAlign w:val="top"/>
          </w:tcPr>
          <w:p>
            <w:pPr>
              <w:spacing w:line="360" w:lineRule="auto"/>
              <w:rPr>
                <w:color w:val="000000"/>
                <w:szCs w:val="21"/>
              </w:rPr>
            </w:pPr>
          </w:p>
        </w:tc>
        <w:tc>
          <w:tcPr>
            <w:tcW w:w="851" w:type="dxa"/>
            <w:noWrap w:val="0"/>
            <w:vAlign w:val="top"/>
          </w:tcPr>
          <w:p>
            <w:pPr>
              <w:spacing w:line="360" w:lineRule="auto"/>
              <w:rPr>
                <w:color w:val="000000"/>
                <w:szCs w:val="21"/>
              </w:rPr>
            </w:pPr>
          </w:p>
        </w:tc>
        <w:tc>
          <w:tcPr>
            <w:tcW w:w="708" w:type="dxa"/>
            <w:noWrap w:val="0"/>
            <w:vAlign w:val="top"/>
          </w:tcPr>
          <w:p>
            <w:pPr>
              <w:spacing w:line="360" w:lineRule="auto"/>
              <w:rPr>
                <w:color w:val="000000"/>
                <w:szCs w:val="21"/>
              </w:rPr>
            </w:pPr>
          </w:p>
        </w:tc>
        <w:tc>
          <w:tcPr>
            <w:tcW w:w="709" w:type="dxa"/>
            <w:noWrap w:val="0"/>
            <w:vAlign w:val="top"/>
          </w:tcPr>
          <w:p>
            <w:pPr>
              <w:spacing w:line="360" w:lineRule="auto"/>
              <w:rPr>
                <w:color w:val="000000"/>
                <w:szCs w:val="21"/>
              </w:rPr>
            </w:pPr>
          </w:p>
        </w:tc>
        <w:tc>
          <w:tcPr>
            <w:tcW w:w="851" w:type="dxa"/>
            <w:noWrap w:val="0"/>
            <w:vAlign w:val="top"/>
          </w:tcPr>
          <w:p>
            <w:pPr>
              <w:spacing w:line="360" w:lineRule="auto"/>
              <w:rPr>
                <w:color w:val="000000"/>
                <w:szCs w:val="21"/>
              </w:rPr>
            </w:pPr>
          </w:p>
        </w:tc>
        <w:tc>
          <w:tcPr>
            <w:tcW w:w="1134" w:type="dxa"/>
            <w:noWrap w:val="0"/>
            <w:vAlign w:val="top"/>
          </w:tcPr>
          <w:p>
            <w:pPr>
              <w:spacing w:line="360" w:lineRule="auto"/>
              <w:rPr>
                <w:color w:val="000000"/>
                <w:szCs w:val="21"/>
              </w:rPr>
            </w:pPr>
          </w:p>
        </w:tc>
        <w:tc>
          <w:tcPr>
            <w:tcW w:w="992" w:type="dxa"/>
            <w:noWrap w:val="0"/>
            <w:vAlign w:val="top"/>
          </w:tcPr>
          <w:p>
            <w:pPr>
              <w:spacing w:line="360" w:lineRule="auto"/>
              <w:rPr>
                <w:color w:val="000000"/>
                <w:szCs w:val="21"/>
              </w:rPr>
            </w:pPr>
          </w:p>
        </w:tc>
        <w:tc>
          <w:tcPr>
            <w:tcW w:w="1134" w:type="dxa"/>
            <w:noWrap w:val="0"/>
            <w:vAlign w:val="top"/>
          </w:tcPr>
          <w:p>
            <w:pPr>
              <w:spacing w:line="360" w:lineRule="auto"/>
              <w:rPr>
                <w:color w:val="000000"/>
                <w:szCs w:val="21"/>
              </w:rPr>
            </w:pPr>
          </w:p>
        </w:tc>
        <w:tc>
          <w:tcPr>
            <w:tcW w:w="992" w:type="dxa"/>
            <w:noWrap w:val="0"/>
            <w:vAlign w:val="top"/>
          </w:tcPr>
          <w:p>
            <w:pPr>
              <w:spacing w:line="360" w:lineRule="auto"/>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54" w:hRule="atLeast"/>
          <w:jc w:val="center"/>
        </w:trPr>
        <w:tc>
          <w:tcPr>
            <w:tcW w:w="758" w:type="dxa"/>
            <w:noWrap w:val="0"/>
            <w:vAlign w:val="top"/>
          </w:tcPr>
          <w:p>
            <w:pPr>
              <w:spacing w:line="360" w:lineRule="auto"/>
              <w:rPr>
                <w:color w:val="000000"/>
                <w:szCs w:val="21"/>
              </w:rPr>
            </w:pPr>
          </w:p>
        </w:tc>
        <w:tc>
          <w:tcPr>
            <w:tcW w:w="1226" w:type="dxa"/>
            <w:noWrap w:val="0"/>
            <w:vAlign w:val="top"/>
          </w:tcPr>
          <w:p>
            <w:pPr>
              <w:spacing w:line="360" w:lineRule="auto"/>
              <w:rPr>
                <w:color w:val="000000"/>
                <w:szCs w:val="21"/>
              </w:rPr>
            </w:pPr>
          </w:p>
        </w:tc>
        <w:tc>
          <w:tcPr>
            <w:tcW w:w="851" w:type="dxa"/>
            <w:noWrap w:val="0"/>
            <w:vAlign w:val="top"/>
          </w:tcPr>
          <w:p>
            <w:pPr>
              <w:spacing w:line="360" w:lineRule="auto"/>
              <w:rPr>
                <w:color w:val="000000"/>
                <w:szCs w:val="21"/>
              </w:rPr>
            </w:pPr>
          </w:p>
        </w:tc>
        <w:tc>
          <w:tcPr>
            <w:tcW w:w="708" w:type="dxa"/>
            <w:noWrap w:val="0"/>
            <w:vAlign w:val="top"/>
          </w:tcPr>
          <w:p>
            <w:pPr>
              <w:spacing w:line="360" w:lineRule="auto"/>
              <w:rPr>
                <w:color w:val="000000"/>
                <w:szCs w:val="21"/>
              </w:rPr>
            </w:pPr>
          </w:p>
        </w:tc>
        <w:tc>
          <w:tcPr>
            <w:tcW w:w="709" w:type="dxa"/>
            <w:noWrap w:val="0"/>
            <w:vAlign w:val="top"/>
          </w:tcPr>
          <w:p>
            <w:pPr>
              <w:spacing w:line="360" w:lineRule="auto"/>
              <w:rPr>
                <w:color w:val="000000"/>
                <w:szCs w:val="21"/>
              </w:rPr>
            </w:pPr>
          </w:p>
        </w:tc>
        <w:tc>
          <w:tcPr>
            <w:tcW w:w="851" w:type="dxa"/>
            <w:noWrap w:val="0"/>
            <w:vAlign w:val="top"/>
          </w:tcPr>
          <w:p>
            <w:pPr>
              <w:spacing w:line="360" w:lineRule="auto"/>
              <w:rPr>
                <w:color w:val="000000"/>
                <w:szCs w:val="21"/>
              </w:rPr>
            </w:pPr>
          </w:p>
        </w:tc>
        <w:tc>
          <w:tcPr>
            <w:tcW w:w="1134" w:type="dxa"/>
            <w:noWrap w:val="0"/>
            <w:vAlign w:val="top"/>
          </w:tcPr>
          <w:p>
            <w:pPr>
              <w:spacing w:line="360" w:lineRule="auto"/>
              <w:rPr>
                <w:color w:val="000000"/>
                <w:szCs w:val="21"/>
              </w:rPr>
            </w:pPr>
          </w:p>
        </w:tc>
        <w:tc>
          <w:tcPr>
            <w:tcW w:w="992" w:type="dxa"/>
            <w:noWrap w:val="0"/>
            <w:vAlign w:val="top"/>
          </w:tcPr>
          <w:p>
            <w:pPr>
              <w:spacing w:line="360" w:lineRule="auto"/>
              <w:rPr>
                <w:color w:val="000000"/>
                <w:szCs w:val="21"/>
              </w:rPr>
            </w:pPr>
          </w:p>
        </w:tc>
        <w:tc>
          <w:tcPr>
            <w:tcW w:w="1134" w:type="dxa"/>
            <w:noWrap w:val="0"/>
            <w:vAlign w:val="top"/>
          </w:tcPr>
          <w:p>
            <w:pPr>
              <w:spacing w:line="360" w:lineRule="auto"/>
              <w:rPr>
                <w:color w:val="000000"/>
                <w:szCs w:val="21"/>
              </w:rPr>
            </w:pPr>
          </w:p>
        </w:tc>
        <w:tc>
          <w:tcPr>
            <w:tcW w:w="992" w:type="dxa"/>
            <w:noWrap w:val="0"/>
            <w:vAlign w:val="top"/>
          </w:tcPr>
          <w:p>
            <w:pPr>
              <w:spacing w:line="360" w:lineRule="auto"/>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54" w:hRule="atLeast"/>
          <w:jc w:val="center"/>
        </w:trPr>
        <w:tc>
          <w:tcPr>
            <w:tcW w:w="758" w:type="dxa"/>
            <w:noWrap w:val="0"/>
            <w:vAlign w:val="top"/>
          </w:tcPr>
          <w:p>
            <w:pPr>
              <w:spacing w:line="360" w:lineRule="auto"/>
              <w:rPr>
                <w:color w:val="000000"/>
                <w:szCs w:val="21"/>
              </w:rPr>
            </w:pPr>
          </w:p>
        </w:tc>
        <w:tc>
          <w:tcPr>
            <w:tcW w:w="1226" w:type="dxa"/>
            <w:noWrap w:val="0"/>
            <w:vAlign w:val="top"/>
          </w:tcPr>
          <w:p>
            <w:pPr>
              <w:spacing w:line="360" w:lineRule="auto"/>
              <w:rPr>
                <w:color w:val="000000"/>
                <w:szCs w:val="21"/>
              </w:rPr>
            </w:pPr>
          </w:p>
        </w:tc>
        <w:tc>
          <w:tcPr>
            <w:tcW w:w="851" w:type="dxa"/>
            <w:noWrap w:val="0"/>
            <w:vAlign w:val="top"/>
          </w:tcPr>
          <w:p>
            <w:pPr>
              <w:spacing w:line="360" w:lineRule="auto"/>
              <w:rPr>
                <w:color w:val="000000"/>
                <w:szCs w:val="21"/>
              </w:rPr>
            </w:pPr>
          </w:p>
        </w:tc>
        <w:tc>
          <w:tcPr>
            <w:tcW w:w="708" w:type="dxa"/>
            <w:noWrap w:val="0"/>
            <w:vAlign w:val="top"/>
          </w:tcPr>
          <w:p>
            <w:pPr>
              <w:spacing w:line="360" w:lineRule="auto"/>
              <w:rPr>
                <w:color w:val="000000"/>
                <w:szCs w:val="21"/>
              </w:rPr>
            </w:pPr>
          </w:p>
        </w:tc>
        <w:tc>
          <w:tcPr>
            <w:tcW w:w="709" w:type="dxa"/>
            <w:noWrap w:val="0"/>
            <w:vAlign w:val="top"/>
          </w:tcPr>
          <w:p>
            <w:pPr>
              <w:spacing w:line="360" w:lineRule="auto"/>
              <w:rPr>
                <w:color w:val="000000"/>
                <w:szCs w:val="21"/>
              </w:rPr>
            </w:pPr>
          </w:p>
        </w:tc>
        <w:tc>
          <w:tcPr>
            <w:tcW w:w="851" w:type="dxa"/>
            <w:noWrap w:val="0"/>
            <w:vAlign w:val="top"/>
          </w:tcPr>
          <w:p>
            <w:pPr>
              <w:spacing w:line="360" w:lineRule="auto"/>
              <w:rPr>
                <w:color w:val="000000"/>
                <w:szCs w:val="21"/>
              </w:rPr>
            </w:pPr>
          </w:p>
        </w:tc>
        <w:tc>
          <w:tcPr>
            <w:tcW w:w="1134" w:type="dxa"/>
            <w:noWrap w:val="0"/>
            <w:vAlign w:val="top"/>
          </w:tcPr>
          <w:p>
            <w:pPr>
              <w:spacing w:line="360" w:lineRule="auto"/>
              <w:rPr>
                <w:color w:val="000000"/>
                <w:szCs w:val="21"/>
              </w:rPr>
            </w:pPr>
          </w:p>
        </w:tc>
        <w:tc>
          <w:tcPr>
            <w:tcW w:w="992" w:type="dxa"/>
            <w:noWrap w:val="0"/>
            <w:vAlign w:val="top"/>
          </w:tcPr>
          <w:p>
            <w:pPr>
              <w:spacing w:line="360" w:lineRule="auto"/>
              <w:rPr>
                <w:color w:val="000000"/>
                <w:szCs w:val="21"/>
              </w:rPr>
            </w:pPr>
          </w:p>
        </w:tc>
        <w:tc>
          <w:tcPr>
            <w:tcW w:w="1134" w:type="dxa"/>
            <w:noWrap w:val="0"/>
            <w:vAlign w:val="top"/>
          </w:tcPr>
          <w:p>
            <w:pPr>
              <w:spacing w:line="360" w:lineRule="auto"/>
              <w:rPr>
                <w:color w:val="000000"/>
                <w:szCs w:val="21"/>
              </w:rPr>
            </w:pPr>
          </w:p>
        </w:tc>
        <w:tc>
          <w:tcPr>
            <w:tcW w:w="992" w:type="dxa"/>
            <w:noWrap w:val="0"/>
            <w:vAlign w:val="top"/>
          </w:tcPr>
          <w:p>
            <w:pPr>
              <w:spacing w:line="360" w:lineRule="auto"/>
              <w:rPr>
                <w:color w:val="000000"/>
                <w:szCs w:val="21"/>
              </w:rPr>
            </w:pPr>
          </w:p>
        </w:tc>
      </w:tr>
    </w:tbl>
    <w:p>
      <w:pPr>
        <w:rPr>
          <w:color w:val="000000"/>
        </w:rPr>
      </w:pPr>
    </w:p>
    <w:p>
      <w:pPr>
        <w:rPr>
          <w:color w:val="000000"/>
        </w:rPr>
      </w:pPr>
    </w:p>
    <w:p>
      <w:pPr>
        <w:tabs>
          <w:tab w:val="left" w:pos="826"/>
        </w:tabs>
        <w:snapToGrid w:val="0"/>
        <w:spacing w:line="420" w:lineRule="exact"/>
        <w:rPr>
          <w:b/>
          <w:color w:val="000000"/>
          <w:szCs w:val="21"/>
        </w:rPr>
      </w:pPr>
      <w:r>
        <w:rPr>
          <w:b/>
          <w:color w:val="000000"/>
          <w:szCs w:val="21"/>
        </w:rPr>
        <w:t>6</w:t>
      </w:r>
      <w:r>
        <w:rPr>
          <w:rFonts w:hint="eastAsia"/>
          <w:b/>
          <w:color w:val="000000"/>
          <w:szCs w:val="21"/>
        </w:rPr>
        <w:t>.</w:t>
      </w:r>
      <w:r>
        <w:rPr>
          <w:b/>
          <w:color w:val="000000"/>
          <w:szCs w:val="21"/>
        </w:rPr>
        <w:t>5拟配备本工程的试验和检测仪器设备表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758" w:type="dxa"/>
            <w:noWrap w:val="0"/>
            <w:vAlign w:val="center"/>
          </w:tcPr>
          <w:p>
            <w:pPr>
              <w:jc w:val="center"/>
              <w:rPr>
                <w:color w:val="000000"/>
                <w:szCs w:val="21"/>
              </w:rPr>
            </w:pPr>
            <w:r>
              <w:rPr>
                <w:color w:val="000000"/>
                <w:szCs w:val="21"/>
              </w:rPr>
              <w:t>序号</w:t>
            </w:r>
          </w:p>
        </w:tc>
        <w:tc>
          <w:tcPr>
            <w:tcW w:w="1226" w:type="dxa"/>
            <w:noWrap w:val="0"/>
            <w:vAlign w:val="center"/>
          </w:tcPr>
          <w:p>
            <w:pPr>
              <w:jc w:val="center"/>
              <w:rPr>
                <w:color w:val="000000"/>
                <w:szCs w:val="21"/>
              </w:rPr>
            </w:pPr>
            <w:r>
              <w:rPr>
                <w:color w:val="000000"/>
                <w:szCs w:val="21"/>
              </w:rPr>
              <w:t>仪器设备名称</w:t>
            </w:r>
          </w:p>
        </w:tc>
        <w:tc>
          <w:tcPr>
            <w:tcW w:w="851" w:type="dxa"/>
            <w:noWrap w:val="0"/>
            <w:vAlign w:val="center"/>
          </w:tcPr>
          <w:p>
            <w:pPr>
              <w:jc w:val="center"/>
              <w:rPr>
                <w:color w:val="000000"/>
                <w:szCs w:val="21"/>
              </w:rPr>
            </w:pPr>
            <w:r>
              <w:rPr>
                <w:color w:val="000000"/>
                <w:szCs w:val="21"/>
              </w:rPr>
              <w:t>型号</w:t>
            </w:r>
          </w:p>
          <w:p>
            <w:pPr>
              <w:jc w:val="center"/>
              <w:rPr>
                <w:color w:val="000000"/>
                <w:szCs w:val="21"/>
              </w:rPr>
            </w:pPr>
            <w:r>
              <w:rPr>
                <w:color w:val="000000"/>
                <w:szCs w:val="21"/>
              </w:rPr>
              <w:t>规格</w:t>
            </w:r>
          </w:p>
        </w:tc>
        <w:tc>
          <w:tcPr>
            <w:tcW w:w="708" w:type="dxa"/>
            <w:noWrap w:val="0"/>
            <w:vAlign w:val="center"/>
          </w:tcPr>
          <w:p>
            <w:pPr>
              <w:jc w:val="center"/>
              <w:rPr>
                <w:color w:val="000000"/>
                <w:szCs w:val="21"/>
              </w:rPr>
            </w:pPr>
            <w:r>
              <w:rPr>
                <w:color w:val="000000"/>
                <w:szCs w:val="21"/>
              </w:rPr>
              <w:t>数量</w:t>
            </w:r>
          </w:p>
        </w:tc>
        <w:tc>
          <w:tcPr>
            <w:tcW w:w="709" w:type="dxa"/>
            <w:noWrap w:val="0"/>
            <w:vAlign w:val="center"/>
          </w:tcPr>
          <w:p>
            <w:pPr>
              <w:jc w:val="center"/>
              <w:rPr>
                <w:color w:val="000000"/>
                <w:szCs w:val="21"/>
              </w:rPr>
            </w:pPr>
            <w:r>
              <w:rPr>
                <w:color w:val="000000"/>
                <w:szCs w:val="21"/>
              </w:rPr>
              <w:t>国别</w:t>
            </w:r>
          </w:p>
          <w:p>
            <w:pPr>
              <w:jc w:val="center"/>
              <w:rPr>
                <w:color w:val="000000"/>
                <w:szCs w:val="21"/>
              </w:rPr>
            </w:pPr>
            <w:r>
              <w:rPr>
                <w:color w:val="000000"/>
                <w:szCs w:val="21"/>
              </w:rPr>
              <w:t>产地</w:t>
            </w:r>
          </w:p>
        </w:tc>
        <w:tc>
          <w:tcPr>
            <w:tcW w:w="1134" w:type="dxa"/>
            <w:noWrap w:val="0"/>
            <w:vAlign w:val="center"/>
          </w:tcPr>
          <w:p>
            <w:pPr>
              <w:jc w:val="center"/>
              <w:rPr>
                <w:color w:val="000000"/>
                <w:szCs w:val="21"/>
              </w:rPr>
            </w:pPr>
            <w:r>
              <w:rPr>
                <w:color w:val="000000"/>
                <w:szCs w:val="21"/>
              </w:rPr>
              <w:t>制造年份</w:t>
            </w:r>
          </w:p>
        </w:tc>
        <w:tc>
          <w:tcPr>
            <w:tcW w:w="1276" w:type="dxa"/>
            <w:noWrap w:val="0"/>
            <w:vAlign w:val="center"/>
          </w:tcPr>
          <w:p>
            <w:pPr>
              <w:jc w:val="center"/>
              <w:rPr>
                <w:color w:val="000000"/>
                <w:szCs w:val="21"/>
              </w:rPr>
            </w:pPr>
            <w:r>
              <w:rPr>
                <w:color w:val="000000"/>
                <w:szCs w:val="21"/>
              </w:rPr>
              <w:t>已使用</w:t>
            </w:r>
          </w:p>
          <w:p>
            <w:pPr>
              <w:jc w:val="center"/>
              <w:rPr>
                <w:color w:val="000000"/>
                <w:szCs w:val="21"/>
              </w:rPr>
            </w:pPr>
            <w:r>
              <w:rPr>
                <w:color w:val="000000"/>
                <w:szCs w:val="21"/>
              </w:rPr>
              <w:t>台时数</w:t>
            </w:r>
          </w:p>
        </w:tc>
        <w:tc>
          <w:tcPr>
            <w:tcW w:w="1134" w:type="dxa"/>
            <w:noWrap w:val="0"/>
            <w:vAlign w:val="center"/>
          </w:tcPr>
          <w:p>
            <w:pPr>
              <w:jc w:val="center"/>
              <w:rPr>
                <w:color w:val="000000"/>
                <w:szCs w:val="21"/>
              </w:rPr>
            </w:pPr>
            <w:r>
              <w:rPr>
                <w:color w:val="000000"/>
                <w:szCs w:val="21"/>
              </w:rPr>
              <w:t>用途</w:t>
            </w:r>
          </w:p>
        </w:tc>
        <w:tc>
          <w:tcPr>
            <w:tcW w:w="1559" w:type="dxa"/>
            <w:noWrap w:val="0"/>
            <w:vAlign w:val="center"/>
          </w:tcPr>
          <w:p>
            <w:pPr>
              <w:jc w:val="center"/>
              <w:rPr>
                <w:color w:val="000000"/>
                <w:szCs w:val="21"/>
              </w:rPr>
            </w:pPr>
            <w:r>
              <w:rPr>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758" w:type="dxa"/>
            <w:noWrap w:val="0"/>
            <w:vAlign w:val="center"/>
          </w:tcPr>
          <w:p>
            <w:pPr>
              <w:spacing w:line="360" w:lineRule="auto"/>
              <w:ind w:firstLine="420" w:firstLineChars="200"/>
              <w:rPr>
                <w:color w:val="000000"/>
                <w:szCs w:val="21"/>
              </w:rPr>
            </w:pPr>
          </w:p>
        </w:tc>
        <w:tc>
          <w:tcPr>
            <w:tcW w:w="1226" w:type="dxa"/>
            <w:noWrap w:val="0"/>
            <w:vAlign w:val="center"/>
          </w:tcPr>
          <w:p>
            <w:pPr>
              <w:spacing w:line="360" w:lineRule="auto"/>
              <w:ind w:firstLine="420" w:firstLineChars="200"/>
              <w:rPr>
                <w:color w:val="000000"/>
                <w:szCs w:val="21"/>
              </w:rPr>
            </w:pPr>
          </w:p>
        </w:tc>
        <w:tc>
          <w:tcPr>
            <w:tcW w:w="851" w:type="dxa"/>
            <w:noWrap w:val="0"/>
            <w:vAlign w:val="center"/>
          </w:tcPr>
          <w:p>
            <w:pPr>
              <w:spacing w:line="360" w:lineRule="auto"/>
              <w:ind w:firstLine="420" w:firstLineChars="200"/>
              <w:rPr>
                <w:color w:val="000000"/>
                <w:szCs w:val="21"/>
              </w:rPr>
            </w:pPr>
          </w:p>
        </w:tc>
        <w:tc>
          <w:tcPr>
            <w:tcW w:w="708" w:type="dxa"/>
            <w:noWrap w:val="0"/>
            <w:vAlign w:val="center"/>
          </w:tcPr>
          <w:p>
            <w:pPr>
              <w:spacing w:line="360" w:lineRule="auto"/>
              <w:ind w:firstLine="420" w:firstLineChars="200"/>
              <w:rPr>
                <w:color w:val="000000"/>
                <w:szCs w:val="21"/>
              </w:rPr>
            </w:pPr>
          </w:p>
        </w:tc>
        <w:tc>
          <w:tcPr>
            <w:tcW w:w="709" w:type="dxa"/>
            <w:noWrap w:val="0"/>
            <w:vAlign w:val="center"/>
          </w:tcPr>
          <w:p>
            <w:pPr>
              <w:spacing w:line="360" w:lineRule="auto"/>
              <w:ind w:firstLine="420" w:firstLineChars="200"/>
              <w:rPr>
                <w:color w:val="000000"/>
                <w:szCs w:val="21"/>
              </w:rPr>
            </w:pPr>
          </w:p>
        </w:tc>
        <w:tc>
          <w:tcPr>
            <w:tcW w:w="1134" w:type="dxa"/>
            <w:noWrap w:val="0"/>
            <w:vAlign w:val="center"/>
          </w:tcPr>
          <w:p>
            <w:pPr>
              <w:spacing w:line="360" w:lineRule="auto"/>
              <w:ind w:firstLine="420" w:firstLineChars="200"/>
              <w:rPr>
                <w:color w:val="000000"/>
                <w:szCs w:val="21"/>
              </w:rPr>
            </w:pPr>
          </w:p>
        </w:tc>
        <w:tc>
          <w:tcPr>
            <w:tcW w:w="1276" w:type="dxa"/>
            <w:noWrap w:val="0"/>
            <w:vAlign w:val="center"/>
          </w:tcPr>
          <w:p>
            <w:pPr>
              <w:spacing w:line="360" w:lineRule="auto"/>
              <w:ind w:firstLine="420" w:firstLineChars="200"/>
              <w:rPr>
                <w:color w:val="000000"/>
                <w:szCs w:val="21"/>
              </w:rPr>
            </w:pPr>
          </w:p>
        </w:tc>
        <w:tc>
          <w:tcPr>
            <w:tcW w:w="1134" w:type="dxa"/>
            <w:noWrap w:val="0"/>
            <w:vAlign w:val="center"/>
          </w:tcPr>
          <w:p>
            <w:pPr>
              <w:spacing w:line="360" w:lineRule="auto"/>
              <w:ind w:firstLine="420" w:firstLineChars="200"/>
              <w:rPr>
                <w:color w:val="000000"/>
                <w:szCs w:val="21"/>
              </w:rPr>
            </w:pPr>
          </w:p>
        </w:tc>
        <w:tc>
          <w:tcPr>
            <w:tcW w:w="1559" w:type="dxa"/>
            <w:noWrap w:val="0"/>
            <w:vAlign w:val="center"/>
          </w:tcPr>
          <w:p>
            <w:pPr>
              <w:spacing w:line="360" w:lineRule="auto"/>
              <w:ind w:firstLine="420" w:firstLineChars="200"/>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758" w:type="dxa"/>
            <w:noWrap w:val="0"/>
            <w:vAlign w:val="center"/>
          </w:tcPr>
          <w:p>
            <w:pPr>
              <w:spacing w:line="360" w:lineRule="auto"/>
              <w:ind w:firstLine="420" w:firstLineChars="200"/>
              <w:rPr>
                <w:color w:val="000000"/>
                <w:szCs w:val="21"/>
              </w:rPr>
            </w:pPr>
          </w:p>
        </w:tc>
        <w:tc>
          <w:tcPr>
            <w:tcW w:w="1226" w:type="dxa"/>
            <w:noWrap w:val="0"/>
            <w:vAlign w:val="center"/>
          </w:tcPr>
          <w:p>
            <w:pPr>
              <w:spacing w:line="360" w:lineRule="auto"/>
              <w:ind w:firstLine="420" w:firstLineChars="200"/>
              <w:rPr>
                <w:color w:val="000000"/>
                <w:szCs w:val="21"/>
              </w:rPr>
            </w:pPr>
          </w:p>
        </w:tc>
        <w:tc>
          <w:tcPr>
            <w:tcW w:w="851" w:type="dxa"/>
            <w:noWrap w:val="0"/>
            <w:vAlign w:val="center"/>
          </w:tcPr>
          <w:p>
            <w:pPr>
              <w:spacing w:line="360" w:lineRule="auto"/>
              <w:ind w:firstLine="420" w:firstLineChars="200"/>
              <w:rPr>
                <w:color w:val="000000"/>
                <w:szCs w:val="21"/>
              </w:rPr>
            </w:pPr>
          </w:p>
        </w:tc>
        <w:tc>
          <w:tcPr>
            <w:tcW w:w="708" w:type="dxa"/>
            <w:noWrap w:val="0"/>
            <w:vAlign w:val="center"/>
          </w:tcPr>
          <w:p>
            <w:pPr>
              <w:spacing w:line="360" w:lineRule="auto"/>
              <w:ind w:firstLine="420" w:firstLineChars="200"/>
              <w:rPr>
                <w:color w:val="000000"/>
                <w:szCs w:val="21"/>
              </w:rPr>
            </w:pPr>
          </w:p>
        </w:tc>
        <w:tc>
          <w:tcPr>
            <w:tcW w:w="709" w:type="dxa"/>
            <w:noWrap w:val="0"/>
            <w:vAlign w:val="center"/>
          </w:tcPr>
          <w:p>
            <w:pPr>
              <w:spacing w:line="360" w:lineRule="auto"/>
              <w:ind w:firstLine="420" w:firstLineChars="200"/>
              <w:rPr>
                <w:color w:val="000000"/>
                <w:szCs w:val="21"/>
              </w:rPr>
            </w:pPr>
          </w:p>
        </w:tc>
        <w:tc>
          <w:tcPr>
            <w:tcW w:w="1134" w:type="dxa"/>
            <w:noWrap w:val="0"/>
            <w:vAlign w:val="center"/>
          </w:tcPr>
          <w:p>
            <w:pPr>
              <w:spacing w:line="360" w:lineRule="auto"/>
              <w:ind w:firstLine="420" w:firstLineChars="200"/>
              <w:rPr>
                <w:color w:val="000000"/>
                <w:szCs w:val="21"/>
              </w:rPr>
            </w:pPr>
          </w:p>
        </w:tc>
        <w:tc>
          <w:tcPr>
            <w:tcW w:w="1276" w:type="dxa"/>
            <w:noWrap w:val="0"/>
            <w:vAlign w:val="center"/>
          </w:tcPr>
          <w:p>
            <w:pPr>
              <w:spacing w:line="360" w:lineRule="auto"/>
              <w:ind w:firstLine="420" w:firstLineChars="200"/>
              <w:rPr>
                <w:color w:val="000000"/>
                <w:szCs w:val="21"/>
              </w:rPr>
            </w:pPr>
          </w:p>
        </w:tc>
        <w:tc>
          <w:tcPr>
            <w:tcW w:w="1134" w:type="dxa"/>
            <w:noWrap w:val="0"/>
            <w:vAlign w:val="center"/>
          </w:tcPr>
          <w:p>
            <w:pPr>
              <w:spacing w:line="360" w:lineRule="auto"/>
              <w:ind w:firstLine="420" w:firstLineChars="200"/>
              <w:rPr>
                <w:color w:val="000000"/>
                <w:szCs w:val="21"/>
              </w:rPr>
            </w:pPr>
          </w:p>
        </w:tc>
        <w:tc>
          <w:tcPr>
            <w:tcW w:w="1559" w:type="dxa"/>
            <w:noWrap w:val="0"/>
            <w:vAlign w:val="center"/>
          </w:tcPr>
          <w:p>
            <w:pPr>
              <w:spacing w:line="360" w:lineRule="auto"/>
              <w:ind w:firstLine="420" w:firstLineChars="200"/>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758" w:type="dxa"/>
            <w:noWrap w:val="0"/>
            <w:vAlign w:val="center"/>
          </w:tcPr>
          <w:p>
            <w:pPr>
              <w:spacing w:line="360" w:lineRule="auto"/>
              <w:ind w:firstLine="420" w:firstLineChars="200"/>
              <w:rPr>
                <w:color w:val="000000"/>
                <w:szCs w:val="21"/>
              </w:rPr>
            </w:pPr>
          </w:p>
        </w:tc>
        <w:tc>
          <w:tcPr>
            <w:tcW w:w="1226" w:type="dxa"/>
            <w:noWrap w:val="0"/>
            <w:vAlign w:val="center"/>
          </w:tcPr>
          <w:p>
            <w:pPr>
              <w:spacing w:line="360" w:lineRule="auto"/>
              <w:ind w:firstLine="420" w:firstLineChars="200"/>
              <w:rPr>
                <w:color w:val="000000"/>
                <w:szCs w:val="21"/>
              </w:rPr>
            </w:pPr>
          </w:p>
        </w:tc>
        <w:tc>
          <w:tcPr>
            <w:tcW w:w="851" w:type="dxa"/>
            <w:noWrap w:val="0"/>
            <w:vAlign w:val="center"/>
          </w:tcPr>
          <w:p>
            <w:pPr>
              <w:spacing w:line="360" w:lineRule="auto"/>
              <w:ind w:firstLine="420" w:firstLineChars="200"/>
              <w:rPr>
                <w:color w:val="000000"/>
                <w:szCs w:val="21"/>
              </w:rPr>
            </w:pPr>
          </w:p>
        </w:tc>
        <w:tc>
          <w:tcPr>
            <w:tcW w:w="708" w:type="dxa"/>
            <w:noWrap w:val="0"/>
            <w:vAlign w:val="center"/>
          </w:tcPr>
          <w:p>
            <w:pPr>
              <w:spacing w:line="360" w:lineRule="auto"/>
              <w:ind w:firstLine="420" w:firstLineChars="200"/>
              <w:rPr>
                <w:color w:val="000000"/>
                <w:szCs w:val="21"/>
              </w:rPr>
            </w:pPr>
          </w:p>
        </w:tc>
        <w:tc>
          <w:tcPr>
            <w:tcW w:w="709" w:type="dxa"/>
            <w:noWrap w:val="0"/>
            <w:vAlign w:val="center"/>
          </w:tcPr>
          <w:p>
            <w:pPr>
              <w:spacing w:line="360" w:lineRule="auto"/>
              <w:ind w:firstLine="420" w:firstLineChars="200"/>
              <w:rPr>
                <w:color w:val="000000"/>
                <w:szCs w:val="21"/>
              </w:rPr>
            </w:pPr>
          </w:p>
        </w:tc>
        <w:tc>
          <w:tcPr>
            <w:tcW w:w="1134" w:type="dxa"/>
            <w:noWrap w:val="0"/>
            <w:vAlign w:val="center"/>
          </w:tcPr>
          <w:p>
            <w:pPr>
              <w:spacing w:line="360" w:lineRule="auto"/>
              <w:ind w:firstLine="420" w:firstLineChars="200"/>
              <w:rPr>
                <w:color w:val="000000"/>
                <w:szCs w:val="21"/>
              </w:rPr>
            </w:pPr>
          </w:p>
        </w:tc>
        <w:tc>
          <w:tcPr>
            <w:tcW w:w="1276" w:type="dxa"/>
            <w:noWrap w:val="0"/>
            <w:vAlign w:val="center"/>
          </w:tcPr>
          <w:p>
            <w:pPr>
              <w:spacing w:line="360" w:lineRule="auto"/>
              <w:ind w:firstLine="420" w:firstLineChars="200"/>
              <w:rPr>
                <w:color w:val="000000"/>
                <w:szCs w:val="21"/>
              </w:rPr>
            </w:pPr>
          </w:p>
        </w:tc>
        <w:tc>
          <w:tcPr>
            <w:tcW w:w="1134" w:type="dxa"/>
            <w:noWrap w:val="0"/>
            <w:vAlign w:val="center"/>
          </w:tcPr>
          <w:p>
            <w:pPr>
              <w:spacing w:line="360" w:lineRule="auto"/>
              <w:ind w:firstLine="420" w:firstLineChars="200"/>
              <w:rPr>
                <w:color w:val="000000"/>
                <w:szCs w:val="21"/>
              </w:rPr>
            </w:pPr>
          </w:p>
        </w:tc>
        <w:tc>
          <w:tcPr>
            <w:tcW w:w="1559" w:type="dxa"/>
            <w:noWrap w:val="0"/>
            <w:vAlign w:val="center"/>
          </w:tcPr>
          <w:p>
            <w:pPr>
              <w:spacing w:line="360" w:lineRule="auto"/>
              <w:ind w:firstLine="420" w:firstLineChars="200"/>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758" w:type="dxa"/>
            <w:noWrap w:val="0"/>
            <w:vAlign w:val="center"/>
          </w:tcPr>
          <w:p>
            <w:pPr>
              <w:spacing w:line="360" w:lineRule="auto"/>
              <w:ind w:firstLine="420" w:firstLineChars="200"/>
              <w:rPr>
                <w:color w:val="000000"/>
                <w:szCs w:val="21"/>
              </w:rPr>
            </w:pPr>
          </w:p>
        </w:tc>
        <w:tc>
          <w:tcPr>
            <w:tcW w:w="1226" w:type="dxa"/>
            <w:noWrap w:val="0"/>
            <w:vAlign w:val="center"/>
          </w:tcPr>
          <w:p>
            <w:pPr>
              <w:spacing w:line="360" w:lineRule="auto"/>
              <w:ind w:firstLine="420" w:firstLineChars="200"/>
              <w:rPr>
                <w:color w:val="000000"/>
                <w:szCs w:val="21"/>
              </w:rPr>
            </w:pPr>
          </w:p>
        </w:tc>
        <w:tc>
          <w:tcPr>
            <w:tcW w:w="851" w:type="dxa"/>
            <w:noWrap w:val="0"/>
            <w:vAlign w:val="center"/>
          </w:tcPr>
          <w:p>
            <w:pPr>
              <w:spacing w:line="360" w:lineRule="auto"/>
              <w:ind w:firstLine="420" w:firstLineChars="200"/>
              <w:rPr>
                <w:color w:val="000000"/>
                <w:szCs w:val="21"/>
              </w:rPr>
            </w:pPr>
          </w:p>
        </w:tc>
        <w:tc>
          <w:tcPr>
            <w:tcW w:w="708" w:type="dxa"/>
            <w:noWrap w:val="0"/>
            <w:vAlign w:val="center"/>
          </w:tcPr>
          <w:p>
            <w:pPr>
              <w:spacing w:line="360" w:lineRule="auto"/>
              <w:ind w:firstLine="420" w:firstLineChars="200"/>
              <w:rPr>
                <w:color w:val="000000"/>
                <w:szCs w:val="21"/>
              </w:rPr>
            </w:pPr>
          </w:p>
        </w:tc>
        <w:tc>
          <w:tcPr>
            <w:tcW w:w="709" w:type="dxa"/>
            <w:noWrap w:val="0"/>
            <w:vAlign w:val="center"/>
          </w:tcPr>
          <w:p>
            <w:pPr>
              <w:spacing w:line="360" w:lineRule="auto"/>
              <w:ind w:firstLine="420" w:firstLineChars="200"/>
              <w:rPr>
                <w:color w:val="000000"/>
                <w:szCs w:val="21"/>
              </w:rPr>
            </w:pPr>
          </w:p>
        </w:tc>
        <w:tc>
          <w:tcPr>
            <w:tcW w:w="1134" w:type="dxa"/>
            <w:noWrap w:val="0"/>
            <w:vAlign w:val="center"/>
          </w:tcPr>
          <w:p>
            <w:pPr>
              <w:spacing w:line="360" w:lineRule="auto"/>
              <w:ind w:firstLine="420" w:firstLineChars="200"/>
              <w:rPr>
                <w:color w:val="000000"/>
                <w:szCs w:val="21"/>
              </w:rPr>
            </w:pPr>
          </w:p>
        </w:tc>
        <w:tc>
          <w:tcPr>
            <w:tcW w:w="1276" w:type="dxa"/>
            <w:noWrap w:val="0"/>
            <w:vAlign w:val="center"/>
          </w:tcPr>
          <w:p>
            <w:pPr>
              <w:spacing w:line="360" w:lineRule="auto"/>
              <w:ind w:firstLine="420" w:firstLineChars="200"/>
              <w:rPr>
                <w:color w:val="000000"/>
                <w:szCs w:val="21"/>
              </w:rPr>
            </w:pPr>
          </w:p>
        </w:tc>
        <w:tc>
          <w:tcPr>
            <w:tcW w:w="1134" w:type="dxa"/>
            <w:noWrap w:val="0"/>
            <w:vAlign w:val="center"/>
          </w:tcPr>
          <w:p>
            <w:pPr>
              <w:spacing w:line="360" w:lineRule="auto"/>
              <w:ind w:firstLine="420" w:firstLineChars="200"/>
              <w:rPr>
                <w:color w:val="000000"/>
                <w:szCs w:val="21"/>
              </w:rPr>
            </w:pPr>
          </w:p>
        </w:tc>
        <w:tc>
          <w:tcPr>
            <w:tcW w:w="1559" w:type="dxa"/>
            <w:noWrap w:val="0"/>
            <w:vAlign w:val="center"/>
          </w:tcPr>
          <w:p>
            <w:pPr>
              <w:spacing w:line="360" w:lineRule="auto"/>
              <w:ind w:firstLine="420" w:firstLineChars="200"/>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758" w:type="dxa"/>
            <w:noWrap w:val="0"/>
            <w:vAlign w:val="center"/>
          </w:tcPr>
          <w:p>
            <w:pPr>
              <w:spacing w:line="360" w:lineRule="auto"/>
              <w:ind w:firstLine="420" w:firstLineChars="200"/>
              <w:rPr>
                <w:color w:val="000000"/>
                <w:szCs w:val="21"/>
              </w:rPr>
            </w:pPr>
          </w:p>
        </w:tc>
        <w:tc>
          <w:tcPr>
            <w:tcW w:w="1226" w:type="dxa"/>
            <w:noWrap w:val="0"/>
            <w:vAlign w:val="center"/>
          </w:tcPr>
          <w:p>
            <w:pPr>
              <w:spacing w:line="360" w:lineRule="auto"/>
              <w:ind w:firstLine="420" w:firstLineChars="200"/>
              <w:rPr>
                <w:color w:val="000000"/>
                <w:szCs w:val="21"/>
              </w:rPr>
            </w:pPr>
          </w:p>
        </w:tc>
        <w:tc>
          <w:tcPr>
            <w:tcW w:w="851" w:type="dxa"/>
            <w:noWrap w:val="0"/>
            <w:vAlign w:val="center"/>
          </w:tcPr>
          <w:p>
            <w:pPr>
              <w:spacing w:line="360" w:lineRule="auto"/>
              <w:ind w:firstLine="420" w:firstLineChars="200"/>
              <w:rPr>
                <w:color w:val="000000"/>
                <w:szCs w:val="21"/>
              </w:rPr>
            </w:pPr>
          </w:p>
        </w:tc>
        <w:tc>
          <w:tcPr>
            <w:tcW w:w="708" w:type="dxa"/>
            <w:noWrap w:val="0"/>
            <w:vAlign w:val="center"/>
          </w:tcPr>
          <w:p>
            <w:pPr>
              <w:spacing w:line="360" w:lineRule="auto"/>
              <w:ind w:firstLine="420" w:firstLineChars="200"/>
              <w:rPr>
                <w:color w:val="000000"/>
                <w:szCs w:val="21"/>
              </w:rPr>
            </w:pPr>
          </w:p>
        </w:tc>
        <w:tc>
          <w:tcPr>
            <w:tcW w:w="709" w:type="dxa"/>
            <w:noWrap w:val="0"/>
            <w:vAlign w:val="center"/>
          </w:tcPr>
          <w:p>
            <w:pPr>
              <w:spacing w:line="360" w:lineRule="auto"/>
              <w:ind w:firstLine="420" w:firstLineChars="200"/>
              <w:rPr>
                <w:color w:val="000000"/>
                <w:szCs w:val="21"/>
              </w:rPr>
            </w:pPr>
          </w:p>
        </w:tc>
        <w:tc>
          <w:tcPr>
            <w:tcW w:w="1134" w:type="dxa"/>
            <w:noWrap w:val="0"/>
            <w:vAlign w:val="center"/>
          </w:tcPr>
          <w:p>
            <w:pPr>
              <w:spacing w:line="360" w:lineRule="auto"/>
              <w:ind w:firstLine="420" w:firstLineChars="200"/>
              <w:rPr>
                <w:color w:val="000000"/>
                <w:szCs w:val="21"/>
              </w:rPr>
            </w:pPr>
          </w:p>
        </w:tc>
        <w:tc>
          <w:tcPr>
            <w:tcW w:w="1276" w:type="dxa"/>
            <w:noWrap w:val="0"/>
            <w:vAlign w:val="center"/>
          </w:tcPr>
          <w:p>
            <w:pPr>
              <w:spacing w:line="360" w:lineRule="auto"/>
              <w:ind w:firstLine="420" w:firstLineChars="200"/>
              <w:rPr>
                <w:color w:val="000000"/>
                <w:szCs w:val="21"/>
              </w:rPr>
            </w:pPr>
          </w:p>
        </w:tc>
        <w:tc>
          <w:tcPr>
            <w:tcW w:w="1134" w:type="dxa"/>
            <w:noWrap w:val="0"/>
            <w:vAlign w:val="center"/>
          </w:tcPr>
          <w:p>
            <w:pPr>
              <w:spacing w:line="360" w:lineRule="auto"/>
              <w:ind w:firstLine="420" w:firstLineChars="200"/>
              <w:rPr>
                <w:color w:val="000000"/>
                <w:szCs w:val="21"/>
              </w:rPr>
            </w:pPr>
          </w:p>
        </w:tc>
        <w:tc>
          <w:tcPr>
            <w:tcW w:w="1559" w:type="dxa"/>
            <w:noWrap w:val="0"/>
            <w:vAlign w:val="center"/>
          </w:tcPr>
          <w:p>
            <w:pPr>
              <w:spacing w:line="360" w:lineRule="auto"/>
              <w:ind w:firstLine="420" w:firstLineChars="200"/>
              <w:rPr>
                <w:color w:val="000000"/>
                <w:szCs w:val="21"/>
              </w:rPr>
            </w:pPr>
          </w:p>
        </w:tc>
      </w:tr>
    </w:tbl>
    <w:p>
      <w:pPr>
        <w:tabs>
          <w:tab w:val="left" w:pos="826"/>
        </w:tabs>
        <w:snapToGrid w:val="0"/>
        <w:spacing w:line="360" w:lineRule="auto"/>
        <w:ind w:firstLine="525" w:firstLineChars="250"/>
        <w:jc w:val="left"/>
        <w:rPr>
          <w:rFonts w:hint="eastAsia"/>
          <w:color w:val="000000"/>
        </w:rPr>
      </w:pPr>
    </w:p>
    <w:p>
      <w:pPr>
        <w:tabs>
          <w:tab w:val="left" w:pos="826"/>
        </w:tabs>
        <w:snapToGrid w:val="0"/>
        <w:spacing w:line="420" w:lineRule="exact"/>
        <w:ind w:firstLine="422" w:firstLineChars="150"/>
        <w:jc w:val="center"/>
        <w:rPr>
          <w:rFonts w:hint="eastAsia"/>
          <w:b/>
          <w:color w:val="000000"/>
          <w:sz w:val="28"/>
          <w:szCs w:val="28"/>
        </w:rPr>
      </w:pPr>
    </w:p>
    <w:p>
      <w:pPr>
        <w:pStyle w:val="4"/>
        <w:jc w:val="center"/>
        <w:rPr>
          <w:rFonts w:hint="eastAsia"/>
          <w:b w:val="0"/>
          <w:color w:val="000000"/>
          <w:sz w:val="28"/>
          <w:szCs w:val="28"/>
        </w:rPr>
      </w:pPr>
      <w:r>
        <w:rPr>
          <w:rFonts w:hAnsi="宋体"/>
          <w:color w:val="000000"/>
        </w:rPr>
        <w:br w:type="page"/>
      </w:r>
      <w:bookmarkStart w:id="1744" w:name="_Toc59203266"/>
      <w:r>
        <w:rPr>
          <w:color w:val="000000"/>
          <w:sz w:val="30"/>
          <w:szCs w:val="30"/>
        </w:rPr>
        <w:t>7</w:t>
      </w:r>
      <w:r>
        <w:rPr>
          <w:rFonts w:hint="eastAsia"/>
          <w:color w:val="000000"/>
          <w:sz w:val="30"/>
          <w:szCs w:val="30"/>
        </w:rPr>
        <w:t>、资格审查需要的其他材料</w:t>
      </w:r>
      <w:bookmarkEnd w:id="1744"/>
    </w:p>
    <w:p>
      <w:pPr>
        <w:tabs>
          <w:tab w:val="left" w:pos="0"/>
        </w:tabs>
        <w:spacing w:line="360" w:lineRule="auto"/>
        <w:ind w:right="-210"/>
        <w:rPr>
          <w:rFonts w:hint="eastAsia"/>
          <w:color w:val="000000"/>
          <w:sz w:val="22"/>
          <w:szCs w:val="28"/>
        </w:rPr>
      </w:pPr>
    </w:p>
    <w:p>
      <w:pPr>
        <w:tabs>
          <w:tab w:val="left" w:pos="0"/>
        </w:tabs>
        <w:spacing w:line="360" w:lineRule="auto"/>
        <w:ind w:right="-210"/>
        <w:rPr>
          <w:rFonts w:hint="eastAsia"/>
          <w:color w:val="000000"/>
          <w:szCs w:val="21"/>
        </w:rPr>
      </w:pPr>
      <w:r>
        <w:rPr>
          <w:rFonts w:hint="eastAsia"/>
          <w:color w:val="000000"/>
          <w:szCs w:val="21"/>
        </w:rPr>
        <w:t>包括：近年完成的类似工程总承包项目情况材料（如有）、近年承接的类似工程总承包项目情况材料（如有）、近年承接的类似工程设计项目情况材料（如有）、近年完成的类似施工项目情况材料（如有）、正在实施和新承接的类似施工项目情况材料（如有）、采用建筑信息模型（BIM）技术的项目业绩（如有）、企业信誉实力材料、企业近三年财务状况材料（</w:t>
      </w:r>
      <w:r>
        <w:rPr>
          <w:color w:val="000000"/>
          <w:szCs w:val="21"/>
        </w:rPr>
        <w:t>联合体投标</w:t>
      </w:r>
      <w:r>
        <w:rPr>
          <w:rFonts w:hint="eastAsia"/>
          <w:color w:val="000000"/>
          <w:szCs w:val="21"/>
        </w:rPr>
        <w:t>的则联合体各方均须提供）</w:t>
      </w:r>
      <w:r>
        <w:rPr>
          <w:color w:val="000000"/>
          <w:szCs w:val="21"/>
        </w:rPr>
        <w:t>等</w:t>
      </w:r>
      <w:r>
        <w:rPr>
          <w:rFonts w:hint="eastAsia"/>
          <w:color w:val="000000"/>
          <w:szCs w:val="21"/>
        </w:rPr>
        <w:t>）。施工单位须提供已完成类似工程证明材料以诚信库链接为准。</w:t>
      </w:r>
    </w:p>
    <w:p>
      <w:pPr>
        <w:tabs>
          <w:tab w:val="left" w:pos="826"/>
        </w:tabs>
        <w:snapToGrid w:val="0"/>
        <w:spacing w:line="360" w:lineRule="auto"/>
        <w:ind w:firstLine="315" w:firstLineChars="150"/>
        <w:rPr>
          <w:rFonts w:hint="eastAsia"/>
          <w:color w:val="000000"/>
        </w:rPr>
      </w:pPr>
    </w:p>
    <w:p>
      <w:pPr>
        <w:jc w:val="center"/>
        <w:rPr>
          <w:color w:val="000000"/>
          <w:sz w:val="28"/>
          <w:szCs w:val="28"/>
        </w:rPr>
      </w:pPr>
      <w:r>
        <w:rPr>
          <w:color w:val="000000"/>
        </w:rPr>
        <w:br w:type="page"/>
      </w:r>
      <w:r>
        <w:rPr>
          <w:color w:val="000000"/>
          <w:sz w:val="32"/>
          <w:szCs w:val="32"/>
          <w:u w:val="single"/>
        </w:rPr>
        <w:t xml:space="preserve">             </w:t>
      </w:r>
      <w:r>
        <w:rPr>
          <w:color w:val="000000"/>
          <w:sz w:val="28"/>
          <w:szCs w:val="28"/>
        </w:rPr>
        <w:t>（项目名称）</w:t>
      </w:r>
      <w:r>
        <w:rPr>
          <w:rFonts w:hint="eastAsia"/>
          <w:color w:val="000000"/>
          <w:sz w:val="28"/>
          <w:szCs w:val="28"/>
        </w:rPr>
        <w:t>总承包招标</w:t>
      </w:r>
    </w:p>
    <w:p>
      <w:pPr>
        <w:jc w:val="center"/>
        <w:rPr>
          <w:color w:val="000000"/>
          <w:sz w:val="28"/>
          <w:szCs w:val="28"/>
        </w:rPr>
      </w:pPr>
    </w:p>
    <w:p>
      <w:pPr>
        <w:spacing w:before="240" w:beforeLines="100"/>
        <w:jc w:val="center"/>
        <w:rPr>
          <w:color w:val="000000"/>
          <w:sz w:val="52"/>
          <w:szCs w:val="52"/>
        </w:rPr>
      </w:pPr>
      <w:r>
        <w:rPr>
          <w:color w:val="000000"/>
          <w:sz w:val="52"/>
          <w:szCs w:val="52"/>
        </w:rPr>
        <w:t>投  标  文  件</w:t>
      </w:r>
    </w:p>
    <w:p>
      <w:pPr>
        <w:jc w:val="center"/>
        <w:rPr>
          <w:color w:val="000000"/>
          <w:sz w:val="32"/>
          <w:szCs w:val="32"/>
        </w:rPr>
      </w:pPr>
    </w:p>
    <w:p>
      <w:pPr>
        <w:rPr>
          <w:rFonts w:hint="eastAsia"/>
          <w:color w:val="000000"/>
          <w:sz w:val="32"/>
          <w:szCs w:val="32"/>
        </w:rPr>
      </w:pPr>
    </w:p>
    <w:p>
      <w:pPr>
        <w:jc w:val="center"/>
        <w:rPr>
          <w:color w:val="000000"/>
          <w:sz w:val="32"/>
          <w:szCs w:val="32"/>
        </w:rPr>
      </w:pPr>
    </w:p>
    <w:p>
      <w:pPr>
        <w:spacing w:line="360" w:lineRule="auto"/>
        <w:ind w:firstLine="2380" w:firstLineChars="850"/>
        <w:rPr>
          <w:color w:val="000000"/>
          <w:sz w:val="28"/>
          <w:szCs w:val="28"/>
          <w:u w:val="single"/>
        </w:rPr>
      </w:pPr>
      <w:r>
        <w:rPr>
          <w:color w:val="000000"/>
          <w:sz w:val="28"/>
          <w:szCs w:val="28"/>
        </w:rPr>
        <w:t>项目</w:t>
      </w:r>
      <w:r>
        <w:rPr>
          <w:rFonts w:hint="eastAsia"/>
          <w:color w:val="000000"/>
          <w:sz w:val="28"/>
          <w:szCs w:val="28"/>
        </w:rPr>
        <w:t>招标</w:t>
      </w:r>
      <w:r>
        <w:rPr>
          <w:color w:val="000000"/>
          <w:sz w:val="28"/>
          <w:szCs w:val="28"/>
        </w:rPr>
        <w:t>编号：</w:t>
      </w:r>
      <w:r>
        <w:rPr>
          <w:color w:val="000000"/>
          <w:sz w:val="28"/>
          <w:szCs w:val="28"/>
          <w:u w:val="single"/>
        </w:rPr>
        <w:t xml:space="preserve">                   </w:t>
      </w:r>
    </w:p>
    <w:p>
      <w:pPr>
        <w:jc w:val="center"/>
        <w:rPr>
          <w:color w:val="000000"/>
          <w:sz w:val="32"/>
          <w:szCs w:val="32"/>
        </w:rPr>
      </w:pPr>
    </w:p>
    <w:p>
      <w:pPr>
        <w:rPr>
          <w:rFonts w:hint="eastAsia"/>
          <w:color w:val="000000"/>
          <w:sz w:val="32"/>
          <w:szCs w:val="32"/>
        </w:rPr>
      </w:pPr>
    </w:p>
    <w:p>
      <w:pPr>
        <w:jc w:val="center"/>
        <w:rPr>
          <w:color w:val="000000"/>
          <w:sz w:val="32"/>
          <w:szCs w:val="32"/>
        </w:rPr>
      </w:pPr>
    </w:p>
    <w:p>
      <w:pPr>
        <w:rPr>
          <w:rFonts w:hint="eastAsia"/>
          <w:color w:val="000000"/>
          <w:sz w:val="32"/>
          <w:szCs w:val="32"/>
        </w:rPr>
      </w:pPr>
    </w:p>
    <w:p>
      <w:pPr>
        <w:jc w:val="center"/>
        <w:rPr>
          <w:color w:val="000000"/>
          <w:sz w:val="32"/>
          <w:szCs w:val="32"/>
        </w:rPr>
      </w:pPr>
    </w:p>
    <w:p>
      <w:pPr>
        <w:jc w:val="center"/>
        <w:rPr>
          <w:color w:val="000000"/>
          <w:sz w:val="32"/>
          <w:szCs w:val="32"/>
        </w:rPr>
      </w:pPr>
    </w:p>
    <w:p>
      <w:pPr>
        <w:spacing w:line="360" w:lineRule="auto"/>
        <w:rPr>
          <w:color w:val="000000"/>
          <w:sz w:val="28"/>
          <w:szCs w:val="28"/>
          <w:u w:val="single"/>
        </w:rPr>
      </w:pPr>
      <w:r>
        <w:rPr>
          <w:color w:val="000000"/>
          <w:sz w:val="28"/>
          <w:szCs w:val="28"/>
        </w:rPr>
        <w:t>投标内容：</w:t>
      </w:r>
      <w:r>
        <w:rPr>
          <w:color w:val="000000"/>
          <w:sz w:val="28"/>
          <w:szCs w:val="28"/>
          <w:u w:val="single"/>
        </w:rPr>
        <w:t xml:space="preserve">   </w:t>
      </w:r>
      <w:r>
        <w:rPr>
          <w:rFonts w:hint="eastAsia"/>
          <w:color w:val="000000"/>
          <w:sz w:val="28"/>
          <w:szCs w:val="28"/>
          <w:u w:val="single"/>
        </w:rPr>
        <w:t xml:space="preserve">           商务标</w:t>
      </w:r>
      <w:r>
        <w:rPr>
          <w:color w:val="000000"/>
          <w:sz w:val="28"/>
          <w:szCs w:val="28"/>
          <w:u w:val="single"/>
        </w:rPr>
        <w:t xml:space="preserve">       </w:t>
      </w:r>
      <w:r>
        <w:rPr>
          <w:rFonts w:hint="eastAsia"/>
          <w:color w:val="000000"/>
          <w:sz w:val="28"/>
          <w:szCs w:val="28"/>
          <w:u w:val="single"/>
        </w:rPr>
        <w:t xml:space="preserve">   </w:t>
      </w:r>
      <w:r>
        <w:rPr>
          <w:color w:val="000000"/>
          <w:sz w:val="28"/>
          <w:szCs w:val="28"/>
          <w:u w:val="single"/>
        </w:rPr>
        <w:t xml:space="preserve">    </w:t>
      </w:r>
    </w:p>
    <w:p>
      <w:pPr>
        <w:spacing w:line="360" w:lineRule="auto"/>
        <w:rPr>
          <w:color w:val="000000"/>
          <w:sz w:val="28"/>
          <w:szCs w:val="28"/>
        </w:rPr>
      </w:pPr>
      <w:r>
        <w:rPr>
          <w:color w:val="000000"/>
          <w:sz w:val="28"/>
          <w:szCs w:val="28"/>
        </w:rPr>
        <w:t>投标人：</w:t>
      </w:r>
      <w:r>
        <w:rPr>
          <w:color w:val="000000"/>
          <w:sz w:val="28"/>
          <w:szCs w:val="28"/>
          <w:u w:val="single"/>
        </w:rPr>
        <w:t xml:space="preserve">                                </w:t>
      </w:r>
      <w:r>
        <w:rPr>
          <w:color w:val="000000"/>
          <w:sz w:val="28"/>
          <w:szCs w:val="28"/>
        </w:rPr>
        <w:t>（盖单位章）</w:t>
      </w:r>
    </w:p>
    <w:p>
      <w:pPr>
        <w:spacing w:line="360" w:lineRule="auto"/>
        <w:ind w:firstLine="1400" w:firstLineChars="500"/>
        <w:rPr>
          <w:color w:val="000000"/>
          <w:sz w:val="28"/>
          <w:szCs w:val="28"/>
        </w:rPr>
      </w:pPr>
    </w:p>
    <w:p>
      <w:pPr>
        <w:spacing w:line="360" w:lineRule="auto"/>
        <w:ind w:firstLine="1400" w:firstLineChars="500"/>
        <w:rPr>
          <w:color w:val="000000"/>
          <w:sz w:val="28"/>
          <w:szCs w:val="28"/>
        </w:rPr>
      </w:pPr>
      <w:r>
        <w:rPr>
          <w:color w:val="000000"/>
          <w:sz w:val="28"/>
          <w:szCs w:val="28"/>
          <w:u w:val="single"/>
        </w:rPr>
        <w:t xml:space="preserve">         </w:t>
      </w:r>
      <w:r>
        <w:rPr>
          <w:color w:val="000000"/>
          <w:sz w:val="28"/>
          <w:szCs w:val="28"/>
        </w:rPr>
        <w:t>年</w:t>
      </w:r>
      <w:r>
        <w:rPr>
          <w:color w:val="000000"/>
          <w:sz w:val="28"/>
          <w:szCs w:val="28"/>
          <w:u w:val="single"/>
        </w:rPr>
        <w:t xml:space="preserve">         </w:t>
      </w:r>
      <w:r>
        <w:rPr>
          <w:color w:val="000000"/>
          <w:sz w:val="28"/>
          <w:szCs w:val="28"/>
        </w:rPr>
        <w:t>月</w:t>
      </w:r>
      <w:r>
        <w:rPr>
          <w:color w:val="000000"/>
          <w:sz w:val="28"/>
          <w:szCs w:val="28"/>
          <w:u w:val="single"/>
        </w:rPr>
        <w:t xml:space="preserve">         </w:t>
      </w:r>
      <w:r>
        <w:rPr>
          <w:color w:val="000000"/>
          <w:sz w:val="28"/>
          <w:szCs w:val="28"/>
        </w:rPr>
        <w:t>日</w:t>
      </w:r>
    </w:p>
    <w:p>
      <w:pPr>
        <w:spacing w:line="400" w:lineRule="exact"/>
        <w:rPr>
          <w:rFonts w:hint="eastAsia"/>
          <w:color w:val="000000"/>
        </w:rPr>
      </w:pPr>
      <w:r>
        <w:rPr>
          <w:color w:val="000000"/>
        </w:rPr>
        <w:br w:type="page"/>
      </w:r>
    </w:p>
    <w:p>
      <w:pPr>
        <w:spacing w:line="400" w:lineRule="exact"/>
        <w:ind w:firstLine="420"/>
        <w:jc w:val="center"/>
        <w:rPr>
          <w:rFonts w:hint="eastAsia"/>
          <w:b/>
          <w:color w:val="000000"/>
          <w:sz w:val="28"/>
          <w:szCs w:val="28"/>
        </w:rPr>
      </w:pPr>
      <w:r>
        <w:rPr>
          <w:rFonts w:hint="eastAsia"/>
          <w:b/>
          <w:color w:val="000000"/>
          <w:sz w:val="28"/>
          <w:szCs w:val="28"/>
        </w:rPr>
        <w:t>目 录</w:t>
      </w:r>
    </w:p>
    <w:p>
      <w:pPr>
        <w:spacing w:line="400" w:lineRule="exact"/>
        <w:ind w:firstLine="420"/>
        <w:rPr>
          <w:rFonts w:hint="eastAsia"/>
          <w:color w:val="000000"/>
        </w:rPr>
      </w:pPr>
    </w:p>
    <w:p>
      <w:pPr>
        <w:spacing w:line="360" w:lineRule="auto"/>
        <w:ind w:firstLine="420"/>
        <w:rPr>
          <w:rFonts w:hint="eastAsia" w:ascii="宋体" w:hAnsi="宋体"/>
          <w:color w:val="000000"/>
          <w:szCs w:val="21"/>
        </w:rPr>
      </w:pPr>
      <w:r>
        <w:rPr>
          <w:rFonts w:hint="eastAsia" w:ascii="宋体" w:hAnsi="宋体"/>
          <w:color w:val="000000"/>
          <w:szCs w:val="21"/>
        </w:rPr>
        <w:t>1、投标函</w:t>
      </w:r>
    </w:p>
    <w:p>
      <w:pPr>
        <w:spacing w:line="360" w:lineRule="auto"/>
        <w:ind w:firstLine="420"/>
        <w:rPr>
          <w:rFonts w:hint="eastAsia" w:ascii="宋体" w:hAnsi="宋体"/>
          <w:color w:val="000000"/>
          <w:szCs w:val="21"/>
        </w:rPr>
      </w:pPr>
      <w:r>
        <w:rPr>
          <w:rFonts w:hint="eastAsia" w:ascii="宋体" w:hAnsi="宋体"/>
          <w:color w:val="000000"/>
          <w:szCs w:val="21"/>
        </w:rPr>
        <w:t>2、投标函附录</w:t>
      </w:r>
    </w:p>
    <w:p>
      <w:pPr>
        <w:spacing w:line="360" w:lineRule="auto"/>
        <w:ind w:firstLine="420"/>
        <w:rPr>
          <w:rFonts w:hint="eastAsia" w:ascii="宋体" w:hAnsi="宋体"/>
          <w:color w:val="000000"/>
          <w:szCs w:val="21"/>
        </w:rPr>
      </w:pPr>
      <w:r>
        <w:rPr>
          <w:rFonts w:hint="eastAsia" w:ascii="宋体" w:hAnsi="宋体"/>
          <w:color w:val="000000"/>
          <w:szCs w:val="21"/>
        </w:rPr>
        <w:t>3、投标报价要求</w:t>
      </w:r>
    </w:p>
    <w:p>
      <w:pPr>
        <w:spacing w:line="360" w:lineRule="auto"/>
        <w:ind w:firstLine="420"/>
        <w:rPr>
          <w:rFonts w:hint="eastAsia" w:ascii="宋体" w:hAnsi="宋体"/>
          <w:color w:val="000000"/>
          <w:szCs w:val="21"/>
        </w:rPr>
      </w:pPr>
      <w:r>
        <w:rPr>
          <w:rFonts w:hint="eastAsia" w:ascii="宋体" w:hAnsi="宋体"/>
          <w:color w:val="000000"/>
          <w:szCs w:val="21"/>
        </w:rPr>
        <w:t>4、投标报价一览表</w:t>
      </w:r>
    </w:p>
    <w:p>
      <w:pPr>
        <w:spacing w:line="360" w:lineRule="auto"/>
        <w:ind w:firstLine="420"/>
        <w:rPr>
          <w:rFonts w:hint="eastAsia" w:ascii="宋体" w:hAnsi="宋体"/>
          <w:color w:val="000000"/>
          <w:szCs w:val="21"/>
        </w:rPr>
      </w:pPr>
      <w:r>
        <w:rPr>
          <w:rFonts w:hint="eastAsia" w:ascii="宋体" w:hAnsi="宋体"/>
          <w:color w:val="000000"/>
          <w:szCs w:val="21"/>
        </w:rPr>
        <w:t>5、投标人认为应提交的其他投标资料</w:t>
      </w:r>
    </w:p>
    <w:p>
      <w:pPr>
        <w:spacing w:line="400" w:lineRule="exact"/>
        <w:rPr>
          <w:color w:val="000000"/>
        </w:rPr>
      </w:pPr>
      <w:r>
        <w:rPr>
          <w:color w:val="000000"/>
        </w:rPr>
        <w:br w:type="page"/>
      </w:r>
    </w:p>
    <w:p>
      <w:pPr>
        <w:pStyle w:val="4"/>
        <w:jc w:val="center"/>
        <w:rPr>
          <w:rFonts w:hint="eastAsia"/>
          <w:color w:val="000000"/>
          <w:sz w:val="30"/>
          <w:szCs w:val="30"/>
        </w:rPr>
      </w:pPr>
      <w:bookmarkStart w:id="1745" w:name="_Toc152042577"/>
      <w:bookmarkStart w:id="1746" w:name="_Toc152045788"/>
      <w:bookmarkStart w:id="1747" w:name="_Toc247514247"/>
      <w:bookmarkStart w:id="1748" w:name="_Toc144974857"/>
      <w:bookmarkStart w:id="1749" w:name="_Toc247527828"/>
      <w:bookmarkStart w:id="1750" w:name="_Toc59203267"/>
      <w:bookmarkStart w:id="1751" w:name="_Toc404006883"/>
      <w:bookmarkStart w:id="1752" w:name="_Toc402532186"/>
      <w:r>
        <w:rPr>
          <w:rFonts w:hint="eastAsia"/>
          <w:color w:val="000000"/>
          <w:sz w:val="30"/>
          <w:szCs w:val="30"/>
        </w:rPr>
        <w:t>1</w:t>
      </w:r>
      <w:r>
        <w:rPr>
          <w:color w:val="000000"/>
          <w:sz w:val="30"/>
          <w:szCs w:val="30"/>
        </w:rPr>
        <w:t>、投标函</w:t>
      </w:r>
      <w:bookmarkEnd w:id="1745"/>
      <w:bookmarkEnd w:id="1746"/>
      <w:bookmarkEnd w:id="1747"/>
      <w:bookmarkEnd w:id="1748"/>
      <w:bookmarkEnd w:id="1749"/>
      <w:r>
        <w:rPr>
          <w:rFonts w:hint="eastAsia"/>
          <w:color w:val="000000"/>
          <w:sz w:val="30"/>
          <w:szCs w:val="30"/>
        </w:rPr>
        <w:t>（非联合体格式）</w:t>
      </w:r>
      <w:bookmarkEnd w:id="1750"/>
      <w:bookmarkEnd w:id="1751"/>
      <w:bookmarkEnd w:id="1752"/>
    </w:p>
    <w:p>
      <w:pPr>
        <w:spacing w:line="400" w:lineRule="exact"/>
        <w:rPr>
          <w:rFonts w:ascii="宋体" w:hAnsi="宋体"/>
          <w:color w:val="000000"/>
          <w:szCs w:val="21"/>
        </w:rPr>
      </w:pPr>
      <w:bookmarkStart w:id="1753" w:name="_Toc152045790"/>
      <w:bookmarkStart w:id="1754" w:name="_Toc247514249"/>
      <w:bookmarkStart w:id="1755" w:name="_Toc247527830"/>
      <w:bookmarkStart w:id="1756" w:name="_Toc152042579"/>
      <w:bookmarkStart w:id="1757" w:name="_Toc144974859"/>
      <w:r>
        <w:rPr>
          <w:rFonts w:ascii="宋体" w:hAnsi="宋体"/>
          <w:color w:val="000000"/>
          <w:szCs w:val="21"/>
          <w:u w:val="single"/>
        </w:rPr>
        <w:t xml:space="preserve">                        </w:t>
      </w:r>
      <w:r>
        <w:rPr>
          <w:rFonts w:ascii="宋体" w:hAnsi="宋体"/>
          <w:color w:val="000000"/>
          <w:szCs w:val="21"/>
        </w:rPr>
        <w:t>（招标人名称）：</w:t>
      </w:r>
    </w:p>
    <w:p>
      <w:pPr>
        <w:spacing w:line="400" w:lineRule="exact"/>
        <w:ind w:firstLine="420" w:firstLineChars="200"/>
        <w:rPr>
          <w:rFonts w:hint="eastAsia" w:ascii="宋体" w:hAnsi="宋体"/>
          <w:color w:val="000000"/>
          <w:szCs w:val="21"/>
        </w:rPr>
      </w:pPr>
      <w:r>
        <w:rPr>
          <w:rFonts w:ascii="宋体" w:hAnsi="宋体"/>
          <w:color w:val="000000"/>
          <w:szCs w:val="21"/>
        </w:rPr>
        <w:t>1．我方已仔细研究了</w:t>
      </w:r>
      <w:r>
        <w:rPr>
          <w:rFonts w:hint="eastAsia" w:ascii="宋体" w:hAnsi="宋体"/>
          <w:color w:val="000000"/>
          <w:szCs w:val="21"/>
        </w:rPr>
        <w:t>你方项目招标标号为（</w:t>
      </w:r>
      <w:r>
        <w:rPr>
          <w:color w:val="000000"/>
          <w:u w:val="single"/>
        </w:rPr>
        <w:t>项目</w:t>
      </w:r>
      <w:r>
        <w:rPr>
          <w:rFonts w:hint="eastAsia"/>
          <w:color w:val="000000"/>
          <w:u w:val="single"/>
        </w:rPr>
        <w:t>招标</w:t>
      </w:r>
      <w:r>
        <w:rPr>
          <w:color w:val="000000"/>
          <w:u w:val="single"/>
        </w:rPr>
        <w:t>编号</w:t>
      </w:r>
      <w:r>
        <w:rPr>
          <w:rFonts w:hint="eastAsia" w:ascii="宋体" w:hAnsi="宋体"/>
          <w:color w:val="000000"/>
          <w:szCs w:val="21"/>
        </w:rPr>
        <w:t>）的</w:t>
      </w:r>
      <w:r>
        <w:rPr>
          <w:rFonts w:ascii="宋体" w:hAnsi="宋体"/>
          <w:color w:val="000000"/>
          <w:szCs w:val="21"/>
          <w:u w:val="single"/>
        </w:rPr>
        <w:t xml:space="preserve">         </w:t>
      </w:r>
      <w:r>
        <w:rPr>
          <w:rFonts w:ascii="宋体" w:hAnsi="宋体"/>
          <w:color w:val="000000"/>
          <w:szCs w:val="21"/>
        </w:rPr>
        <w:t>（项目名称）</w:t>
      </w:r>
      <w:r>
        <w:rPr>
          <w:rFonts w:hint="eastAsia" w:ascii="宋体" w:hAnsi="宋体"/>
          <w:color w:val="000000"/>
          <w:szCs w:val="21"/>
        </w:rPr>
        <w:t>工程总承包</w:t>
      </w:r>
      <w:r>
        <w:rPr>
          <w:rFonts w:ascii="宋体" w:hAnsi="宋体"/>
          <w:color w:val="000000"/>
          <w:szCs w:val="21"/>
        </w:rPr>
        <w:t>招标文件的全部内容，</w:t>
      </w:r>
      <w:r>
        <w:rPr>
          <w:rFonts w:hint="eastAsia" w:ascii="宋体" w:hAnsi="宋体"/>
          <w:color w:val="000000"/>
          <w:szCs w:val="21"/>
        </w:rPr>
        <w:t>愿意以人民币（大写）</w:t>
      </w:r>
      <w:r>
        <w:rPr>
          <w:rFonts w:hint="eastAsia" w:ascii="宋体" w:hAnsi="宋体"/>
          <w:color w:val="000000"/>
          <w:szCs w:val="21"/>
          <w:u w:val="single"/>
        </w:rPr>
        <w:t xml:space="preserve">       </w:t>
      </w:r>
      <w:r>
        <w:rPr>
          <w:rFonts w:hint="eastAsia" w:ascii="宋体" w:hAnsi="宋体"/>
          <w:color w:val="000000"/>
          <w:szCs w:val="21"/>
        </w:rPr>
        <w:t>（¥</w:t>
      </w:r>
      <w:r>
        <w:rPr>
          <w:rFonts w:hint="eastAsia" w:ascii="宋体" w:hAnsi="宋体"/>
          <w:color w:val="000000"/>
          <w:szCs w:val="21"/>
          <w:u w:val="single"/>
        </w:rPr>
        <w:t xml:space="preserve">       </w:t>
      </w:r>
      <w:r>
        <w:rPr>
          <w:rFonts w:hint="eastAsia" w:ascii="宋体" w:hAnsi="宋体"/>
          <w:color w:val="000000"/>
          <w:szCs w:val="21"/>
        </w:rPr>
        <w:t xml:space="preserve">）的投标总报价【其中：设计费报价为： </w:t>
      </w:r>
      <w:r>
        <w:rPr>
          <w:rFonts w:hint="eastAsia" w:ascii="宋体" w:hAnsi="宋体"/>
          <w:color w:val="000000"/>
          <w:szCs w:val="21"/>
          <w:u w:val="single"/>
        </w:rPr>
        <w:t xml:space="preserve">       </w:t>
      </w:r>
      <w:r>
        <w:rPr>
          <w:rFonts w:hint="eastAsia" w:ascii="宋体" w:hAnsi="宋体"/>
          <w:color w:val="000000"/>
          <w:szCs w:val="21"/>
        </w:rPr>
        <w:t xml:space="preserve"> 元，建筑安装工程费报价为：</w:t>
      </w:r>
      <w:r>
        <w:rPr>
          <w:rFonts w:hint="eastAsia" w:ascii="宋体" w:hAnsi="宋体"/>
          <w:color w:val="000000"/>
          <w:szCs w:val="21"/>
          <w:u w:val="single"/>
        </w:rPr>
        <w:t xml:space="preserve">        </w:t>
      </w:r>
      <w:r>
        <w:rPr>
          <w:rFonts w:hint="eastAsia" w:ascii="宋体" w:hAnsi="宋体"/>
          <w:color w:val="000000"/>
          <w:szCs w:val="21"/>
        </w:rPr>
        <w:t xml:space="preserve"> 元，建筑安装工程费中：暂估价为：</w:t>
      </w:r>
      <w:r>
        <w:rPr>
          <w:rFonts w:hint="eastAsia" w:ascii="宋体" w:hAnsi="宋体"/>
          <w:color w:val="000000"/>
          <w:szCs w:val="21"/>
          <w:u w:val="single"/>
        </w:rPr>
        <w:t xml:space="preserve">         </w:t>
      </w:r>
      <w:r>
        <w:rPr>
          <w:rFonts w:hint="eastAsia" w:ascii="宋体" w:hAnsi="宋体"/>
          <w:color w:val="000000"/>
          <w:szCs w:val="21"/>
        </w:rPr>
        <w:t>元（如有），暂列费用报价为：</w:t>
      </w:r>
      <w:r>
        <w:rPr>
          <w:rFonts w:hint="eastAsia" w:ascii="宋体" w:hAnsi="宋体"/>
          <w:color w:val="000000"/>
          <w:szCs w:val="21"/>
          <w:u w:val="single"/>
        </w:rPr>
        <w:t xml:space="preserve">        </w:t>
      </w:r>
      <w:r>
        <w:rPr>
          <w:rFonts w:hint="eastAsia" w:ascii="宋体" w:hAnsi="宋体"/>
          <w:color w:val="000000"/>
          <w:szCs w:val="21"/>
        </w:rPr>
        <w:t xml:space="preserve"> 元（如有）】进行本项目投标。项目建设工期</w:t>
      </w:r>
      <w:r>
        <w:rPr>
          <w:rFonts w:hint="eastAsia" w:ascii="宋体" w:hAnsi="宋体"/>
          <w:color w:val="000000"/>
          <w:szCs w:val="21"/>
          <w:u w:val="single"/>
        </w:rPr>
        <w:t xml:space="preserve">      </w:t>
      </w:r>
      <w:r>
        <w:rPr>
          <w:rFonts w:hint="eastAsia" w:ascii="宋体" w:hAnsi="宋体"/>
          <w:color w:val="000000"/>
          <w:szCs w:val="21"/>
        </w:rPr>
        <w:t xml:space="preserve"> 日历天（</w:t>
      </w:r>
      <w:r>
        <w:rPr>
          <w:rFonts w:hint="eastAsia"/>
          <w:color w:val="000000"/>
          <w:szCs w:val="21"/>
        </w:rPr>
        <w:t>设计工期为</w:t>
      </w:r>
      <w:r>
        <w:rPr>
          <w:rFonts w:hint="eastAsia"/>
          <w:color w:val="000000"/>
          <w:szCs w:val="21"/>
          <w:u w:val="single"/>
        </w:rPr>
        <w:t xml:space="preserve">    </w:t>
      </w:r>
      <w:r>
        <w:rPr>
          <w:rFonts w:hint="eastAsia"/>
          <w:color w:val="000000"/>
          <w:szCs w:val="21"/>
        </w:rPr>
        <w:t>日历天，施工工期为</w:t>
      </w:r>
      <w:r>
        <w:rPr>
          <w:rFonts w:hint="eastAsia"/>
          <w:color w:val="000000"/>
          <w:szCs w:val="21"/>
          <w:u w:val="single"/>
        </w:rPr>
        <w:t xml:space="preserve">    </w:t>
      </w:r>
      <w:r>
        <w:rPr>
          <w:rFonts w:hint="eastAsia"/>
          <w:color w:val="000000"/>
          <w:szCs w:val="21"/>
        </w:rPr>
        <w:t>日历天</w:t>
      </w:r>
      <w:r>
        <w:rPr>
          <w:rFonts w:hint="eastAsia" w:ascii="宋体" w:hAnsi="宋体"/>
          <w:color w:val="000000"/>
          <w:szCs w:val="21"/>
        </w:rPr>
        <w:t xml:space="preserve">），工程质量标准 </w:t>
      </w:r>
      <w:r>
        <w:rPr>
          <w:rFonts w:hint="eastAsia" w:ascii="宋体" w:hAnsi="宋体"/>
          <w:color w:val="000000"/>
          <w:szCs w:val="21"/>
          <w:u w:val="single"/>
        </w:rPr>
        <w:t xml:space="preserve">     </w:t>
      </w:r>
      <w:r>
        <w:rPr>
          <w:rFonts w:hint="eastAsia" w:ascii="宋体" w:hAnsi="宋体"/>
          <w:color w:val="000000"/>
          <w:szCs w:val="21"/>
        </w:rPr>
        <w:t>。我方愿意按合同约定进行设计、实施和竣工承包工程，修补工程中的任何缺陷，实现工程目的。</w:t>
      </w:r>
    </w:p>
    <w:p>
      <w:pPr>
        <w:spacing w:line="400" w:lineRule="exact"/>
        <w:ind w:firstLine="420" w:firstLineChars="200"/>
        <w:rPr>
          <w:rFonts w:ascii="宋体" w:hAnsi="宋体"/>
          <w:color w:val="000000"/>
          <w:szCs w:val="21"/>
        </w:rPr>
      </w:pPr>
      <w:r>
        <w:rPr>
          <w:rFonts w:ascii="宋体" w:hAnsi="宋体"/>
          <w:color w:val="000000"/>
          <w:szCs w:val="21"/>
        </w:rPr>
        <w:t>2．我方承诺在</w:t>
      </w:r>
      <w:r>
        <w:rPr>
          <w:rFonts w:hint="eastAsia" w:ascii="宋体" w:hAnsi="宋体"/>
          <w:color w:val="000000"/>
          <w:szCs w:val="21"/>
        </w:rPr>
        <w:t>招标文件规定的</w:t>
      </w:r>
      <w:r>
        <w:rPr>
          <w:rFonts w:ascii="宋体" w:hAnsi="宋体"/>
          <w:color w:val="000000"/>
          <w:szCs w:val="21"/>
        </w:rPr>
        <w:t>投标有效期内不修改、撤销投标文件</w:t>
      </w:r>
      <w:r>
        <w:rPr>
          <w:rFonts w:hint="eastAsia" w:ascii="宋体" w:hAnsi="宋体"/>
          <w:color w:val="000000"/>
          <w:szCs w:val="21"/>
        </w:rPr>
        <w:t>。</w:t>
      </w:r>
    </w:p>
    <w:p>
      <w:pPr>
        <w:spacing w:line="400" w:lineRule="exact"/>
        <w:ind w:firstLine="420" w:firstLineChars="200"/>
        <w:rPr>
          <w:rFonts w:ascii="宋体" w:hAnsi="宋体"/>
          <w:color w:val="000000"/>
          <w:szCs w:val="21"/>
        </w:rPr>
      </w:pPr>
      <w:r>
        <w:rPr>
          <w:rFonts w:ascii="宋体" w:hAnsi="宋体"/>
          <w:color w:val="000000"/>
          <w:szCs w:val="21"/>
        </w:rPr>
        <w:t>3．随同本投标函提交投标保证金一份，金额为人民币（大写）</w:t>
      </w:r>
      <w:r>
        <w:rPr>
          <w:rFonts w:ascii="宋体" w:hAnsi="宋体"/>
          <w:color w:val="000000"/>
          <w:szCs w:val="21"/>
          <w:u w:val="single"/>
        </w:rPr>
        <w:t xml:space="preserve">        </w:t>
      </w:r>
      <w:r>
        <w:rPr>
          <w:rFonts w:ascii="宋体" w:hAnsi="宋体"/>
          <w:color w:val="000000"/>
          <w:szCs w:val="21"/>
        </w:rPr>
        <w:t>（¥</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p>
    <w:p>
      <w:pPr>
        <w:spacing w:line="400" w:lineRule="exact"/>
        <w:ind w:firstLine="420" w:firstLineChars="200"/>
        <w:rPr>
          <w:rFonts w:ascii="宋体" w:hAnsi="宋体"/>
          <w:color w:val="000000"/>
          <w:szCs w:val="21"/>
        </w:rPr>
      </w:pPr>
      <w:r>
        <w:rPr>
          <w:rFonts w:ascii="宋体" w:hAnsi="宋体"/>
          <w:color w:val="000000"/>
          <w:szCs w:val="21"/>
        </w:rPr>
        <w:t>4．如我方中标：</w:t>
      </w:r>
    </w:p>
    <w:p>
      <w:pPr>
        <w:spacing w:line="400" w:lineRule="exact"/>
        <w:ind w:firstLine="718" w:firstLineChars="342"/>
        <w:rPr>
          <w:rFonts w:ascii="宋体" w:hAnsi="宋体"/>
          <w:color w:val="000000"/>
          <w:szCs w:val="21"/>
        </w:rPr>
      </w:pPr>
      <w:r>
        <w:rPr>
          <w:rFonts w:ascii="宋体" w:hAnsi="宋体"/>
          <w:color w:val="000000"/>
          <w:szCs w:val="21"/>
        </w:rPr>
        <w:t>（1）我方承诺在收到中标通知书后，在中标通知书规定的期限内与你方签订合同。</w:t>
      </w:r>
    </w:p>
    <w:p>
      <w:pPr>
        <w:spacing w:line="400" w:lineRule="exact"/>
        <w:ind w:firstLine="718" w:firstLineChars="342"/>
        <w:rPr>
          <w:rFonts w:ascii="宋体" w:hAnsi="宋体"/>
          <w:color w:val="000000"/>
          <w:szCs w:val="21"/>
        </w:rPr>
      </w:pPr>
      <w:r>
        <w:rPr>
          <w:rFonts w:ascii="宋体" w:hAnsi="宋体"/>
          <w:color w:val="000000"/>
          <w:szCs w:val="21"/>
        </w:rPr>
        <w:t>（2）随同本投标函递交的投标函附录属于合同文件的组成部分。</w:t>
      </w:r>
    </w:p>
    <w:p>
      <w:pPr>
        <w:spacing w:line="400" w:lineRule="exact"/>
        <w:ind w:firstLine="718" w:firstLineChars="342"/>
        <w:rPr>
          <w:rFonts w:ascii="宋体" w:hAnsi="宋体"/>
          <w:color w:val="000000"/>
          <w:szCs w:val="21"/>
        </w:rPr>
      </w:pPr>
      <w:r>
        <w:rPr>
          <w:rFonts w:ascii="宋体" w:hAnsi="宋体"/>
          <w:color w:val="000000"/>
          <w:szCs w:val="21"/>
        </w:rPr>
        <w:t>（3）我方承诺按照招标文件规定向你方递交履约</w:t>
      </w:r>
      <w:r>
        <w:rPr>
          <w:rFonts w:hint="eastAsia" w:ascii="宋体" w:hAnsi="宋体"/>
          <w:color w:val="000000"/>
          <w:szCs w:val="21"/>
        </w:rPr>
        <w:t>保证金</w:t>
      </w:r>
      <w:r>
        <w:rPr>
          <w:rFonts w:ascii="宋体" w:hAnsi="宋体"/>
          <w:color w:val="000000"/>
          <w:szCs w:val="21"/>
        </w:rPr>
        <w:t>。</w:t>
      </w:r>
    </w:p>
    <w:p>
      <w:pPr>
        <w:spacing w:line="400" w:lineRule="exact"/>
        <w:ind w:firstLine="718" w:firstLineChars="342"/>
        <w:rPr>
          <w:rFonts w:ascii="宋体" w:hAnsi="宋体"/>
          <w:color w:val="000000"/>
          <w:szCs w:val="21"/>
        </w:rPr>
      </w:pPr>
      <w:r>
        <w:rPr>
          <w:rFonts w:ascii="宋体" w:hAnsi="宋体"/>
          <w:color w:val="000000"/>
          <w:szCs w:val="21"/>
        </w:rPr>
        <w:t>（4）我方承诺在合同约定的期限内完成并移交全部合同工程。</w:t>
      </w:r>
    </w:p>
    <w:p>
      <w:pPr>
        <w:spacing w:line="400" w:lineRule="exact"/>
        <w:ind w:firstLine="420" w:firstLineChars="200"/>
        <w:rPr>
          <w:rFonts w:ascii="宋体" w:hAnsi="宋体"/>
          <w:color w:val="000000"/>
          <w:szCs w:val="21"/>
        </w:rPr>
      </w:pPr>
      <w:r>
        <w:rPr>
          <w:rFonts w:ascii="宋体" w:hAnsi="宋体"/>
          <w:color w:val="000000"/>
          <w:szCs w:val="21"/>
        </w:rPr>
        <w:t>5．</w:t>
      </w:r>
      <w:r>
        <w:rPr>
          <w:rFonts w:hint="eastAsia" w:ascii="宋体" w:hAnsi="宋体"/>
          <w:color w:val="000000"/>
        </w:rPr>
        <w:t>我方在此声明，所递交的投标文件及有关资料内容完整、真实和准确。</w:t>
      </w:r>
    </w:p>
    <w:p>
      <w:pPr>
        <w:spacing w:line="400" w:lineRule="exact"/>
        <w:ind w:firstLine="420" w:firstLineChars="200"/>
        <w:rPr>
          <w:rFonts w:ascii="宋体" w:hAnsi="宋体"/>
          <w:color w:val="000000"/>
          <w:szCs w:val="21"/>
        </w:rPr>
      </w:pPr>
      <w:r>
        <w:rPr>
          <w:rFonts w:hint="eastAsia" w:ascii="宋体" w:hAnsi="宋体"/>
          <w:color w:val="000000"/>
          <w:szCs w:val="21"/>
        </w:rPr>
        <w:t>6．</w:t>
      </w:r>
      <w:r>
        <w:rPr>
          <w:rFonts w:ascii="宋体" w:hAnsi="宋体"/>
          <w:color w:val="000000"/>
          <w:szCs w:val="21"/>
          <w:u w:val="single"/>
        </w:rPr>
        <w:t xml:space="preserve">                                       </w:t>
      </w:r>
      <w:r>
        <w:rPr>
          <w:rFonts w:ascii="宋体" w:hAnsi="宋体"/>
          <w:color w:val="000000"/>
          <w:szCs w:val="21"/>
        </w:rPr>
        <w:t>（</w:t>
      </w:r>
      <w:r>
        <w:rPr>
          <w:rFonts w:hint="eastAsia" w:ascii="宋体" w:hAnsi="宋体"/>
          <w:color w:val="000000"/>
          <w:szCs w:val="21"/>
        </w:rPr>
        <w:t>其他</w:t>
      </w:r>
      <w:r>
        <w:rPr>
          <w:rFonts w:ascii="宋体" w:hAnsi="宋体"/>
          <w:color w:val="000000"/>
          <w:szCs w:val="21"/>
        </w:rPr>
        <w:t>补充说明</w:t>
      </w:r>
      <w:r>
        <w:rPr>
          <w:rFonts w:hint="eastAsia" w:ascii="宋体" w:hAnsi="宋体"/>
          <w:color w:val="000000"/>
          <w:szCs w:val="21"/>
        </w:rPr>
        <w:t>，有则填写</w:t>
      </w:r>
      <w:r>
        <w:rPr>
          <w:rFonts w:ascii="宋体" w:hAnsi="宋体"/>
          <w:color w:val="000000"/>
          <w:szCs w:val="21"/>
        </w:rPr>
        <w:t>）。</w:t>
      </w:r>
    </w:p>
    <w:p>
      <w:pPr>
        <w:spacing w:line="400" w:lineRule="exact"/>
        <w:ind w:left="-420" w:leftChars="-200" w:right="-840" w:rightChars="-400"/>
        <w:rPr>
          <w:rFonts w:hint="eastAsia" w:ascii="宋体" w:hAnsi="宋体"/>
          <w:color w:val="000000"/>
        </w:rPr>
      </w:pPr>
    </w:p>
    <w:p>
      <w:pPr>
        <w:spacing w:line="400" w:lineRule="exact"/>
        <w:ind w:left="-420" w:leftChars="-200" w:right="-840" w:rightChars="-400"/>
        <w:rPr>
          <w:rFonts w:hint="eastAsia" w:ascii="宋体" w:hAnsi="宋体"/>
          <w:color w:val="000000"/>
        </w:rPr>
      </w:pPr>
    </w:p>
    <w:p>
      <w:pPr>
        <w:spacing w:line="400" w:lineRule="exact"/>
        <w:ind w:left="-420" w:leftChars="-200" w:right="-840" w:rightChars="-400"/>
        <w:rPr>
          <w:rFonts w:hint="eastAsia" w:ascii="宋体" w:hAnsi="宋体"/>
          <w:color w:val="000000"/>
        </w:rPr>
      </w:pPr>
      <w:r>
        <w:rPr>
          <w:rFonts w:hint="eastAsia" w:ascii="宋体" w:hAnsi="宋体"/>
          <w:color w:val="000000"/>
        </w:rPr>
        <w:t xml:space="preserve">                     投标</w:t>
      </w:r>
      <w:r>
        <w:rPr>
          <w:rFonts w:ascii="宋体" w:hAnsi="宋体"/>
          <w:color w:val="000000"/>
        </w:rPr>
        <w:t>人：</w:t>
      </w:r>
      <w:r>
        <w:rPr>
          <w:rFonts w:hint="eastAsia" w:ascii="宋体" w:hAnsi="宋体"/>
          <w:color w:val="000000"/>
          <w:u w:val="single"/>
        </w:rPr>
        <w:t xml:space="preserve"> </w:t>
      </w:r>
      <w:r>
        <w:rPr>
          <w:rFonts w:hint="eastAsia" w:ascii="宋体" w:hAnsi="宋体"/>
          <w:b/>
          <w:color w:val="000000"/>
          <w:u w:val="single"/>
        </w:rPr>
        <w:t xml:space="preserve">                        </w:t>
      </w:r>
      <w:r>
        <w:rPr>
          <w:rFonts w:ascii="宋体" w:hAnsi="宋体"/>
          <w:color w:val="000000"/>
          <w:u w:val="single"/>
        </w:rPr>
        <w:t xml:space="preserve"> </w:t>
      </w:r>
      <w:r>
        <w:rPr>
          <w:rFonts w:ascii="宋体" w:hAnsi="宋体"/>
          <w:color w:val="000000"/>
        </w:rPr>
        <w:t>（盖单位章）</w:t>
      </w:r>
      <w:r>
        <w:rPr>
          <w:rFonts w:hint="eastAsia" w:ascii="宋体" w:hAnsi="宋体"/>
          <w:color w:val="000000"/>
        </w:rPr>
        <w:t xml:space="preserve">    </w:t>
      </w:r>
    </w:p>
    <w:p>
      <w:pPr>
        <w:spacing w:line="400" w:lineRule="exact"/>
        <w:ind w:left="-420" w:leftChars="-200" w:right="-840" w:rightChars="-400"/>
        <w:rPr>
          <w:rFonts w:hint="eastAsia" w:ascii="宋体" w:hAnsi="宋体"/>
          <w:color w:val="000000"/>
        </w:rPr>
      </w:pPr>
      <w:r>
        <w:rPr>
          <w:rFonts w:hint="eastAsia" w:ascii="宋体" w:hAnsi="宋体"/>
          <w:color w:val="000000"/>
        </w:rPr>
        <w:t xml:space="preserve">                    </w:t>
      </w:r>
    </w:p>
    <w:p>
      <w:pPr>
        <w:spacing w:line="360" w:lineRule="auto"/>
        <w:ind w:left="1000" w:leftChars="476"/>
        <w:rPr>
          <w:rFonts w:hint="eastAsia"/>
          <w:color w:val="000000"/>
        </w:rPr>
      </w:pPr>
      <w:r>
        <w:rPr>
          <w:rFonts w:hint="eastAsia"/>
          <w:color w:val="000000"/>
        </w:rPr>
        <w:t xml:space="preserve">       </w:t>
      </w:r>
      <w:r>
        <w:rPr>
          <w:color w:val="000000"/>
        </w:rPr>
        <w:t>邮政编码：</w:t>
      </w:r>
      <w:r>
        <w:rPr>
          <w:rFonts w:hint="eastAsia"/>
          <w:color w:val="000000"/>
          <w:u w:val="single"/>
        </w:rPr>
        <w:t xml:space="preserve">          </w:t>
      </w:r>
      <w:r>
        <w:rPr>
          <w:color w:val="000000"/>
        </w:rPr>
        <w:t>电话：</w:t>
      </w:r>
      <w:r>
        <w:rPr>
          <w:rFonts w:hint="eastAsia"/>
          <w:color w:val="000000"/>
          <w:u w:val="single"/>
        </w:rPr>
        <w:t xml:space="preserve">         </w:t>
      </w:r>
      <w:r>
        <w:rPr>
          <w:color w:val="000000"/>
        </w:rPr>
        <w:t xml:space="preserve"> 传真：</w:t>
      </w:r>
      <w:r>
        <w:rPr>
          <w:rFonts w:hint="eastAsia"/>
          <w:color w:val="000000"/>
          <w:u w:val="single"/>
        </w:rPr>
        <w:t xml:space="preserve">          </w:t>
      </w:r>
    </w:p>
    <w:p>
      <w:pPr>
        <w:spacing w:line="400" w:lineRule="exact"/>
        <w:ind w:left="-420" w:leftChars="-200" w:right="-840" w:rightChars="-400"/>
        <w:rPr>
          <w:rFonts w:hint="eastAsia" w:ascii="宋体" w:hAnsi="宋体"/>
          <w:color w:val="000000"/>
        </w:rPr>
      </w:pPr>
      <w:r>
        <w:rPr>
          <w:rFonts w:hint="eastAsia" w:ascii="宋体" w:hAnsi="宋体"/>
          <w:color w:val="000000"/>
        </w:rPr>
        <w:t xml:space="preserve">                     </w:t>
      </w:r>
      <w:r>
        <w:rPr>
          <w:color w:val="000000"/>
        </w:rPr>
        <w:t>开户银行名称</w:t>
      </w:r>
      <w:r>
        <w:rPr>
          <w:rFonts w:ascii="宋体" w:hAnsi="宋体"/>
          <w:color w:val="000000"/>
        </w:rPr>
        <w:t>：</w:t>
      </w:r>
      <w:r>
        <w:rPr>
          <w:rFonts w:hint="eastAsia" w:ascii="宋体" w:hAnsi="宋体"/>
          <w:color w:val="000000"/>
          <w:u w:val="single"/>
        </w:rPr>
        <w:t xml:space="preserve">                                    </w:t>
      </w:r>
      <w:r>
        <w:rPr>
          <w:rFonts w:hint="eastAsia" w:ascii="宋体" w:hAnsi="宋体"/>
          <w:color w:val="000000"/>
        </w:rPr>
        <w:t xml:space="preserve">        </w:t>
      </w:r>
    </w:p>
    <w:p>
      <w:pPr>
        <w:spacing w:line="400" w:lineRule="exact"/>
        <w:ind w:left="-420" w:leftChars="-200" w:right="-840" w:rightChars="-400"/>
        <w:rPr>
          <w:rFonts w:hint="eastAsia" w:ascii="宋体" w:hAnsi="宋体"/>
          <w:color w:val="000000"/>
        </w:rPr>
      </w:pPr>
      <w:r>
        <w:rPr>
          <w:rFonts w:hint="eastAsia" w:ascii="宋体" w:hAnsi="宋体"/>
          <w:color w:val="000000"/>
        </w:rPr>
        <w:t xml:space="preserve">                     </w:t>
      </w:r>
      <w:r>
        <w:rPr>
          <w:color w:val="000000"/>
        </w:rPr>
        <w:t>开户银行账号</w:t>
      </w:r>
      <w:r>
        <w:rPr>
          <w:rFonts w:ascii="宋体" w:hAnsi="宋体"/>
          <w:color w:val="000000"/>
        </w:rPr>
        <w:t>：</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rPr>
        <w:t xml:space="preserve">     </w:t>
      </w:r>
    </w:p>
    <w:p>
      <w:pPr>
        <w:spacing w:line="400" w:lineRule="exact"/>
        <w:ind w:left="-420" w:leftChars="-200" w:right="-840" w:rightChars="-400"/>
        <w:rPr>
          <w:rFonts w:hint="eastAsia" w:ascii="宋体" w:hAnsi="宋体"/>
          <w:color w:val="000000"/>
        </w:rPr>
      </w:pPr>
      <w:r>
        <w:rPr>
          <w:rFonts w:hint="eastAsia" w:ascii="宋体" w:hAnsi="宋体"/>
          <w:color w:val="000000"/>
        </w:rPr>
        <w:t xml:space="preserve">                     </w:t>
      </w:r>
      <w:r>
        <w:rPr>
          <w:color w:val="000000"/>
        </w:rPr>
        <w:t>开户银行地址</w:t>
      </w:r>
      <w:r>
        <w:rPr>
          <w:rFonts w:ascii="宋体" w:hAnsi="宋体"/>
          <w:color w:val="000000"/>
        </w:rPr>
        <w:t>：</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p>
    <w:p>
      <w:pPr>
        <w:spacing w:line="400" w:lineRule="exact"/>
        <w:ind w:left="-420" w:leftChars="-200" w:right="-840" w:rightChars="-400"/>
        <w:rPr>
          <w:rFonts w:hint="eastAsia" w:ascii="宋体" w:hAnsi="宋体"/>
          <w:color w:val="000000"/>
        </w:rPr>
      </w:pPr>
      <w:r>
        <w:rPr>
          <w:rFonts w:hint="eastAsia" w:ascii="宋体" w:hAnsi="宋体"/>
          <w:color w:val="000000"/>
        </w:rPr>
        <w:t xml:space="preserve">                     </w:t>
      </w:r>
      <w:r>
        <w:rPr>
          <w:color w:val="000000"/>
        </w:rPr>
        <w:t>开户银行电话</w:t>
      </w:r>
      <w:r>
        <w:rPr>
          <w:rFonts w:ascii="宋体" w:hAnsi="宋体"/>
          <w:color w:val="000000"/>
        </w:rPr>
        <w:t>：</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u w:val="single"/>
        </w:rPr>
        <w:t xml:space="preserve">     </w:t>
      </w:r>
      <w:r>
        <w:rPr>
          <w:rFonts w:hint="eastAsia" w:ascii="宋体" w:hAnsi="宋体"/>
          <w:color w:val="000000"/>
        </w:rPr>
        <w:t xml:space="preserve">       </w:t>
      </w:r>
    </w:p>
    <w:p>
      <w:pPr>
        <w:spacing w:line="400" w:lineRule="exact"/>
        <w:ind w:left="-420" w:leftChars="-200" w:right="-840" w:rightChars="-400"/>
        <w:rPr>
          <w:rFonts w:ascii="宋体" w:hAnsi="宋体"/>
          <w:color w:val="000000"/>
        </w:rPr>
      </w:pPr>
      <w:r>
        <w:rPr>
          <w:rFonts w:hint="eastAsia" w:ascii="宋体" w:hAnsi="宋体"/>
          <w:color w:val="000000"/>
        </w:rPr>
        <w:t xml:space="preserve">                     日期：</w:t>
      </w:r>
      <w:r>
        <w:rPr>
          <w:rFonts w:hint="eastAsia" w:ascii="宋体" w:hAnsi="宋体"/>
          <w:color w:val="000000"/>
          <w:u w:val="single"/>
        </w:rPr>
        <w:t xml:space="preserve">       </w:t>
      </w:r>
      <w:r>
        <w:rPr>
          <w:rFonts w:ascii="宋体" w:hAnsi="宋体"/>
          <w:color w:val="000000"/>
        </w:rPr>
        <w:t>年</w:t>
      </w:r>
      <w:r>
        <w:rPr>
          <w:rFonts w:hint="eastAsia" w:ascii="宋体" w:hAnsi="宋体"/>
          <w:color w:val="000000"/>
          <w:u w:val="single"/>
        </w:rPr>
        <w:t xml:space="preserve">        </w:t>
      </w:r>
      <w:r>
        <w:rPr>
          <w:rFonts w:ascii="宋体" w:hAnsi="宋体"/>
          <w:color w:val="000000"/>
        </w:rPr>
        <w:t>月</w:t>
      </w:r>
      <w:r>
        <w:rPr>
          <w:rFonts w:hint="eastAsia" w:ascii="宋体" w:hAnsi="宋体"/>
          <w:color w:val="000000"/>
          <w:u w:val="single"/>
        </w:rPr>
        <w:t xml:space="preserve">        </w:t>
      </w:r>
      <w:r>
        <w:rPr>
          <w:rFonts w:ascii="宋体" w:hAnsi="宋体"/>
          <w:color w:val="000000"/>
        </w:rPr>
        <w:t>日</w:t>
      </w:r>
    </w:p>
    <w:p>
      <w:pPr>
        <w:pStyle w:val="4"/>
        <w:jc w:val="center"/>
        <w:rPr>
          <w:rFonts w:hint="eastAsia" w:ascii="宋体" w:hAnsi="宋体"/>
          <w:b w:val="0"/>
          <w:color w:val="000000"/>
          <w:sz w:val="28"/>
          <w:szCs w:val="28"/>
        </w:rPr>
      </w:pPr>
      <w:r>
        <w:rPr>
          <w:rFonts w:ascii="宋体" w:hAnsi="宋体"/>
          <w:color w:val="000000"/>
        </w:rPr>
        <w:br w:type="page"/>
      </w:r>
      <w:bookmarkStart w:id="1758" w:name="_Toc404006884"/>
      <w:bookmarkStart w:id="1759" w:name="_Toc59203268"/>
      <w:bookmarkStart w:id="1760" w:name="_Toc402532187"/>
      <w:r>
        <w:rPr>
          <w:rFonts w:hint="eastAsia"/>
          <w:color w:val="000000"/>
          <w:sz w:val="30"/>
          <w:szCs w:val="30"/>
        </w:rPr>
        <w:t>1</w:t>
      </w:r>
      <w:r>
        <w:rPr>
          <w:color w:val="000000"/>
          <w:sz w:val="30"/>
          <w:szCs w:val="30"/>
        </w:rPr>
        <w:t>、投标函</w:t>
      </w:r>
      <w:r>
        <w:rPr>
          <w:rFonts w:hint="eastAsia"/>
          <w:color w:val="000000"/>
          <w:sz w:val="30"/>
          <w:szCs w:val="30"/>
        </w:rPr>
        <w:t>（联合体格式）</w:t>
      </w:r>
      <w:bookmarkEnd w:id="1758"/>
      <w:bookmarkEnd w:id="1759"/>
      <w:bookmarkEnd w:id="1760"/>
    </w:p>
    <w:p>
      <w:pPr>
        <w:jc w:val="center"/>
        <w:rPr>
          <w:rFonts w:hint="eastAsia"/>
          <w:color w:val="000000"/>
        </w:rPr>
      </w:pPr>
    </w:p>
    <w:p>
      <w:pPr>
        <w:spacing w:line="400" w:lineRule="exact"/>
        <w:rPr>
          <w:rFonts w:ascii="宋体" w:hAnsi="宋体"/>
          <w:color w:val="000000"/>
          <w:szCs w:val="21"/>
        </w:rPr>
      </w:pPr>
      <w:r>
        <w:rPr>
          <w:rFonts w:ascii="宋体" w:hAnsi="宋体"/>
          <w:color w:val="000000"/>
          <w:szCs w:val="21"/>
          <w:u w:val="single"/>
        </w:rPr>
        <w:t xml:space="preserve">                        </w:t>
      </w:r>
      <w:r>
        <w:rPr>
          <w:rFonts w:ascii="宋体" w:hAnsi="宋体"/>
          <w:color w:val="000000"/>
          <w:szCs w:val="21"/>
        </w:rPr>
        <w:t>（招标人名称）：</w:t>
      </w:r>
    </w:p>
    <w:p>
      <w:pPr>
        <w:spacing w:line="400" w:lineRule="exact"/>
        <w:ind w:firstLine="420" w:firstLineChars="200"/>
        <w:rPr>
          <w:rFonts w:hint="eastAsia" w:ascii="宋体" w:hAnsi="宋体"/>
          <w:color w:val="000000"/>
          <w:szCs w:val="21"/>
        </w:rPr>
      </w:pPr>
      <w:r>
        <w:rPr>
          <w:rFonts w:ascii="宋体" w:hAnsi="宋体"/>
          <w:color w:val="000000"/>
          <w:szCs w:val="21"/>
        </w:rPr>
        <w:t>1．我方已仔细研究了</w:t>
      </w:r>
      <w:r>
        <w:rPr>
          <w:rFonts w:hint="eastAsia" w:ascii="宋体" w:hAnsi="宋体"/>
          <w:color w:val="000000"/>
          <w:szCs w:val="21"/>
        </w:rPr>
        <w:t>你方项目招标标号为（</w:t>
      </w:r>
      <w:r>
        <w:rPr>
          <w:color w:val="000000"/>
          <w:u w:val="single"/>
        </w:rPr>
        <w:t>项目</w:t>
      </w:r>
      <w:r>
        <w:rPr>
          <w:rFonts w:hint="eastAsia"/>
          <w:color w:val="000000"/>
          <w:u w:val="single"/>
        </w:rPr>
        <w:t>招标</w:t>
      </w:r>
      <w:r>
        <w:rPr>
          <w:color w:val="000000"/>
          <w:u w:val="single"/>
        </w:rPr>
        <w:t>编号</w:t>
      </w:r>
      <w:r>
        <w:rPr>
          <w:rFonts w:hint="eastAsia" w:ascii="宋体" w:hAnsi="宋体"/>
          <w:color w:val="000000"/>
          <w:szCs w:val="21"/>
        </w:rPr>
        <w:t>）的</w:t>
      </w:r>
      <w:r>
        <w:rPr>
          <w:rFonts w:ascii="宋体" w:hAnsi="宋体"/>
          <w:color w:val="000000"/>
          <w:szCs w:val="21"/>
          <w:u w:val="single"/>
        </w:rPr>
        <w:t xml:space="preserve">         </w:t>
      </w:r>
      <w:r>
        <w:rPr>
          <w:rFonts w:ascii="宋体" w:hAnsi="宋体"/>
          <w:color w:val="000000"/>
          <w:szCs w:val="21"/>
        </w:rPr>
        <w:t>（项目名称）</w:t>
      </w:r>
      <w:r>
        <w:rPr>
          <w:rFonts w:hint="eastAsia" w:ascii="宋体" w:hAnsi="宋体"/>
          <w:color w:val="000000"/>
          <w:szCs w:val="21"/>
        </w:rPr>
        <w:t>工程总承包</w:t>
      </w:r>
      <w:r>
        <w:rPr>
          <w:rFonts w:ascii="宋体" w:hAnsi="宋体"/>
          <w:color w:val="000000"/>
          <w:szCs w:val="21"/>
        </w:rPr>
        <w:t>招标文件的全部内容，</w:t>
      </w:r>
      <w:r>
        <w:rPr>
          <w:rFonts w:hint="eastAsia" w:ascii="宋体" w:hAnsi="宋体"/>
          <w:color w:val="000000"/>
          <w:szCs w:val="21"/>
        </w:rPr>
        <w:t>愿意以人民币（大写）</w:t>
      </w:r>
      <w:r>
        <w:rPr>
          <w:rFonts w:hint="eastAsia" w:ascii="宋体" w:hAnsi="宋体"/>
          <w:color w:val="000000"/>
          <w:szCs w:val="21"/>
          <w:u w:val="single"/>
        </w:rPr>
        <w:t xml:space="preserve">       </w:t>
      </w:r>
      <w:r>
        <w:rPr>
          <w:rFonts w:hint="eastAsia" w:ascii="宋体" w:hAnsi="宋体"/>
          <w:color w:val="000000"/>
          <w:szCs w:val="21"/>
        </w:rPr>
        <w:t>（¥</w:t>
      </w:r>
      <w:r>
        <w:rPr>
          <w:rFonts w:hint="eastAsia" w:ascii="宋体" w:hAnsi="宋体"/>
          <w:color w:val="000000"/>
          <w:szCs w:val="21"/>
          <w:u w:val="single"/>
        </w:rPr>
        <w:t xml:space="preserve">       </w:t>
      </w:r>
      <w:r>
        <w:rPr>
          <w:rFonts w:hint="eastAsia" w:ascii="宋体" w:hAnsi="宋体"/>
          <w:color w:val="000000"/>
          <w:szCs w:val="21"/>
        </w:rPr>
        <w:t xml:space="preserve">）的投标总报价【其中：设计费报价为： </w:t>
      </w:r>
      <w:r>
        <w:rPr>
          <w:rFonts w:hint="eastAsia" w:ascii="宋体" w:hAnsi="宋体"/>
          <w:color w:val="000000"/>
          <w:szCs w:val="21"/>
          <w:u w:val="single"/>
        </w:rPr>
        <w:t xml:space="preserve">       </w:t>
      </w:r>
      <w:r>
        <w:rPr>
          <w:rFonts w:hint="eastAsia" w:ascii="宋体" w:hAnsi="宋体"/>
          <w:color w:val="000000"/>
          <w:szCs w:val="21"/>
        </w:rPr>
        <w:t xml:space="preserve"> 元，建筑安装工程费报价为：</w:t>
      </w:r>
      <w:r>
        <w:rPr>
          <w:rFonts w:hint="eastAsia" w:ascii="宋体" w:hAnsi="宋体"/>
          <w:color w:val="000000"/>
          <w:szCs w:val="21"/>
          <w:u w:val="single"/>
        </w:rPr>
        <w:t xml:space="preserve">        </w:t>
      </w:r>
      <w:r>
        <w:rPr>
          <w:rFonts w:hint="eastAsia" w:ascii="宋体" w:hAnsi="宋体"/>
          <w:color w:val="000000"/>
          <w:szCs w:val="21"/>
        </w:rPr>
        <w:t xml:space="preserve"> 元，建筑安装工程费中：暂估价为：</w:t>
      </w:r>
      <w:r>
        <w:rPr>
          <w:rFonts w:hint="eastAsia" w:ascii="宋体" w:hAnsi="宋体"/>
          <w:color w:val="000000"/>
          <w:szCs w:val="21"/>
          <w:u w:val="single"/>
        </w:rPr>
        <w:t xml:space="preserve">         </w:t>
      </w:r>
      <w:r>
        <w:rPr>
          <w:rFonts w:hint="eastAsia" w:ascii="宋体" w:hAnsi="宋体"/>
          <w:color w:val="000000"/>
          <w:szCs w:val="21"/>
        </w:rPr>
        <w:t>元（如有），暂列费用报价为：</w:t>
      </w:r>
      <w:r>
        <w:rPr>
          <w:rFonts w:hint="eastAsia" w:ascii="宋体" w:hAnsi="宋体"/>
          <w:color w:val="000000"/>
          <w:szCs w:val="21"/>
          <w:u w:val="single"/>
        </w:rPr>
        <w:t xml:space="preserve">        </w:t>
      </w:r>
      <w:r>
        <w:rPr>
          <w:rFonts w:hint="eastAsia" w:ascii="宋体" w:hAnsi="宋体"/>
          <w:color w:val="000000"/>
          <w:szCs w:val="21"/>
        </w:rPr>
        <w:t xml:space="preserve"> 元（如有）】进行本项目投标。项目建设工期</w:t>
      </w:r>
      <w:r>
        <w:rPr>
          <w:rFonts w:hint="eastAsia" w:ascii="宋体" w:hAnsi="宋体"/>
          <w:color w:val="000000"/>
          <w:szCs w:val="21"/>
          <w:u w:val="single"/>
        </w:rPr>
        <w:t xml:space="preserve">      </w:t>
      </w:r>
      <w:r>
        <w:rPr>
          <w:rFonts w:hint="eastAsia" w:ascii="宋体" w:hAnsi="宋体"/>
          <w:color w:val="000000"/>
          <w:szCs w:val="21"/>
        </w:rPr>
        <w:t xml:space="preserve"> 日历天（</w:t>
      </w:r>
      <w:r>
        <w:rPr>
          <w:rFonts w:hint="eastAsia"/>
          <w:color w:val="000000"/>
          <w:szCs w:val="21"/>
        </w:rPr>
        <w:t>设计工期为</w:t>
      </w:r>
      <w:r>
        <w:rPr>
          <w:rFonts w:hint="eastAsia"/>
          <w:color w:val="000000"/>
          <w:szCs w:val="21"/>
          <w:u w:val="single"/>
        </w:rPr>
        <w:t xml:space="preserve">    </w:t>
      </w:r>
      <w:r>
        <w:rPr>
          <w:rFonts w:hint="eastAsia"/>
          <w:color w:val="000000"/>
          <w:szCs w:val="21"/>
        </w:rPr>
        <w:t>日历天，施工工期为</w:t>
      </w:r>
      <w:r>
        <w:rPr>
          <w:rFonts w:hint="eastAsia"/>
          <w:color w:val="000000"/>
          <w:szCs w:val="21"/>
          <w:u w:val="single"/>
        </w:rPr>
        <w:t xml:space="preserve">    </w:t>
      </w:r>
      <w:r>
        <w:rPr>
          <w:rFonts w:hint="eastAsia"/>
          <w:color w:val="000000"/>
          <w:szCs w:val="21"/>
        </w:rPr>
        <w:t>日历天</w:t>
      </w:r>
      <w:r>
        <w:rPr>
          <w:rFonts w:hint="eastAsia" w:ascii="宋体" w:hAnsi="宋体"/>
          <w:color w:val="000000"/>
          <w:szCs w:val="21"/>
        </w:rPr>
        <w:t xml:space="preserve">），工程质量标准 </w:t>
      </w:r>
      <w:r>
        <w:rPr>
          <w:rFonts w:hint="eastAsia" w:ascii="宋体" w:hAnsi="宋体"/>
          <w:color w:val="000000"/>
          <w:szCs w:val="21"/>
          <w:u w:val="single"/>
        </w:rPr>
        <w:t xml:space="preserve">     </w:t>
      </w:r>
      <w:r>
        <w:rPr>
          <w:rFonts w:hint="eastAsia" w:ascii="宋体" w:hAnsi="宋体"/>
          <w:color w:val="000000"/>
          <w:szCs w:val="21"/>
        </w:rPr>
        <w:t>。我方愿意按合同约定进行设计、实施和竣工承包工程，修补工程中的任何缺陷，实现工程目的。</w:t>
      </w:r>
    </w:p>
    <w:p>
      <w:pPr>
        <w:spacing w:line="400" w:lineRule="exact"/>
        <w:ind w:firstLine="420" w:firstLineChars="200"/>
        <w:rPr>
          <w:rFonts w:ascii="宋体" w:hAnsi="宋体"/>
          <w:color w:val="000000"/>
          <w:szCs w:val="21"/>
        </w:rPr>
      </w:pPr>
      <w:r>
        <w:rPr>
          <w:rFonts w:ascii="宋体" w:hAnsi="宋体"/>
          <w:color w:val="000000"/>
          <w:szCs w:val="21"/>
        </w:rPr>
        <w:t>2．我方承诺在</w:t>
      </w:r>
      <w:r>
        <w:rPr>
          <w:rFonts w:hint="eastAsia" w:ascii="宋体" w:hAnsi="宋体"/>
          <w:color w:val="000000"/>
          <w:szCs w:val="21"/>
        </w:rPr>
        <w:t>招标文件规定的</w:t>
      </w:r>
      <w:r>
        <w:rPr>
          <w:rFonts w:ascii="宋体" w:hAnsi="宋体"/>
          <w:color w:val="000000"/>
          <w:szCs w:val="21"/>
        </w:rPr>
        <w:t>投标有效期内不修改、撤销投标文件</w:t>
      </w:r>
      <w:r>
        <w:rPr>
          <w:rFonts w:hint="eastAsia" w:ascii="宋体" w:hAnsi="宋体"/>
          <w:color w:val="000000"/>
          <w:szCs w:val="21"/>
        </w:rPr>
        <w:t>。</w:t>
      </w:r>
    </w:p>
    <w:p>
      <w:pPr>
        <w:spacing w:line="400" w:lineRule="exact"/>
        <w:ind w:firstLine="420" w:firstLineChars="200"/>
        <w:rPr>
          <w:rFonts w:ascii="宋体" w:hAnsi="宋体"/>
          <w:color w:val="000000"/>
          <w:szCs w:val="21"/>
        </w:rPr>
      </w:pPr>
      <w:r>
        <w:rPr>
          <w:rFonts w:ascii="宋体" w:hAnsi="宋体"/>
          <w:color w:val="000000"/>
          <w:szCs w:val="21"/>
        </w:rPr>
        <w:t>3．随同本投标函提交投标保证金一份，金额为人民币（大写）</w:t>
      </w:r>
      <w:r>
        <w:rPr>
          <w:rFonts w:ascii="宋体" w:hAnsi="宋体"/>
          <w:color w:val="000000"/>
          <w:szCs w:val="21"/>
          <w:u w:val="single"/>
        </w:rPr>
        <w:t xml:space="preserve">        </w:t>
      </w:r>
      <w:r>
        <w:rPr>
          <w:rFonts w:ascii="宋体" w:hAnsi="宋体"/>
          <w:color w:val="000000"/>
          <w:szCs w:val="21"/>
        </w:rPr>
        <w:t>（¥</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p>
    <w:p>
      <w:pPr>
        <w:spacing w:line="400" w:lineRule="exact"/>
        <w:ind w:firstLine="420" w:firstLineChars="200"/>
        <w:rPr>
          <w:rFonts w:ascii="宋体" w:hAnsi="宋体"/>
          <w:color w:val="000000"/>
          <w:szCs w:val="21"/>
        </w:rPr>
      </w:pPr>
      <w:r>
        <w:rPr>
          <w:rFonts w:ascii="宋体" w:hAnsi="宋体"/>
          <w:color w:val="000000"/>
          <w:szCs w:val="21"/>
        </w:rPr>
        <w:t>4．如我方中标：</w:t>
      </w:r>
    </w:p>
    <w:p>
      <w:pPr>
        <w:spacing w:line="400" w:lineRule="exact"/>
        <w:ind w:firstLine="718" w:firstLineChars="342"/>
        <w:rPr>
          <w:rFonts w:ascii="宋体" w:hAnsi="宋体"/>
          <w:color w:val="000000"/>
          <w:szCs w:val="21"/>
        </w:rPr>
      </w:pPr>
      <w:r>
        <w:rPr>
          <w:rFonts w:ascii="宋体" w:hAnsi="宋体"/>
          <w:color w:val="000000"/>
          <w:szCs w:val="21"/>
        </w:rPr>
        <w:t>（1）我方承诺在收到中标通知书后，在中标通知书规定的期限内与你方签订合同。</w:t>
      </w:r>
    </w:p>
    <w:p>
      <w:pPr>
        <w:spacing w:line="400" w:lineRule="exact"/>
        <w:ind w:firstLine="718" w:firstLineChars="342"/>
        <w:rPr>
          <w:rFonts w:ascii="宋体" w:hAnsi="宋体"/>
          <w:color w:val="000000"/>
          <w:szCs w:val="21"/>
        </w:rPr>
      </w:pPr>
      <w:r>
        <w:rPr>
          <w:rFonts w:ascii="宋体" w:hAnsi="宋体"/>
          <w:color w:val="000000"/>
          <w:szCs w:val="21"/>
        </w:rPr>
        <w:t>（2）随同本投标函递交的投标函附录属于合同文件的组成部分。</w:t>
      </w:r>
    </w:p>
    <w:p>
      <w:pPr>
        <w:spacing w:line="400" w:lineRule="exact"/>
        <w:ind w:firstLine="718" w:firstLineChars="342"/>
        <w:rPr>
          <w:rFonts w:ascii="宋体" w:hAnsi="宋体"/>
          <w:color w:val="000000"/>
          <w:szCs w:val="21"/>
        </w:rPr>
      </w:pPr>
      <w:r>
        <w:rPr>
          <w:rFonts w:ascii="宋体" w:hAnsi="宋体"/>
          <w:color w:val="000000"/>
          <w:szCs w:val="21"/>
        </w:rPr>
        <w:t>（3）我方承诺按照招标文件规定向你方递交履约</w:t>
      </w:r>
      <w:r>
        <w:rPr>
          <w:rFonts w:hint="eastAsia" w:ascii="宋体" w:hAnsi="宋体"/>
          <w:color w:val="000000"/>
          <w:szCs w:val="21"/>
        </w:rPr>
        <w:t>保证金</w:t>
      </w:r>
      <w:r>
        <w:rPr>
          <w:rFonts w:ascii="宋体" w:hAnsi="宋体"/>
          <w:color w:val="000000"/>
          <w:szCs w:val="21"/>
        </w:rPr>
        <w:t>。</w:t>
      </w:r>
    </w:p>
    <w:p>
      <w:pPr>
        <w:spacing w:line="400" w:lineRule="exact"/>
        <w:ind w:firstLine="718" w:firstLineChars="342"/>
        <w:rPr>
          <w:rFonts w:ascii="宋体" w:hAnsi="宋体"/>
          <w:color w:val="000000"/>
          <w:szCs w:val="21"/>
        </w:rPr>
      </w:pPr>
      <w:r>
        <w:rPr>
          <w:rFonts w:ascii="宋体" w:hAnsi="宋体"/>
          <w:color w:val="000000"/>
          <w:szCs w:val="21"/>
        </w:rPr>
        <w:t>（4）我方承诺在合同约定的期限内完成并移交全部合同工程。</w:t>
      </w:r>
    </w:p>
    <w:p>
      <w:pPr>
        <w:spacing w:line="400" w:lineRule="exact"/>
        <w:ind w:firstLine="420" w:firstLineChars="200"/>
        <w:rPr>
          <w:rFonts w:ascii="宋体" w:hAnsi="宋体"/>
          <w:color w:val="000000"/>
          <w:szCs w:val="21"/>
        </w:rPr>
      </w:pPr>
      <w:r>
        <w:rPr>
          <w:rFonts w:ascii="宋体" w:hAnsi="宋体"/>
          <w:color w:val="000000"/>
          <w:szCs w:val="21"/>
        </w:rPr>
        <w:t>5．</w:t>
      </w:r>
      <w:r>
        <w:rPr>
          <w:rFonts w:hint="eastAsia" w:ascii="宋体" w:hAnsi="宋体"/>
          <w:color w:val="000000"/>
        </w:rPr>
        <w:t>我方在此声明，所递交的投标文件及有关资料内容完整、真实和准确。</w:t>
      </w:r>
    </w:p>
    <w:p>
      <w:pPr>
        <w:spacing w:line="400" w:lineRule="exact"/>
        <w:ind w:firstLine="420" w:firstLineChars="200"/>
        <w:rPr>
          <w:rFonts w:ascii="宋体" w:hAnsi="宋体"/>
          <w:color w:val="000000"/>
          <w:szCs w:val="21"/>
        </w:rPr>
      </w:pPr>
      <w:r>
        <w:rPr>
          <w:rFonts w:hint="eastAsia" w:ascii="宋体" w:hAnsi="宋体"/>
          <w:color w:val="000000"/>
          <w:szCs w:val="21"/>
        </w:rPr>
        <w:t>6．</w:t>
      </w:r>
      <w:r>
        <w:rPr>
          <w:rFonts w:ascii="宋体" w:hAnsi="宋体"/>
          <w:color w:val="000000"/>
          <w:szCs w:val="21"/>
          <w:u w:val="single"/>
        </w:rPr>
        <w:t xml:space="preserve">                                       </w:t>
      </w:r>
      <w:r>
        <w:rPr>
          <w:rFonts w:ascii="宋体" w:hAnsi="宋体"/>
          <w:color w:val="000000"/>
          <w:szCs w:val="21"/>
        </w:rPr>
        <w:t>（</w:t>
      </w:r>
      <w:r>
        <w:rPr>
          <w:rFonts w:hint="eastAsia" w:ascii="宋体" w:hAnsi="宋体"/>
          <w:color w:val="000000"/>
          <w:szCs w:val="21"/>
        </w:rPr>
        <w:t>其他</w:t>
      </w:r>
      <w:r>
        <w:rPr>
          <w:rFonts w:ascii="宋体" w:hAnsi="宋体"/>
          <w:color w:val="000000"/>
          <w:szCs w:val="21"/>
        </w:rPr>
        <w:t>补充说明</w:t>
      </w:r>
      <w:r>
        <w:rPr>
          <w:rFonts w:hint="eastAsia" w:ascii="宋体" w:hAnsi="宋体"/>
          <w:color w:val="000000"/>
          <w:szCs w:val="21"/>
        </w:rPr>
        <w:t>，有则填写</w:t>
      </w:r>
      <w:r>
        <w:rPr>
          <w:rFonts w:ascii="宋体" w:hAnsi="宋体"/>
          <w:color w:val="000000"/>
          <w:szCs w:val="21"/>
        </w:rPr>
        <w:t>）。</w:t>
      </w:r>
    </w:p>
    <w:p>
      <w:pPr>
        <w:spacing w:line="400" w:lineRule="exact"/>
        <w:ind w:left="-420" w:leftChars="-200" w:right="-840" w:rightChars="-400"/>
        <w:rPr>
          <w:rFonts w:hint="eastAsia" w:ascii="宋体" w:hAnsi="宋体"/>
          <w:color w:val="000000"/>
        </w:rPr>
      </w:pPr>
    </w:p>
    <w:p>
      <w:pPr>
        <w:spacing w:line="400" w:lineRule="exact"/>
        <w:ind w:left="-420" w:leftChars="-200" w:right="-840" w:rightChars="-400"/>
        <w:rPr>
          <w:rFonts w:hint="eastAsia" w:ascii="宋体" w:hAnsi="宋体"/>
          <w:color w:val="000000"/>
        </w:rPr>
      </w:pPr>
    </w:p>
    <w:p>
      <w:pPr>
        <w:spacing w:line="400" w:lineRule="exact"/>
        <w:ind w:left="-420" w:leftChars="-200" w:right="-840" w:rightChars="-400"/>
        <w:rPr>
          <w:rFonts w:ascii="宋体" w:hAnsi="宋体"/>
          <w:color w:val="000000"/>
        </w:rPr>
        <w:sectPr>
          <w:pgSz w:w="11906" w:h="16838"/>
          <w:pgMar w:top="1440" w:right="1440" w:bottom="1440" w:left="1797" w:header="851" w:footer="851" w:gutter="0"/>
          <w:cols w:space="720" w:num="1"/>
          <w:docGrid w:linePitch="312" w:charSpace="0"/>
        </w:sectPr>
      </w:pPr>
    </w:p>
    <w:p>
      <w:pPr>
        <w:spacing w:line="400" w:lineRule="exact"/>
        <w:ind w:left="-420" w:leftChars="-200" w:right="-840" w:rightChars="-400"/>
        <w:rPr>
          <w:rFonts w:hint="eastAsia" w:ascii="宋体" w:hAnsi="宋体"/>
          <w:color w:val="000000"/>
        </w:rPr>
      </w:pPr>
      <w:r>
        <w:rPr>
          <w:rFonts w:hint="eastAsia" w:ascii="宋体" w:hAnsi="宋体"/>
          <w:color w:val="000000"/>
        </w:rPr>
        <w:t>投标</w:t>
      </w:r>
      <w:r>
        <w:rPr>
          <w:rFonts w:ascii="宋体" w:hAnsi="宋体"/>
          <w:color w:val="000000"/>
        </w:rPr>
        <w:t>人：</w:t>
      </w:r>
      <w:r>
        <w:rPr>
          <w:rFonts w:hint="eastAsia" w:ascii="宋体" w:hAnsi="宋体"/>
          <w:color w:val="000000"/>
          <w:u w:val="single"/>
        </w:rPr>
        <w:t xml:space="preserve"> </w:t>
      </w:r>
      <w:r>
        <w:rPr>
          <w:rFonts w:hint="eastAsia" w:ascii="宋体" w:hAnsi="宋体"/>
          <w:b/>
          <w:color w:val="000000"/>
          <w:u w:val="single"/>
        </w:rPr>
        <w:t xml:space="preserve">                        </w:t>
      </w:r>
      <w:r>
        <w:rPr>
          <w:rFonts w:ascii="宋体" w:hAnsi="宋体"/>
          <w:color w:val="000000"/>
          <w:u w:val="single"/>
        </w:rPr>
        <w:t xml:space="preserve"> </w:t>
      </w:r>
      <w:r>
        <w:rPr>
          <w:rFonts w:ascii="宋体" w:hAnsi="宋体"/>
          <w:color w:val="000000"/>
        </w:rPr>
        <w:t>（盖单位章）</w:t>
      </w:r>
      <w:r>
        <w:rPr>
          <w:rFonts w:hint="eastAsia" w:ascii="宋体" w:hAnsi="宋体"/>
          <w:color w:val="000000"/>
        </w:rPr>
        <w:t xml:space="preserve"> </w:t>
      </w:r>
    </w:p>
    <w:p>
      <w:pPr>
        <w:spacing w:line="400" w:lineRule="exact"/>
        <w:ind w:left="-420" w:leftChars="-200" w:right="-840" w:rightChars="-400"/>
        <w:rPr>
          <w:rFonts w:hint="eastAsia"/>
          <w:color w:val="000000"/>
        </w:rPr>
      </w:pPr>
      <w:r>
        <w:rPr>
          <w:color w:val="000000"/>
        </w:rPr>
        <w:t>邮政编码：</w:t>
      </w:r>
      <w:r>
        <w:rPr>
          <w:rFonts w:hint="eastAsia"/>
          <w:color w:val="000000"/>
          <w:u w:val="single"/>
        </w:rPr>
        <w:t xml:space="preserve">       </w:t>
      </w:r>
      <w:r>
        <w:rPr>
          <w:color w:val="000000"/>
        </w:rPr>
        <w:t>电话：</w:t>
      </w:r>
      <w:r>
        <w:rPr>
          <w:rFonts w:hint="eastAsia"/>
          <w:color w:val="000000"/>
          <w:u w:val="single"/>
        </w:rPr>
        <w:t xml:space="preserve">        </w:t>
      </w:r>
      <w:r>
        <w:rPr>
          <w:color w:val="000000"/>
        </w:rPr>
        <w:t xml:space="preserve"> 传真：</w:t>
      </w:r>
      <w:r>
        <w:rPr>
          <w:rFonts w:hint="eastAsia"/>
          <w:color w:val="000000"/>
          <w:u w:val="single"/>
        </w:rPr>
        <w:t xml:space="preserve">          </w:t>
      </w:r>
    </w:p>
    <w:p>
      <w:pPr>
        <w:spacing w:line="400" w:lineRule="exact"/>
        <w:ind w:left="-420" w:leftChars="-200" w:right="-840" w:rightChars="-400"/>
        <w:rPr>
          <w:rFonts w:hint="eastAsia" w:ascii="宋体" w:hAnsi="宋体"/>
          <w:color w:val="000000"/>
        </w:rPr>
      </w:pPr>
      <w:r>
        <w:rPr>
          <w:color w:val="000000"/>
        </w:rPr>
        <w:t>开户银行名称</w:t>
      </w:r>
      <w:r>
        <w:rPr>
          <w:rFonts w:ascii="宋体" w:hAnsi="宋体"/>
          <w:color w:val="000000"/>
        </w:rPr>
        <w:t>：</w:t>
      </w:r>
      <w:r>
        <w:rPr>
          <w:rFonts w:hint="eastAsia" w:ascii="宋体" w:hAnsi="宋体"/>
          <w:color w:val="000000"/>
          <w:u w:val="single"/>
        </w:rPr>
        <w:t xml:space="preserve">                                    </w:t>
      </w:r>
      <w:r>
        <w:rPr>
          <w:rFonts w:hint="eastAsia" w:ascii="宋体" w:hAnsi="宋体"/>
          <w:color w:val="000000"/>
        </w:rPr>
        <w:t xml:space="preserve">        </w:t>
      </w:r>
    </w:p>
    <w:p>
      <w:pPr>
        <w:spacing w:line="400" w:lineRule="exact"/>
        <w:ind w:left="-420" w:leftChars="-200" w:right="-840" w:rightChars="-400"/>
        <w:rPr>
          <w:rFonts w:hint="eastAsia" w:ascii="宋体" w:hAnsi="宋体"/>
          <w:color w:val="000000"/>
        </w:rPr>
      </w:pPr>
      <w:r>
        <w:rPr>
          <w:color w:val="000000"/>
        </w:rPr>
        <w:t>开户银行账号</w:t>
      </w:r>
      <w:r>
        <w:rPr>
          <w:rFonts w:ascii="宋体" w:hAnsi="宋体"/>
          <w:color w:val="000000"/>
        </w:rPr>
        <w:t>：</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rPr>
        <w:t xml:space="preserve">     </w:t>
      </w:r>
    </w:p>
    <w:p>
      <w:pPr>
        <w:spacing w:line="400" w:lineRule="exact"/>
        <w:ind w:left="-420" w:leftChars="-200" w:right="-840" w:rightChars="-400"/>
        <w:rPr>
          <w:rFonts w:hint="eastAsia" w:ascii="宋体" w:hAnsi="宋体"/>
          <w:color w:val="000000"/>
        </w:rPr>
      </w:pPr>
      <w:r>
        <w:rPr>
          <w:color w:val="000000"/>
        </w:rPr>
        <w:t>开户银行地址</w:t>
      </w:r>
      <w:r>
        <w:rPr>
          <w:rFonts w:ascii="宋体" w:hAnsi="宋体"/>
          <w:color w:val="000000"/>
        </w:rPr>
        <w:t>：</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p>
    <w:p>
      <w:pPr>
        <w:spacing w:line="400" w:lineRule="exact"/>
        <w:ind w:left="-420" w:leftChars="-200" w:right="-840" w:rightChars="-400"/>
        <w:rPr>
          <w:rFonts w:hint="eastAsia" w:ascii="宋体" w:hAnsi="宋体"/>
          <w:color w:val="000000"/>
        </w:rPr>
      </w:pPr>
      <w:r>
        <w:rPr>
          <w:color w:val="000000"/>
        </w:rPr>
        <w:t>开户银行电话</w:t>
      </w:r>
      <w:r>
        <w:rPr>
          <w:rFonts w:ascii="宋体" w:hAnsi="宋体"/>
          <w:color w:val="000000"/>
        </w:rPr>
        <w:t>：</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u w:val="single"/>
        </w:rPr>
        <w:t xml:space="preserve">     </w:t>
      </w:r>
      <w:r>
        <w:rPr>
          <w:rFonts w:hint="eastAsia" w:ascii="宋体" w:hAnsi="宋体"/>
          <w:color w:val="000000"/>
        </w:rPr>
        <w:t xml:space="preserve">       </w:t>
      </w:r>
    </w:p>
    <w:p>
      <w:pPr>
        <w:spacing w:line="400" w:lineRule="exact"/>
        <w:ind w:left="-420" w:leftChars="-200" w:right="-840" w:rightChars="-400"/>
        <w:rPr>
          <w:rFonts w:ascii="宋体" w:hAnsi="宋体"/>
          <w:color w:val="000000"/>
        </w:rPr>
      </w:pPr>
      <w:r>
        <w:rPr>
          <w:rFonts w:hint="eastAsia" w:ascii="宋体" w:hAnsi="宋体"/>
          <w:color w:val="000000"/>
        </w:rPr>
        <w:t>日期：</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rPr>
        <w:t>年</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rPr>
        <w:t>月</w:t>
      </w:r>
      <w:r>
        <w:rPr>
          <w:rFonts w:hint="eastAsia" w:ascii="宋体" w:hAnsi="宋体"/>
          <w:color w:val="000000"/>
          <w:u w:val="single"/>
        </w:rPr>
        <w:t xml:space="preserve">        </w:t>
      </w:r>
      <w:r>
        <w:rPr>
          <w:rFonts w:ascii="宋体" w:hAnsi="宋体"/>
          <w:color w:val="000000"/>
        </w:rPr>
        <w:t>日</w:t>
      </w:r>
    </w:p>
    <w:p>
      <w:pPr>
        <w:spacing w:line="400" w:lineRule="exact"/>
        <w:ind w:left="-420" w:leftChars="-200" w:right="-840" w:rightChars="-400"/>
        <w:rPr>
          <w:rFonts w:ascii="宋体" w:hAnsi="宋体"/>
          <w:color w:val="000000"/>
        </w:rPr>
      </w:pPr>
    </w:p>
    <w:p>
      <w:pPr>
        <w:spacing w:line="400" w:lineRule="exact"/>
        <w:ind w:left="-420" w:leftChars="-200" w:right="-840" w:rightChars="-400"/>
        <w:rPr>
          <w:rFonts w:ascii="宋体" w:hAnsi="宋体"/>
          <w:color w:val="000000"/>
        </w:rPr>
      </w:pPr>
    </w:p>
    <w:p>
      <w:pPr>
        <w:spacing w:line="400" w:lineRule="exact"/>
        <w:ind w:left="-420" w:leftChars="-200" w:right="-840" w:rightChars="-400"/>
        <w:rPr>
          <w:rFonts w:hint="eastAsia" w:ascii="宋体" w:hAnsi="宋体"/>
          <w:color w:val="000000"/>
        </w:rPr>
      </w:pPr>
      <w:r>
        <w:rPr>
          <w:rFonts w:hint="eastAsia" w:ascii="宋体" w:hAnsi="宋体"/>
          <w:color w:val="000000"/>
        </w:rPr>
        <w:t>投标</w:t>
      </w:r>
      <w:r>
        <w:rPr>
          <w:rFonts w:ascii="宋体" w:hAnsi="宋体"/>
          <w:color w:val="000000"/>
        </w:rPr>
        <w:t>人：</w:t>
      </w:r>
      <w:r>
        <w:rPr>
          <w:rFonts w:hint="eastAsia" w:ascii="宋体" w:hAnsi="宋体"/>
          <w:color w:val="000000"/>
          <w:u w:val="single"/>
        </w:rPr>
        <w:t xml:space="preserve"> </w:t>
      </w:r>
      <w:r>
        <w:rPr>
          <w:rFonts w:hint="eastAsia" w:ascii="宋体" w:hAnsi="宋体"/>
          <w:b/>
          <w:color w:val="000000"/>
          <w:u w:val="single"/>
        </w:rPr>
        <w:t xml:space="preserve">                        </w:t>
      </w:r>
      <w:r>
        <w:rPr>
          <w:rFonts w:ascii="宋体" w:hAnsi="宋体"/>
          <w:color w:val="000000"/>
          <w:u w:val="single"/>
        </w:rPr>
        <w:t xml:space="preserve"> </w:t>
      </w:r>
      <w:r>
        <w:rPr>
          <w:rFonts w:ascii="宋体" w:hAnsi="宋体"/>
          <w:color w:val="000000"/>
        </w:rPr>
        <w:t>（盖单位章）</w:t>
      </w:r>
    </w:p>
    <w:p>
      <w:pPr>
        <w:spacing w:line="400" w:lineRule="exact"/>
        <w:ind w:left="-420" w:leftChars="-200" w:right="-840" w:rightChars="-400"/>
        <w:rPr>
          <w:rFonts w:hint="eastAsia"/>
          <w:color w:val="000000"/>
        </w:rPr>
      </w:pPr>
      <w:r>
        <w:rPr>
          <w:color w:val="000000"/>
        </w:rPr>
        <w:t>邮政编码：</w:t>
      </w:r>
      <w:r>
        <w:rPr>
          <w:rFonts w:hint="eastAsia"/>
          <w:color w:val="000000"/>
          <w:u w:val="single"/>
        </w:rPr>
        <w:t xml:space="preserve">       </w:t>
      </w:r>
      <w:r>
        <w:rPr>
          <w:color w:val="000000"/>
        </w:rPr>
        <w:t>电话：</w:t>
      </w:r>
      <w:r>
        <w:rPr>
          <w:rFonts w:hint="eastAsia"/>
          <w:color w:val="000000"/>
          <w:u w:val="single"/>
        </w:rPr>
        <w:t xml:space="preserve">        </w:t>
      </w:r>
      <w:r>
        <w:rPr>
          <w:color w:val="000000"/>
        </w:rPr>
        <w:t xml:space="preserve"> 传真：</w:t>
      </w:r>
      <w:r>
        <w:rPr>
          <w:rFonts w:hint="eastAsia"/>
          <w:color w:val="000000"/>
          <w:u w:val="single"/>
        </w:rPr>
        <w:t xml:space="preserve">          </w:t>
      </w:r>
    </w:p>
    <w:p>
      <w:pPr>
        <w:spacing w:line="400" w:lineRule="exact"/>
        <w:ind w:left="-420" w:leftChars="-200" w:right="-840" w:rightChars="-400"/>
        <w:rPr>
          <w:rFonts w:hint="eastAsia" w:ascii="宋体" w:hAnsi="宋体"/>
          <w:color w:val="000000"/>
        </w:rPr>
      </w:pPr>
      <w:r>
        <w:rPr>
          <w:color w:val="000000"/>
        </w:rPr>
        <w:t>开户银行名称</w:t>
      </w:r>
      <w:r>
        <w:rPr>
          <w:rFonts w:ascii="宋体" w:hAnsi="宋体"/>
          <w:color w:val="000000"/>
        </w:rPr>
        <w:t>：</w:t>
      </w:r>
      <w:r>
        <w:rPr>
          <w:rFonts w:hint="eastAsia" w:ascii="宋体" w:hAnsi="宋体"/>
          <w:color w:val="000000"/>
          <w:u w:val="single"/>
        </w:rPr>
        <w:t xml:space="preserve">                                    </w:t>
      </w:r>
      <w:r>
        <w:rPr>
          <w:rFonts w:hint="eastAsia" w:ascii="宋体" w:hAnsi="宋体"/>
          <w:color w:val="000000"/>
        </w:rPr>
        <w:t xml:space="preserve">        </w:t>
      </w:r>
    </w:p>
    <w:p>
      <w:pPr>
        <w:spacing w:line="400" w:lineRule="exact"/>
        <w:ind w:left="-420" w:leftChars="-200" w:right="-840" w:rightChars="-400"/>
        <w:rPr>
          <w:rFonts w:hint="eastAsia" w:ascii="宋体" w:hAnsi="宋体"/>
          <w:color w:val="000000"/>
        </w:rPr>
      </w:pPr>
      <w:r>
        <w:rPr>
          <w:color w:val="000000"/>
        </w:rPr>
        <w:t>开户银行账号</w:t>
      </w:r>
      <w:r>
        <w:rPr>
          <w:rFonts w:ascii="宋体" w:hAnsi="宋体"/>
          <w:color w:val="000000"/>
        </w:rPr>
        <w:t>：</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rPr>
        <w:t xml:space="preserve">     </w:t>
      </w:r>
    </w:p>
    <w:p>
      <w:pPr>
        <w:spacing w:line="400" w:lineRule="exact"/>
        <w:ind w:left="-420" w:leftChars="-200" w:right="-840" w:rightChars="-400"/>
        <w:rPr>
          <w:rFonts w:hint="eastAsia" w:ascii="宋体" w:hAnsi="宋体"/>
          <w:color w:val="000000"/>
        </w:rPr>
      </w:pPr>
      <w:r>
        <w:rPr>
          <w:color w:val="000000"/>
        </w:rPr>
        <w:t>开户银行地址</w:t>
      </w:r>
      <w:r>
        <w:rPr>
          <w:rFonts w:ascii="宋体" w:hAnsi="宋体"/>
          <w:color w:val="000000"/>
        </w:rPr>
        <w:t>：</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p>
    <w:p>
      <w:pPr>
        <w:spacing w:line="400" w:lineRule="exact"/>
        <w:ind w:left="-420" w:leftChars="-200" w:right="-840" w:rightChars="-400"/>
        <w:rPr>
          <w:rFonts w:hint="eastAsia" w:ascii="宋体" w:hAnsi="宋体"/>
          <w:color w:val="000000"/>
        </w:rPr>
      </w:pPr>
      <w:r>
        <w:rPr>
          <w:color w:val="000000"/>
        </w:rPr>
        <w:t>开户银行电话</w:t>
      </w:r>
      <w:r>
        <w:rPr>
          <w:rFonts w:ascii="宋体" w:hAnsi="宋体"/>
          <w:color w:val="000000"/>
        </w:rPr>
        <w:t>：</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u w:val="single"/>
        </w:rPr>
        <w:t xml:space="preserve">     </w:t>
      </w:r>
      <w:r>
        <w:rPr>
          <w:rFonts w:hint="eastAsia" w:ascii="宋体" w:hAnsi="宋体"/>
          <w:color w:val="000000"/>
        </w:rPr>
        <w:t xml:space="preserve">       </w:t>
      </w:r>
    </w:p>
    <w:p>
      <w:pPr>
        <w:spacing w:line="400" w:lineRule="exact"/>
        <w:ind w:left="-420" w:leftChars="-200" w:right="-840" w:rightChars="-400"/>
        <w:rPr>
          <w:rFonts w:ascii="宋体" w:hAnsi="宋体"/>
          <w:color w:val="000000"/>
        </w:rPr>
      </w:pPr>
      <w:r>
        <w:rPr>
          <w:rFonts w:hint="eastAsia" w:ascii="宋体" w:hAnsi="宋体"/>
          <w:color w:val="000000"/>
        </w:rPr>
        <w:t>日期：</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rPr>
        <w:t>年</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rPr>
        <w:t>月</w:t>
      </w:r>
      <w:r>
        <w:rPr>
          <w:rFonts w:hint="eastAsia" w:ascii="宋体" w:hAnsi="宋体"/>
          <w:color w:val="000000"/>
          <w:u w:val="single"/>
        </w:rPr>
        <w:t xml:space="preserve">        </w:t>
      </w:r>
      <w:r>
        <w:rPr>
          <w:rFonts w:ascii="宋体" w:hAnsi="宋体"/>
          <w:color w:val="000000"/>
        </w:rPr>
        <w:t>日</w:t>
      </w:r>
    </w:p>
    <w:p>
      <w:pPr>
        <w:spacing w:line="400" w:lineRule="exact"/>
        <w:ind w:right="-840" w:rightChars="-400"/>
        <w:rPr>
          <w:rFonts w:ascii="宋体" w:hAnsi="宋体"/>
          <w:color w:val="000000"/>
        </w:rPr>
      </w:pPr>
    </w:p>
    <w:p>
      <w:pPr>
        <w:spacing w:line="400" w:lineRule="exact"/>
        <w:ind w:right="-840" w:rightChars="-400"/>
        <w:rPr>
          <w:rFonts w:ascii="宋体" w:hAnsi="宋体"/>
          <w:color w:val="000000"/>
        </w:rPr>
        <w:sectPr>
          <w:type w:val="continuous"/>
          <w:pgSz w:w="11906" w:h="16838"/>
          <w:pgMar w:top="1440" w:right="1440" w:bottom="1440" w:left="1797" w:header="851" w:footer="851" w:gutter="0"/>
          <w:cols w:space="2127" w:num="2"/>
          <w:docGrid w:linePitch="312" w:charSpace="0"/>
        </w:sectPr>
      </w:pPr>
    </w:p>
    <w:p>
      <w:pPr>
        <w:spacing w:line="400" w:lineRule="exact"/>
        <w:ind w:right="-840" w:rightChars="-400"/>
        <w:rPr>
          <w:rFonts w:ascii="宋体" w:hAnsi="宋体"/>
          <w:color w:val="000000"/>
        </w:rPr>
      </w:pPr>
    </w:p>
    <w:p>
      <w:pPr>
        <w:spacing w:line="400" w:lineRule="exact"/>
        <w:ind w:right="-840" w:rightChars="-400"/>
        <w:rPr>
          <w:rFonts w:hint="eastAsia" w:ascii="宋体" w:hAnsi="宋体"/>
          <w:color w:val="000000"/>
        </w:rPr>
      </w:pPr>
    </w:p>
    <w:p>
      <w:pPr>
        <w:spacing w:line="400" w:lineRule="exact"/>
        <w:ind w:right="-840" w:rightChars="-400"/>
        <w:rPr>
          <w:rFonts w:ascii="宋体" w:hAnsi="宋体"/>
          <w:color w:val="000000"/>
        </w:rPr>
      </w:pPr>
    </w:p>
    <w:p>
      <w:pPr>
        <w:spacing w:line="400" w:lineRule="exact"/>
        <w:ind w:right="-840" w:rightChars="-400"/>
        <w:rPr>
          <w:rFonts w:hint="eastAsia" w:ascii="宋体" w:hAnsi="宋体"/>
          <w:color w:val="000000"/>
        </w:rPr>
      </w:pPr>
    </w:p>
    <w:p>
      <w:pPr>
        <w:spacing w:line="400" w:lineRule="exact"/>
        <w:ind w:right="-840" w:rightChars="-400"/>
        <w:rPr>
          <w:rFonts w:hint="eastAsia" w:ascii="宋体" w:hAnsi="宋体"/>
          <w:color w:val="000000"/>
        </w:rPr>
      </w:pPr>
    </w:p>
    <w:p>
      <w:pPr>
        <w:pStyle w:val="4"/>
        <w:jc w:val="center"/>
        <w:rPr>
          <w:rFonts w:hint="eastAsia"/>
          <w:color w:val="000000"/>
          <w:sz w:val="30"/>
          <w:szCs w:val="30"/>
        </w:rPr>
      </w:pPr>
      <w:bookmarkStart w:id="1761" w:name="_Toc402532188"/>
      <w:bookmarkStart w:id="1762" w:name="_Toc59203269"/>
      <w:bookmarkStart w:id="1763" w:name="_Toc404006885"/>
      <w:r>
        <w:rPr>
          <w:rFonts w:hint="eastAsia"/>
          <w:color w:val="000000"/>
          <w:sz w:val="30"/>
          <w:szCs w:val="30"/>
        </w:rPr>
        <w:t>2、</w:t>
      </w:r>
      <w:r>
        <w:rPr>
          <w:color w:val="000000"/>
          <w:sz w:val="30"/>
          <w:szCs w:val="30"/>
        </w:rPr>
        <w:t>投标函附录</w:t>
      </w:r>
      <w:bookmarkEnd w:id="1753"/>
      <w:bookmarkEnd w:id="1754"/>
      <w:bookmarkEnd w:id="1755"/>
      <w:bookmarkEnd w:id="1756"/>
      <w:bookmarkEnd w:id="1757"/>
      <w:bookmarkEnd w:id="1761"/>
      <w:bookmarkEnd w:id="1762"/>
      <w:bookmarkEnd w:id="1763"/>
    </w:p>
    <w:p>
      <w:pPr>
        <w:jc w:val="center"/>
        <w:rPr>
          <w:rFonts w:ascii="宋体" w:hAnsi="宋体"/>
          <w:b/>
          <w:color w:val="000000"/>
          <w:sz w:val="28"/>
          <w:szCs w:val="28"/>
        </w:rPr>
      </w:pP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2472"/>
        <w:gridCol w:w="1986"/>
        <w:gridCol w:w="2526"/>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30" w:hRule="atLeast"/>
          <w:jc w:val="center"/>
        </w:trPr>
        <w:tc>
          <w:tcPr>
            <w:tcW w:w="1043" w:type="dxa"/>
            <w:noWrap w:val="0"/>
            <w:vAlign w:val="center"/>
          </w:tcPr>
          <w:p>
            <w:pPr>
              <w:jc w:val="center"/>
              <w:rPr>
                <w:rFonts w:ascii="宋体" w:hAnsi="宋体"/>
                <w:color w:val="000000"/>
                <w:szCs w:val="21"/>
              </w:rPr>
            </w:pPr>
            <w:r>
              <w:rPr>
                <w:rFonts w:ascii="宋体" w:hAnsi="宋体"/>
                <w:color w:val="000000"/>
                <w:szCs w:val="21"/>
              </w:rPr>
              <w:t>序号</w:t>
            </w:r>
          </w:p>
        </w:tc>
        <w:tc>
          <w:tcPr>
            <w:tcW w:w="2472" w:type="dxa"/>
            <w:noWrap w:val="0"/>
            <w:vAlign w:val="center"/>
          </w:tcPr>
          <w:p>
            <w:pPr>
              <w:jc w:val="center"/>
              <w:rPr>
                <w:rFonts w:ascii="宋体" w:hAnsi="宋体"/>
                <w:color w:val="000000"/>
                <w:szCs w:val="21"/>
              </w:rPr>
            </w:pPr>
            <w:r>
              <w:rPr>
                <w:rFonts w:hint="eastAsia" w:ascii="宋体" w:hAnsi="宋体"/>
                <w:color w:val="000000"/>
                <w:szCs w:val="21"/>
              </w:rPr>
              <w:t>条款名称</w:t>
            </w:r>
          </w:p>
        </w:tc>
        <w:tc>
          <w:tcPr>
            <w:tcW w:w="1986" w:type="dxa"/>
            <w:noWrap w:val="0"/>
            <w:vAlign w:val="center"/>
          </w:tcPr>
          <w:p>
            <w:pPr>
              <w:jc w:val="center"/>
              <w:rPr>
                <w:rFonts w:ascii="宋体" w:hAnsi="宋体"/>
                <w:color w:val="000000"/>
                <w:szCs w:val="21"/>
              </w:rPr>
            </w:pPr>
            <w:r>
              <w:rPr>
                <w:rFonts w:ascii="宋体" w:hAnsi="宋体"/>
                <w:color w:val="000000"/>
                <w:szCs w:val="21"/>
              </w:rPr>
              <w:t>合同条款号</w:t>
            </w:r>
          </w:p>
        </w:tc>
        <w:tc>
          <w:tcPr>
            <w:tcW w:w="2526" w:type="dxa"/>
            <w:noWrap w:val="0"/>
            <w:vAlign w:val="center"/>
          </w:tcPr>
          <w:p>
            <w:pPr>
              <w:jc w:val="center"/>
              <w:rPr>
                <w:rFonts w:ascii="宋体" w:hAnsi="宋体"/>
                <w:color w:val="000000"/>
                <w:szCs w:val="21"/>
              </w:rPr>
            </w:pPr>
            <w:r>
              <w:rPr>
                <w:rFonts w:hint="eastAsia" w:ascii="宋体" w:hAnsi="宋体"/>
                <w:color w:val="000000"/>
                <w:szCs w:val="21"/>
              </w:rPr>
              <w:t>约定</w:t>
            </w:r>
            <w:r>
              <w:rPr>
                <w:rFonts w:ascii="宋体" w:hAnsi="宋体"/>
                <w:color w:val="000000"/>
                <w:szCs w:val="21"/>
              </w:rPr>
              <w:t>内容</w:t>
            </w:r>
          </w:p>
        </w:tc>
        <w:tc>
          <w:tcPr>
            <w:tcW w:w="744" w:type="dxa"/>
            <w:noWrap w:val="0"/>
            <w:vAlign w:val="center"/>
          </w:tcPr>
          <w:p>
            <w:pPr>
              <w:jc w:val="center"/>
              <w:rPr>
                <w:rFonts w:ascii="宋体" w:hAnsi="宋体"/>
                <w:color w:val="000000"/>
                <w:szCs w:val="21"/>
              </w:rPr>
            </w:pPr>
            <w:r>
              <w:rPr>
                <w:rFonts w:ascii="宋体" w:hAnsi="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043" w:type="dxa"/>
            <w:noWrap w:val="0"/>
            <w:vAlign w:val="center"/>
          </w:tcPr>
          <w:p>
            <w:pPr>
              <w:jc w:val="center"/>
              <w:rPr>
                <w:rFonts w:ascii="宋体" w:hAnsi="宋体"/>
                <w:color w:val="000000"/>
                <w:szCs w:val="21"/>
              </w:rPr>
            </w:pPr>
            <w:r>
              <w:rPr>
                <w:rFonts w:ascii="宋体" w:hAnsi="宋体"/>
                <w:color w:val="000000"/>
                <w:szCs w:val="21"/>
              </w:rPr>
              <w:t>1</w:t>
            </w:r>
          </w:p>
        </w:tc>
        <w:tc>
          <w:tcPr>
            <w:tcW w:w="2472" w:type="dxa"/>
            <w:noWrap w:val="0"/>
            <w:vAlign w:val="center"/>
          </w:tcPr>
          <w:p>
            <w:pPr>
              <w:spacing w:line="440" w:lineRule="exact"/>
              <w:rPr>
                <w:rFonts w:hint="eastAsia" w:ascii="宋体" w:hAnsi="宋体"/>
                <w:color w:val="000000"/>
                <w:szCs w:val="21"/>
              </w:rPr>
            </w:pPr>
            <w:r>
              <w:rPr>
                <w:rFonts w:ascii="宋体" w:hAnsi="宋体"/>
                <w:color w:val="000000"/>
                <w:szCs w:val="21"/>
              </w:rPr>
              <w:t>工程总承包项目经理</w:t>
            </w:r>
          </w:p>
          <w:p>
            <w:pPr>
              <w:spacing w:line="440" w:lineRule="exact"/>
              <w:rPr>
                <w:rFonts w:hint="eastAsia" w:ascii="宋体" w:hAnsi="宋体"/>
                <w:color w:val="000000"/>
              </w:rPr>
            </w:pPr>
            <w:r>
              <w:rPr>
                <w:rFonts w:hint="eastAsia" w:ascii="宋体" w:hAnsi="宋体"/>
                <w:color w:val="000000"/>
              </w:rPr>
              <w:t>项目设计负责人</w:t>
            </w:r>
          </w:p>
          <w:p>
            <w:pPr>
              <w:spacing w:line="440" w:lineRule="exact"/>
              <w:rPr>
                <w:rFonts w:hint="eastAsia"/>
                <w:color w:val="000000"/>
              </w:rPr>
            </w:pPr>
            <w:r>
              <w:rPr>
                <w:rFonts w:hint="eastAsia"/>
                <w:color w:val="000000"/>
              </w:rPr>
              <w:t>施工项目经理</w:t>
            </w:r>
          </w:p>
          <w:p>
            <w:pPr>
              <w:spacing w:line="440" w:lineRule="exact"/>
              <w:rPr>
                <w:rFonts w:hint="eastAsia"/>
                <w:color w:val="000000"/>
              </w:rPr>
            </w:pPr>
            <w:r>
              <w:rPr>
                <w:rFonts w:hint="eastAsia"/>
                <w:color w:val="000000"/>
              </w:rPr>
              <w:t>项目采购经理（如有）</w:t>
            </w:r>
          </w:p>
          <w:p>
            <w:pPr>
              <w:spacing w:line="440" w:lineRule="exact"/>
              <w:rPr>
                <w:rFonts w:ascii="宋体" w:hAnsi="宋体"/>
                <w:color w:val="000000"/>
                <w:szCs w:val="21"/>
              </w:rPr>
            </w:pPr>
            <w:r>
              <w:rPr>
                <w:rFonts w:hint="eastAsia"/>
                <w:color w:val="000000"/>
              </w:rPr>
              <w:t>项目施工专职安全生产管理人员</w:t>
            </w:r>
          </w:p>
        </w:tc>
        <w:tc>
          <w:tcPr>
            <w:tcW w:w="1986" w:type="dxa"/>
            <w:noWrap w:val="0"/>
            <w:vAlign w:val="center"/>
          </w:tcPr>
          <w:p>
            <w:pPr>
              <w:spacing w:line="440" w:lineRule="exact"/>
              <w:ind w:firstLine="735" w:firstLineChars="350"/>
              <w:rPr>
                <w:rFonts w:hint="eastAsia"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3</w:t>
            </w:r>
          </w:p>
          <w:p>
            <w:pPr>
              <w:spacing w:line="440" w:lineRule="exact"/>
              <w:jc w:val="center"/>
              <w:rPr>
                <w:rFonts w:hint="eastAsia"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4</w:t>
            </w:r>
          </w:p>
          <w:p>
            <w:pPr>
              <w:spacing w:line="440" w:lineRule="exact"/>
              <w:jc w:val="center"/>
              <w:rPr>
                <w:rFonts w:hint="eastAsia" w:ascii="宋体" w:hAnsi="宋体"/>
                <w:color w:val="000000"/>
                <w:szCs w:val="21"/>
              </w:rPr>
            </w:pPr>
            <w:r>
              <w:rPr>
                <w:rFonts w:ascii="宋体" w:hAnsi="宋体"/>
                <w:color w:val="000000"/>
                <w:szCs w:val="21"/>
              </w:rPr>
              <w:t>4</w:t>
            </w:r>
            <w:r>
              <w:rPr>
                <w:rFonts w:hint="eastAsia" w:ascii="宋体" w:hAnsi="宋体"/>
                <w:color w:val="000000"/>
                <w:szCs w:val="21"/>
              </w:rPr>
              <w:t>.4</w:t>
            </w:r>
          </w:p>
          <w:p>
            <w:pPr>
              <w:spacing w:line="440" w:lineRule="exact"/>
              <w:jc w:val="center"/>
              <w:rPr>
                <w:rFonts w:hint="eastAsia"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4</w:t>
            </w:r>
          </w:p>
          <w:p>
            <w:pPr>
              <w:spacing w:line="440" w:lineRule="exact"/>
              <w:jc w:val="center"/>
              <w:rPr>
                <w:rFonts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4</w:t>
            </w:r>
          </w:p>
          <w:p>
            <w:pPr>
              <w:spacing w:line="440" w:lineRule="exact"/>
              <w:jc w:val="center"/>
              <w:rPr>
                <w:rFonts w:hint="eastAsia" w:ascii="宋体" w:hAnsi="宋体"/>
                <w:color w:val="000000"/>
                <w:szCs w:val="21"/>
              </w:rPr>
            </w:pPr>
          </w:p>
        </w:tc>
        <w:tc>
          <w:tcPr>
            <w:tcW w:w="2526" w:type="dxa"/>
            <w:noWrap w:val="0"/>
            <w:vAlign w:val="center"/>
          </w:tcPr>
          <w:p>
            <w:pPr>
              <w:spacing w:line="440" w:lineRule="exact"/>
              <w:rPr>
                <w:rFonts w:hint="eastAsia" w:ascii="宋体" w:hAnsi="宋体"/>
                <w:color w:val="000000"/>
                <w:szCs w:val="21"/>
              </w:rPr>
            </w:pPr>
            <w:r>
              <w:rPr>
                <w:rFonts w:hint="eastAsia" w:ascii="宋体" w:hAnsi="宋体"/>
                <w:color w:val="000000"/>
                <w:szCs w:val="21"/>
              </w:rPr>
              <w:t>姓名：</w:t>
            </w:r>
          </w:p>
          <w:p>
            <w:pPr>
              <w:spacing w:line="440" w:lineRule="exact"/>
              <w:rPr>
                <w:rFonts w:hint="eastAsia" w:ascii="宋体" w:hAnsi="宋体"/>
                <w:color w:val="000000"/>
                <w:szCs w:val="21"/>
              </w:rPr>
            </w:pPr>
            <w:r>
              <w:rPr>
                <w:rFonts w:ascii="宋体" w:hAnsi="宋体"/>
                <w:color w:val="000000"/>
                <w:szCs w:val="21"/>
              </w:rPr>
              <w:t>姓名：</w:t>
            </w:r>
          </w:p>
          <w:p>
            <w:pPr>
              <w:spacing w:line="440" w:lineRule="exact"/>
              <w:rPr>
                <w:rFonts w:hint="eastAsia" w:ascii="宋体" w:hAnsi="宋体"/>
                <w:color w:val="000000"/>
                <w:szCs w:val="21"/>
              </w:rPr>
            </w:pPr>
            <w:r>
              <w:rPr>
                <w:rFonts w:ascii="宋体" w:hAnsi="宋体"/>
                <w:color w:val="000000"/>
                <w:szCs w:val="21"/>
              </w:rPr>
              <w:t>姓名：</w:t>
            </w:r>
          </w:p>
          <w:p>
            <w:pPr>
              <w:spacing w:line="440" w:lineRule="exact"/>
              <w:rPr>
                <w:rFonts w:hint="eastAsia" w:ascii="宋体" w:hAnsi="宋体"/>
                <w:color w:val="000000"/>
                <w:szCs w:val="21"/>
              </w:rPr>
            </w:pPr>
            <w:r>
              <w:rPr>
                <w:rFonts w:hint="eastAsia" w:ascii="宋体" w:hAnsi="宋体"/>
                <w:color w:val="000000"/>
                <w:szCs w:val="21"/>
              </w:rPr>
              <w:t>姓名：</w:t>
            </w:r>
          </w:p>
          <w:p>
            <w:pPr>
              <w:spacing w:line="440" w:lineRule="exact"/>
              <w:rPr>
                <w:rFonts w:ascii="宋体" w:hAnsi="宋体"/>
                <w:color w:val="000000"/>
                <w:szCs w:val="21"/>
              </w:rPr>
            </w:pPr>
            <w:r>
              <w:rPr>
                <w:rFonts w:hint="eastAsia" w:ascii="宋体" w:hAnsi="宋体"/>
                <w:color w:val="000000"/>
                <w:szCs w:val="21"/>
              </w:rPr>
              <w:t>姓名：</w:t>
            </w:r>
          </w:p>
          <w:p>
            <w:pPr>
              <w:spacing w:line="440" w:lineRule="exact"/>
              <w:rPr>
                <w:rFonts w:hint="eastAsia" w:ascii="宋体" w:hAnsi="宋体"/>
                <w:color w:val="000000"/>
                <w:szCs w:val="21"/>
              </w:rPr>
            </w:pPr>
          </w:p>
        </w:tc>
        <w:tc>
          <w:tcPr>
            <w:tcW w:w="744" w:type="dxa"/>
            <w:noWrap w:val="0"/>
            <w:vAlign w:val="center"/>
          </w:tcPr>
          <w:p>
            <w:pPr>
              <w:spacing w:line="440" w:lineRule="exac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043" w:type="dxa"/>
            <w:noWrap w:val="0"/>
            <w:vAlign w:val="center"/>
          </w:tcPr>
          <w:p>
            <w:pPr>
              <w:jc w:val="center"/>
              <w:rPr>
                <w:rFonts w:ascii="宋体" w:hAnsi="宋体"/>
                <w:color w:val="000000"/>
                <w:szCs w:val="21"/>
              </w:rPr>
            </w:pPr>
            <w:r>
              <w:rPr>
                <w:rFonts w:ascii="宋体" w:hAnsi="宋体"/>
                <w:color w:val="000000"/>
                <w:szCs w:val="21"/>
              </w:rPr>
              <w:t>2</w:t>
            </w:r>
          </w:p>
        </w:tc>
        <w:tc>
          <w:tcPr>
            <w:tcW w:w="2472" w:type="dxa"/>
            <w:noWrap w:val="0"/>
            <w:vAlign w:val="center"/>
          </w:tcPr>
          <w:p>
            <w:pPr>
              <w:jc w:val="center"/>
              <w:rPr>
                <w:rFonts w:ascii="宋体" w:hAnsi="宋体"/>
                <w:color w:val="000000"/>
                <w:szCs w:val="21"/>
              </w:rPr>
            </w:pPr>
            <w:r>
              <w:rPr>
                <w:rFonts w:ascii="宋体" w:hAnsi="宋体"/>
                <w:color w:val="000000"/>
                <w:szCs w:val="21"/>
              </w:rPr>
              <w:t>工期</w:t>
            </w:r>
          </w:p>
        </w:tc>
        <w:tc>
          <w:tcPr>
            <w:tcW w:w="1986" w:type="dxa"/>
            <w:noWrap w:val="0"/>
            <w:vAlign w:val="center"/>
          </w:tcPr>
          <w:p>
            <w:pPr>
              <w:jc w:val="center"/>
              <w:rPr>
                <w:rFonts w:hint="eastAsia" w:ascii="宋体" w:hAnsi="宋体"/>
                <w:color w:val="000000"/>
                <w:szCs w:val="21"/>
              </w:rPr>
            </w:pPr>
            <w:r>
              <w:rPr>
                <w:rFonts w:hint="eastAsia" w:ascii="宋体" w:hAnsi="宋体"/>
                <w:color w:val="000000"/>
                <w:szCs w:val="21"/>
              </w:rPr>
              <w:t>第8条</w:t>
            </w:r>
          </w:p>
        </w:tc>
        <w:tc>
          <w:tcPr>
            <w:tcW w:w="2526" w:type="dxa"/>
            <w:noWrap w:val="0"/>
            <w:vAlign w:val="center"/>
          </w:tcPr>
          <w:p>
            <w:pPr>
              <w:spacing w:line="440" w:lineRule="exact"/>
              <w:rPr>
                <w:rFonts w:ascii="宋体" w:hAnsi="宋体"/>
                <w:color w:val="000000"/>
                <w:szCs w:val="21"/>
              </w:rPr>
            </w:pPr>
            <w:r>
              <w:rPr>
                <w:rFonts w:hint="eastAsia" w:ascii="宋体" w:hAnsi="宋体"/>
                <w:color w:val="000000"/>
                <w:szCs w:val="21"/>
              </w:rPr>
              <w:t>工期（包括设计及施工工期）为</w:t>
            </w:r>
            <w:r>
              <w:rPr>
                <w:rFonts w:hint="eastAsia" w:ascii="宋体" w:hAnsi="宋体"/>
                <w:color w:val="000000"/>
                <w:szCs w:val="21"/>
                <w:u w:val="single"/>
              </w:rPr>
              <w:t xml:space="preserve">       </w:t>
            </w:r>
            <w:r>
              <w:rPr>
                <w:rFonts w:hint="eastAsia" w:ascii="宋体" w:hAnsi="宋体"/>
                <w:color w:val="000000"/>
                <w:szCs w:val="21"/>
              </w:rPr>
              <w:t xml:space="preserve">  天（日历天）</w:t>
            </w:r>
          </w:p>
        </w:tc>
        <w:tc>
          <w:tcPr>
            <w:tcW w:w="744" w:type="dxa"/>
            <w:noWrap w:val="0"/>
            <w:vAlign w:val="center"/>
          </w:tcPr>
          <w:p>
            <w:pPr>
              <w:spacing w:line="440" w:lineRule="exact"/>
              <w:ind w:firstLine="718" w:firstLineChars="342"/>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043" w:type="dxa"/>
            <w:noWrap w:val="0"/>
            <w:vAlign w:val="center"/>
          </w:tcPr>
          <w:p>
            <w:pPr>
              <w:jc w:val="center"/>
              <w:rPr>
                <w:rFonts w:ascii="宋体" w:hAnsi="宋体"/>
                <w:color w:val="000000"/>
                <w:szCs w:val="21"/>
              </w:rPr>
            </w:pPr>
            <w:r>
              <w:rPr>
                <w:rFonts w:ascii="宋体" w:hAnsi="宋体"/>
                <w:color w:val="000000"/>
                <w:szCs w:val="21"/>
              </w:rPr>
              <w:t>3</w:t>
            </w:r>
          </w:p>
        </w:tc>
        <w:tc>
          <w:tcPr>
            <w:tcW w:w="2472" w:type="dxa"/>
            <w:noWrap w:val="0"/>
            <w:vAlign w:val="center"/>
          </w:tcPr>
          <w:p>
            <w:pPr>
              <w:jc w:val="center"/>
              <w:rPr>
                <w:rFonts w:ascii="宋体" w:hAnsi="宋体"/>
                <w:color w:val="000000"/>
                <w:szCs w:val="21"/>
              </w:rPr>
            </w:pPr>
            <w:r>
              <w:rPr>
                <w:rFonts w:ascii="宋体" w:hAnsi="宋体"/>
                <w:color w:val="000000"/>
                <w:szCs w:val="21"/>
              </w:rPr>
              <w:t>缺陷责任期</w:t>
            </w:r>
          </w:p>
        </w:tc>
        <w:tc>
          <w:tcPr>
            <w:tcW w:w="1986" w:type="dxa"/>
            <w:noWrap w:val="0"/>
            <w:vAlign w:val="center"/>
          </w:tcPr>
          <w:p>
            <w:pPr>
              <w:jc w:val="center"/>
              <w:rPr>
                <w:rFonts w:ascii="宋体" w:hAnsi="宋体"/>
                <w:color w:val="000000"/>
                <w:szCs w:val="21"/>
              </w:rPr>
            </w:pPr>
            <w:r>
              <w:rPr>
                <w:rFonts w:ascii="宋体" w:hAnsi="宋体"/>
                <w:color w:val="000000"/>
                <w:szCs w:val="21"/>
              </w:rPr>
              <w:t>11.2</w:t>
            </w:r>
          </w:p>
        </w:tc>
        <w:tc>
          <w:tcPr>
            <w:tcW w:w="2526" w:type="dxa"/>
            <w:noWrap w:val="0"/>
            <w:vAlign w:val="center"/>
          </w:tcPr>
          <w:p>
            <w:pPr>
              <w:spacing w:line="440" w:lineRule="exact"/>
              <w:rPr>
                <w:rFonts w:ascii="宋体" w:hAnsi="宋体"/>
                <w:color w:val="000000"/>
                <w:szCs w:val="21"/>
              </w:rPr>
            </w:pPr>
            <w:r>
              <w:rPr>
                <w:rFonts w:hint="eastAsia" w:ascii="宋体" w:hAnsi="宋体"/>
                <w:color w:val="000000"/>
                <w:szCs w:val="21"/>
                <w:u w:val="single"/>
              </w:rPr>
              <w:t xml:space="preserve">       </w:t>
            </w:r>
            <w:r>
              <w:rPr>
                <w:rFonts w:hint="eastAsia" w:ascii="宋体" w:hAnsi="宋体"/>
                <w:color w:val="000000"/>
                <w:szCs w:val="21"/>
              </w:rPr>
              <w:t xml:space="preserve"> 月</w:t>
            </w:r>
          </w:p>
        </w:tc>
        <w:tc>
          <w:tcPr>
            <w:tcW w:w="744" w:type="dxa"/>
            <w:noWrap w:val="0"/>
            <w:vAlign w:val="center"/>
          </w:tcPr>
          <w:p>
            <w:pPr>
              <w:spacing w:line="440" w:lineRule="exac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043" w:type="dxa"/>
            <w:noWrap w:val="0"/>
            <w:vAlign w:val="top"/>
          </w:tcPr>
          <w:p>
            <w:pPr>
              <w:jc w:val="center"/>
              <w:rPr>
                <w:rFonts w:ascii="宋体" w:hAnsi="宋体"/>
                <w:color w:val="000000"/>
                <w:szCs w:val="21"/>
              </w:rPr>
            </w:pPr>
            <w:r>
              <w:rPr>
                <w:rFonts w:ascii="宋体" w:hAnsi="宋体"/>
                <w:color w:val="000000"/>
                <w:szCs w:val="21"/>
              </w:rPr>
              <w:t>……</w:t>
            </w:r>
          </w:p>
        </w:tc>
        <w:tc>
          <w:tcPr>
            <w:tcW w:w="2472" w:type="dxa"/>
            <w:noWrap w:val="0"/>
            <w:vAlign w:val="top"/>
          </w:tcPr>
          <w:p>
            <w:pPr>
              <w:jc w:val="center"/>
              <w:rPr>
                <w:rFonts w:ascii="宋体" w:hAnsi="宋体"/>
                <w:color w:val="000000"/>
                <w:szCs w:val="21"/>
              </w:rPr>
            </w:pPr>
            <w:r>
              <w:rPr>
                <w:rFonts w:ascii="宋体" w:hAnsi="宋体"/>
                <w:color w:val="000000"/>
                <w:szCs w:val="21"/>
              </w:rPr>
              <w:t>……</w:t>
            </w:r>
          </w:p>
        </w:tc>
        <w:tc>
          <w:tcPr>
            <w:tcW w:w="1986" w:type="dxa"/>
            <w:noWrap w:val="0"/>
            <w:vAlign w:val="center"/>
          </w:tcPr>
          <w:p>
            <w:pPr>
              <w:jc w:val="center"/>
              <w:rPr>
                <w:rFonts w:ascii="宋体" w:hAnsi="宋体"/>
                <w:color w:val="000000"/>
                <w:szCs w:val="21"/>
              </w:rPr>
            </w:pPr>
            <w:r>
              <w:rPr>
                <w:rFonts w:ascii="宋体" w:hAnsi="宋体"/>
                <w:color w:val="000000"/>
                <w:szCs w:val="21"/>
              </w:rPr>
              <w:t>……</w:t>
            </w:r>
          </w:p>
        </w:tc>
        <w:tc>
          <w:tcPr>
            <w:tcW w:w="2526" w:type="dxa"/>
            <w:noWrap w:val="0"/>
            <w:vAlign w:val="center"/>
          </w:tcPr>
          <w:p>
            <w:pPr>
              <w:spacing w:line="440" w:lineRule="exact"/>
              <w:jc w:val="center"/>
              <w:rPr>
                <w:rFonts w:ascii="宋体" w:hAnsi="宋体"/>
                <w:color w:val="000000"/>
                <w:szCs w:val="21"/>
              </w:rPr>
            </w:pPr>
            <w:r>
              <w:rPr>
                <w:rFonts w:ascii="宋体" w:hAnsi="宋体"/>
                <w:color w:val="000000"/>
                <w:szCs w:val="21"/>
              </w:rPr>
              <w:t>……</w:t>
            </w:r>
          </w:p>
        </w:tc>
        <w:tc>
          <w:tcPr>
            <w:tcW w:w="744" w:type="dxa"/>
            <w:noWrap w:val="0"/>
            <w:vAlign w:val="center"/>
          </w:tcPr>
          <w:p>
            <w:pPr>
              <w:spacing w:line="440" w:lineRule="exact"/>
              <w:rPr>
                <w:rFonts w:ascii="宋体" w:hAnsi="宋体"/>
                <w:color w:val="000000"/>
                <w:szCs w:val="21"/>
              </w:rPr>
            </w:pPr>
          </w:p>
        </w:tc>
      </w:tr>
    </w:tbl>
    <w:p>
      <w:pPr>
        <w:spacing w:line="440" w:lineRule="exact"/>
        <w:rPr>
          <w:rFonts w:hint="eastAsia" w:eastAsia="黑体"/>
          <w:color w:val="000000"/>
          <w:sz w:val="20"/>
          <w:szCs w:val="20"/>
        </w:rPr>
      </w:pPr>
    </w:p>
    <w:p>
      <w:pPr>
        <w:jc w:val="center"/>
        <w:rPr>
          <w:color w:val="000000"/>
          <w:szCs w:val="21"/>
        </w:rPr>
      </w:pPr>
    </w:p>
    <w:p>
      <w:pPr>
        <w:spacing w:line="440" w:lineRule="exact"/>
        <w:rPr>
          <w:color w:val="000000"/>
          <w:szCs w:val="21"/>
        </w:rPr>
      </w:pPr>
    </w:p>
    <w:p>
      <w:pPr>
        <w:spacing w:line="440" w:lineRule="exact"/>
        <w:ind w:firstLine="3570" w:firstLineChars="1700"/>
        <w:rPr>
          <w:rFonts w:ascii="宋体" w:hAnsi="宋体"/>
          <w:color w:val="000000"/>
        </w:rPr>
      </w:pPr>
      <w:r>
        <w:rPr>
          <w:rFonts w:hint="eastAsia" w:ascii="宋体" w:hAnsi="宋体"/>
          <w:color w:val="000000"/>
        </w:rPr>
        <w:t>投</w:t>
      </w:r>
      <w:r>
        <w:rPr>
          <w:rFonts w:ascii="宋体" w:hAnsi="宋体"/>
          <w:color w:val="000000"/>
        </w:rPr>
        <w:t xml:space="preserve"> 标 </w:t>
      </w:r>
      <w:r>
        <w:rPr>
          <w:rFonts w:hint="eastAsia" w:ascii="宋体" w:hAnsi="宋体"/>
          <w:color w:val="000000"/>
        </w:rPr>
        <w:t xml:space="preserve"> </w:t>
      </w:r>
      <w:r>
        <w:rPr>
          <w:rFonts w:ascii="宋体" w:hAnsi="宋体"/>
          <w:color w:val="000000"/>
        </w:rPr>
        <w:t>人：</w:t>
      </w:r>
      <w:r>
        <w:rPr>
          <w:rFonts w:ascii="宋体" w:hAnsi="宋体"/>
          <w:color w:val="000000"/>
          <w:u w:val="single"/>
        </w:rPr>
        <w:t xml:space="preserve">                      </w:t>
      </w:r>
      <w:r>
        <w:rPr>
          <w:rFonts w:ascii="宋体" w:hAnsi="宋体"/>
          <w:color w:val="000000"/>
        </w:rPr>
        <w:t>（盖单位章）</w:t>
      </w:r>
    </w:p>
    <w:p>
      <w:pPr>
        <w:spacing w:line="440" w:lineRule="exact"/>
        <w:ind w:firstLine="3150" w:firstLineChars="1500"/>
        <w:rPr>
          <w:rFonts w:ascii="宋体" w:hAnsi="宋体"/>
          <w:color w:val="000000"/>
        </w:rPr>
      </w:pPr>
    </w:p>
    <w:p>
      <w:pPr>
        <w:spacing w:line="440" w:lineRule="exact"/>
        <w:ind w:firstLine="3675" w:firstLineChars="1750"/>
        <w:rPr>
          <w:rFonts w:hint="eastAsia" w:ascii="宋体" w:hAnsi="宋体"/>
          <w:color w:val="000000"/>
        </w:rPr>
      </w:pPr>
    </w:p>
    <w:p>
      <w:pPr>
        <w:spacing w:line="440" w:lineRule="exact"/>
        <w:ind w:firstLine="3570" w:firstLineChars="1700"/>
        <w:rPr>
          <w:rFonts w:ascii="宋体" w:hAnsi="宋体"/>
          <w:color w:val="000000"/>
        </w:rPr>
      </w:pPr>
      <w:r>
        <w:rPr>
          <w:rFonts w:hint="eastAsia" w:ascii="宋体" w:hAnsi="宋体"/>
          <w:color w:val="000000"/>
        </w:rPr>
        <w:t>投</w:t>
      </w:r>
      <w:r>
        <w:rPr>
          <w:rFonts w:ascii="宋体" w:hAnsi="宋体"/>
          <w:color w:val="000000"/>
        </w:rPr>
        <w:t xml:space="preserve"> 标 </w:t>
      </w:r>
      <w:r>
        <w:rPr>
          <w:rFonts w:hint="eastAsia" w:ascii="宋体" w:hAnsi="宋体"/>
          <w:color w:val="000000"/>
        </w:rPr>
        <w:t xml:space="preserve"> </w:t>
      </w:r>
      <w:r>
        <w:rPr>
          <w:rFonts w:ascii="宋体" w:hAnsi="宋体"/>
          <w:color w:val="000000"/>
        </w:rPr>
        <w:t>人：</w:t>
      </w:r>
      <w:r>
        <w:rPr>
          <w:rFonts w:ascii="宋体" w:hAnsi="宋体"/>
          <w:color w:val="000000"/>
          <w:u w:val="single"/>
        </w:rPr>
        <w:t xml:space="preserve">                      </w:t>
      </w:r>
      <w:r>
        <w:rPr>
          <w:rFonts w:ascii="宋体" w:hAnsi="宋体"/>
          <w:color w:val="000000"/>
        </w:rPr>
        <w:t>（盖单位章）</w:t>
      </w:r>
    </w:p>
    <w:p>
      <w:pPr>
        <w:spacing w:line="440" w:lineRule="exact"/>
        <w:ind w:firstLine="3150" w:firstLineChars="1500"/>
        <w:rPr>
          <w:rFonts w:ascii="宋体" w:hAnsi="宋体"/>
          <w:color w:val="000000"/>
        </w:rPr>
      </w:pPr>
    </w:p>
    <w:p>
      <w:pPr>
        <w:spacing w:line="440" w:lineRule="exact"/>
        <w:ind w:firstLine="3675" w:firstLineChars="1750"/>
        <w:rPr>
          <w:rFonts w:hint="eastAsia" w:ascii="宋体" w:hAnsi="宋体"/>
          <w:color w:val="000000"/>
        </w:rPr>
      </w:pPr>
    </w:p>
    <w:p>
      <w:pPr>
        <w:spacing w:line="440" w:lineRule="exact"/>
        <w:ind w:firstLine="3675" w:firstLineChars="1750"/>
        <w:rPr>
          <w:rFonts w:hint="eastAsia" w:ascii="宋体" w:hAnsi="宋体"/>
          <w:color w:val="000000"/>
        </w:rPr>
      </w:pPr>
    </w:p>
    <w:p>
      <w:pPr>
        <w:spacing w:line="440" w:lineRule="exact"/>
        <w:ind w:firstLine="3675"/>
        <w:rPr>
          <w:rFonts w:hint="eastAsia" w:ascii="宋体" w:hAnsi="宋体"/>
          <w:color w:val="000000"/>
          <w:sz w:val="20"/>
        </w:rPr>
      </w:pPr>
      <w:r>
        <w:rPr>
          <w:rFonts w:hint="eastAsia" w:ascii="宋体" w:hAnsi="宋体"/>
          <w:color w:val="000000"/>
          <w:u w:val="single"/>
        </w:rPr>
        <w:t xml:space="preserve">        </w:t>
      </w:r>
      <w:r>
        <w:rPr>
          <w:rFonts w:ascii="宋体" w:hAnsi="宋体"/>
          <w:color w:val="000000"/>
        </w:rPr>
        <w:t>年</w:t>
      </w:r>
      <w:r>
        <w:rPr>
          <w:rFonts w:hint="eastAsia" w:ascii="宋体" w:hAnsi="宋体"/>
          <w:color w:val="000000"/>
          <w:u w:val="single"/>
        </w:rPr>
        <w:t xml:space="preserve">        </w:t>
      </w:r>
      <w:r>
        <w:rPr>
          <w:rFonts w:ascii="宋体" w:hAnsi="宋体"/>
          <w:color w:val="000000"/>
        </w:rPr>
        <w:t>月</w:t>
      </w:r>
      <w:r>
        <w:rPr>
          <w:rFonts w:hint="eastAsia" w:ascii="宋体" w:hAnsi="宋体"/>
          <w:color w:val="000000"/>
          <w:u w:val="single"/>
        </w:rPr>
        <w:t xml:space="preserve">        </w:t>
      </w:r>
      <w:r>
        <w:rPr>
          <w:rFonts w:ascii="宋体" w:hAnsi="宋体"/>
          <w:color w:val="000000"/>
        </w:rPr>
        <w:t>日</w:t>
      </w:r>
    </w:p>
    <w:p>
      <w:pPr>
        <w:pStyle w:val="4"/>
        <w:jc w:val="center"/>
        <w:rPr>
          <w:rFonts w:hint="eastAsia" w:ascii="宋体" w:hAnsi="宋体"/>
          <w:b w:val="0"/>
          <w:color w:val="000000"/>
          <w:sz w:val="28"/>
          <w:szCs w:val="28"/>
        </w:rPr>
      </w:pPr>
      <w:r>
        <w:rPr>
          <w:color w:val="000000"/>
          <w:szCs w:val="21"/>
        </w:rPr>
        <w:br w:type="page"/>
      </w:r>
      <w:bookmarkStart w:id="1764" w:name="_Toc59203270"/>
      <w:bookmarkStart w:id="1765" w:name="_Toc402532189"/>
      <w:bookmarkStart w:id="1766" w:name="_Toc404006886"/>
      <w:r>
        <w:rPr>
          <w:rFonts w:hint="eastAsia"/>
          <w:color w:val="000000"/>
          <w:sz w:val="30"/>
          <w:szCs w:val="30"/>
        </w:rPr>
        <w:t>3、投标报价要求</w:t>
      </w:r>
      <w:bookmarkEnd w:id="1764"/>
    </w:p>
    <w:p>
      <w:pPr>
        <w:spacing w:line="360" w:lineRule="auto"/>
        <w:rPr>
          <w:rFonts w:hint="eastAsia" w:ascii="宋体" w:hAnsi="宋体"/>
          <w:color w:val="000000"/>
          <w:szCs w:val="21"/>
        </w:rPr>
      </w:pPr>
      <w:r>
        <w:rPr>
          <w:rFonts w:hint="eastAsia" w:ascii="宋体" w:hAnsi="宋体"/>
          <w:color w:val="000000"/>
          <w:szCs w:val="21"/>
        </w:rPr>
        <w:t xml:space="preserve">   （1）初步设计后工程总承包投标报价</w:t>
      </w:r>
    </w:p>
    <w:p>
      <w:pPr>
        <w:spacing w:line="360" w:lineRule="auto"/>
        <w:rPr>
          <w:rFonts w:hint="eastAsia"/>
          <w:color w:val="000000"/>
          <w:szCs w:val="21"/>
        </w:rPr>
      </w:pPr>
      <w:r>
        <w:rPr>
          <w:rFonts w:hint="eastAsia"/>
          <w:color w:val="000000"/>
          <w:szCs w:val="21"/>
        </w:rPr>
        <w:t>3.1招标人发布招标文件时不提供统一的工程量清单。为使招投标人按照统一的计量计价规则编制计价文件，如采用工程量清单计价法，投标人应根据广西现行建设工程工程量清单计价计量规范要求自行编制工程量清单；如采用工料单价法，投标人均需按照我区现行各专业定额编号、定额子目名称、计量单位、计算规则自行设置分部分项工程子目。</w:t>
      </w:r>
    </w:p>
    <w:p>
      <w:pPr>
        <w:spacing w:line="360" w:lineRule="auto"/>
        <w:rPr>
          <w:rFonts w:hint="eastAsia"/>
          <w:color w:val="000000"/>
          <w:szCs w:val="21"/>
        </w:rPr>
      </w:pPr>
      <w:r>
        <w:rPr>
          <w:rFonts w:hint="eastAsia"/>
          <w:color w:val="000000"/>
          <w:szCs w:val="21"/>
        </w:rPr>
        <w:t>3.2投标人应当根据招标文件、详勘资料、经批复的初步设计文件及投标人深化设计文件、工程量清单计价计算规范广西实施细则、招标控制价自行报价。</w:t>
      </w:r>
    </w:p>
    <w:p>
      <w:pPr>
        <w:spacing w:line="360" w:lineRule="auto"/>
        <w:rPr>
          <w:rFonts w:hint="eastAsia"/>
          <w:color w:val="000000"/>
          <w:szCs w:val="21"/>
        </w:rPr>
      </w:pPr>
      <w:r>
        <w:rPr>
          <w:rFonts w:hint="eastAsia"/>
          <w:color w:val="000000"/>
          <w:szCs w:val="21"/>
        </w:rPr>
        <w:t>3.3综合单价应包含人工费、材料费、机械费、管理费、利润以及招标文件中划分的应由投标人承担的风险费用。</w:t>
      </w:r>
    </w:p>
    <w:p>
      <w:pPr>
        <w:spacing w:line="360" w:lineRule="auto"/>
        <w:rPr>
          <w:rFonts w:hint="eastAsia"/>
          <w:color w:val="000000"/>
          <w:szCs w:val="21"/>
        </w:rPr>
      </w:pPr>
      <w:r>
        <w:rPr>
          <w:rFonts w:hint="eastAsia"/>
          <w:color w:val="000000"/>
          <w:szCs w:val="21"/>
        </w:rPr>
        <w:t>3.3 总价措施项目应根据投标单位拟定的施工组织设计或施工方案自主报价，包干使用。但安全文明施工费按国家、省级或行业建设主管部门的有关规定执行，作为不竞争费用单列。</w:t>
      </w:r>
    </w:p>
    <w:p>
      <w:pPr>
        <w:spacing w:line="360" w:lineRule="auto"/>
        <w:rPr>
          <w:rFonts w:hint="eastAsia"/>
          <w:color w:val="000000"/>
          <w:szCs w:val="21"/>
        </w:rPr>
      </w:pPr>
      <w:r>
        <w:rPr>
          <w:rFonts w:hint="eastAsia"/>
          <w:color w:val="000000"/>
          <w:szCs w:val="21"/>
        </w:rPr>
        <w:t>3.4 其他项目费应按下列规定报价：</w:t>
      </w:r>
    </w:p>
    <w:p>
      <w:pPr>
        <w:spacing w:line="360" w:lineRule="auto"/>
        <w:rPr>
          <w:rFonts w:hint="eastAsia"/>
          <w:color w:val="000000"/>
          <w:szCs w:val="21"/>
        </w:rPr>
      </w:pPr>
      <w:r>
        <w:rPr>
          <w:rFonts w:hint="eastAsia"/>
          <w:color w:val="000000"/>
          <w:szCs w:val="21"/>
        </w:rPr>
        <w:t>①暂列金额应按招标工程量清单中列出的金额填写；</w:t>
      </w:r>
    </w:p>
    <w:p>
      <w:pPr>
        <w:spacing w:line="360" w:lineRule="auto"/>
        <w:rPr>
          <w:rFonts w:hint="eastAsia"/>
          <w:color w:val="000000"/>
          <w:szCs w:val="21"/>
        </w:rPr>
      </w:pPr>
      <w:r>
        <w:rPr>
          <w:rFonts w:hint="eastAsia"/>
          <w:color w:val="000000"/>
          <w:szCs w:val="21"/>
        </w:rPr>
        <w:t>②材料、工程设备暂估价应按业主在招标文件列出的单价计入综合单价；</w:t>
      </w:r>
    </w:p>
    <w:p>
      <w:pPr>
        <w:spacing w:line="360" w:lineRule="auto"/>
        <w:rPr>
          <w:rFonts w:hint="eastAsia"/>
          <w:color w:val="000000"/>
          <w:szCs w:val="21"/>
        </w:rPr>
      </w:pPr>
      <w:r>
        <w:rPr>
          <w:rFonts w:hint="eastAsia"/>
          <w:color w:val="000000"/>
          <w:szCs w:val="21"/>
        </w:rPr>
        <w:t>③专业工程暂估价应按业主在招标文件列出的金额填写；</w:t>
      </w:r>
    </w:p>
    <w:p>
      <w:pPr>
        <w:spacing w:line="360" w:lineRule="auto"/>
        <w:rPr>
          <w:rFonts w:hint="eastAsia"/>
          <w:color w:val="000000"/>
          <w:szCs w:val="21"/>
        </w:rPr>
      </w:pPr>
      <w:r>
        <w:rPr>
          <w:rFonts w:hint="eastAsia"/>
          <w:color w:val="000000"/>
          <w:szCs w:val="21"/>
        </w:rPr>
        <w:t>④不计算计日工项目，发生时应通过签证确认。；</w:t>
      </w:r>
    </w:p>
    <w:p>
      <w:pPr>
        <w:spacing w:line="360" w:lineRule="auto"/>
        <w:rPr>
          <w:rFonts w:hint="eastAsia"/>
          <w:color w:val="000000"/>
          <w:szCs w:val="21"/>
        </w:rPr>
      </w:pPr>
      <w:r>
        <w:rPr>
          <w:rFonts w:hint="eastAsia"/>
          <w:color w:val="000000"/>
          <w:szCs w:val="21"/>
        </w:rPr>
        <w:t>⑤总承包服务费应根据招标文件中列出的内容和供应材料、设备情况，按照招标人提出的协调、配合与服务要求和施工现场管理需要自主确定。</w:t>
      </w:r>
    </w:p>
    <w:p>
      <w:pPr>
        <w:spacing w:line="360" w:lineRule="auto"/>
        <w:rPr>
          <w:rFonts w:hint="eastAsia"/>
          <w:color w:val="000000"/>
          <w:szCs w:val="21"/>
        </w:rPr>
      </w:pPr>
      <w:r>
        <w:rPr>
          <w:rFonts w:hint="eastAsia"/>
          <w:color w:val="000000"/>
          <w:szCs w:val="21"/>
        </w:rPr>
        <w:t>3.5 规费和增值税应按规定确定，作为不可竞争费用。</w:t>
      </w:r>
    </w:p>
    <w:p>
      <w:pPr>
        <w:spacing w:line="360" w:lineRule="auto"/>
        <w:rPr>
          <w:rFonts w:hint="eastAsia"/>
          <w:color w:val="000000"/>
          <w:szCs w:val="21"/>
        </w:rPr>
      </w:pPr>
      <w:r>
        <w:rPr>
          <w:rFonts w:hint="eastAsia"/>
          <w:color w:val="000000"/>
          <w:szCs w:val="21"/>
        </w:rPr>
        <w:t>3.6 投标总价应当与分部分项工程费、措施项目费、其他项目费和规费、增值税的合计金额一致。</w:t>
      </w:r>
    </w:p>
    <w:p>
      <w:pPr>
        <w:spacing w:line="360" w:lineRule="auto"/>
        <w:rPr>
          <w:rFonts w:hint="eastAsia"/>
          <w:color w:val="000000"/>
          <w:szCs w:val="21"/>
        </w:rPr>
      </w:pPr>
      <w:r>
        <w:rPr>
          <w:rFonts w:hint="eastAsia"/>
          <w:color w:val="000000"/>
          <w:szCs w:val="21"/>
        </w:rPr>
        <w:t>3.7 投标人应按招标文件给出的《承包人提供的主要材料和设备一览表》的内容填报，不得擅自调整材料和设备名称型号规格、单位、风险系数、基准单价。</w:t>
      </w:r>
    </w:p>
    <w:p>
      <w:pPr>
        <w:spacing w:line="360" w:lineRule="auto"/>
        <w:rPr>
          <w:rFonts w:hint="eastAsia"/>
          <w:color w:val="000000"/>
          <w:szCs w:val="21"/>
        </w:rPr>
      </w:pPr>
      <w:r>
        <w:rPr>
          <w:rFonts w:hint="eastAsia"/>
          <w:color w:val="000000"/>
          <w:szCs w:val="21"/>
        </w:rPr>
        <w:t>未尽事宜详见本工程招标控制价编制说明以及现行《计价规范》等有关规定执行。</w:t>
      </w:r>
    </w:p>
    <w:p>
      <w:pPr>
        <w:spacing w:line="360" w:lineRule="auto"/>
        <w:ind w:firstLine="420" w:firstLineChars="200"/>
        <w:rPr>
          <w:rFonts w:hint="eastAsia"/>
          <w:color w:val="000000"/>
          <w:szCs w:val="21"/>
        </w:rPr>
      </w:pPr>
      <w:r>
        <w:rPr>
          <w:rFonts w:hint="eastAsia"/>
          <w:color w:val="000000"/>
          <w:szCs w:val="21"/>
        </w:rPr>
        <w:t>（2）方案设计后工程总承包投标报价</w:t>
      </w:r>
    </w:p>
    <w:p>
      <w:pPr>
        <w:spacing w:line="360" w:lineRule="auto"/>
        <w:ind w:firstLine="420" w:firstLineChars="200"/>
        <w:rPr>
          <w:rFonts w:hint="eastAsia"/>
          <w:color w:val="000000"/>
          <w:szCs w:val="21"/>
        </w:rPr>
      </w:pPr>
      <w:r>
        <w:rPr>
          <w:rFonts w:hint="eastAsia"/>
          <w:color w:val="000000"/>
          <w:szCs w:val="21"/>
        </w:rPr>
        <w:t>投标人根据勘探资料、招标文件、设计文件（含方案设计及深化设计）、技术配置及交付标准，参照招标人提供的功能性工程量清单的项目设置及市场价编制投标报价。工程量清单综合单价为包含除税金以外的所有费用，其中安全文明施工费要单独计算。招标人提供的功能性工程量清单存在漏项缺项的要求投标人在招标文件要求的时间内向招标人提出异议，招标人应及时进行核对并修改完善。招标人提供的功能性工程量清单除项目设置及格式必须严格执行外，其余内容仅供投标人参考，不得将其视为要求承包人实施的工程的实际或准确的工作量，也不作为调整结算的依据。</w:t>
      </w:r>
    </w:p>
    <w:p>
      <w:pPr>
        <w:pStyle w:val="4"/>
        <w:jc w:val="center"/>
        <w:rPr>
          <w:rFonts w:hint="eastAsia"/>
          <w:color w:val="000000"/>
          <w:sz w:val="30"/>
          <w:szCs w:val="30"/>
        </w:rPr>
      </w:pPr>
      <w:bookmarkStart w:id="1767" w:name="_Toc59203271"/>
      <w:r>
        <w:rPr>
          <w:rFonts w:hint="eastAsia"/>
          <w:color w:val="000000"/>
          <w:sz w:val="30"/>
          <w:szCs w:val="30"/>
        </w:rPr>
        <w:t>4、投标报价一览表</w:t>
      </w:r>
      <w:bookmarkEnd w:id="1767"/>
    </w:p>
    <w:p>
      <w:pPr>
        <w:spacing w:line="360" w:lineRule="auto"/>
        <w:ind w:firstLine="420" w:firstLineChars="200"/>
        <w:rPr>
          <w:rFonts w:hint="eastAsia" w:ascii="宋体" w:hAnsi="宋体"/>
          <w:color w:val="000000"/>
          <w:szCs w:val="21"/>
        </w:rPr>
      </w:pPr>
      <w:r>
        <w:rPr>
          <w:rFonts w:hint="eastAsia" w:ascii="宋体" w:hAnsi="宋体"/>
          <w:color w:val="000000"/>
          <w:szCs w:val="21"/>
        </w:rPr>
        <w:t>投标报价一览表格式及内容除封面和扉页外，其他表格同招标控制价一览表。</w:t>
      </w:r>
    </w:p>
    <w:p>
      <w:pPr>
        <w:pStyle w:val="473"/>
        <w:ind w:left="0" w:firstLine="0"/>
        <w:rPr>
          <w:color w:val="000000"/>
        </w:rPr>
      </w:pPr>
      <w:r>
        <w:rPr>
          <w:color w:val="000000"/>
        </w:rPr>
        <w:t>表1  投标报价封面</w:t>
      </w:r>
    </w:p>
    <w:p>
      <w:pPr>
        <w:pStyle w:val="473"/>
        <w:rPr>
          <w:color w:val="000000"/>
        </w:rPr>
      </w:pPr>
    </w:p>
    <w:p>
      <w:pPr>
        <w:pStyle w:val="473"/>
        <w:rPr>
          <w:color w:val="000000"/>
        </w:rPr>
      </w:pPr>
    </w:p>
    <w:p>
      <w:pPr>
        <w:pStyle w:val="473"/>
        <w:jc w:val="center"/>
        <w:rPr>
          <w:color w:val="000000"/>
        </w:rPr>
      </w:pPr>
      <w:r>
        <w:rPr>
          <w:b/>
          <w:color w:val="000000"/>
          <w:sz w:val="28"/>
          <w:szCs w:val="28"/>
        </w:rPr>
        <w:t>____________________________</w:t>
      </w:r>
      <w:r>
        <w:rPr>
          <w:b/>
          <w:color w:val="000000"/>
          <w:sz w:val="36"/>
          <w:szCs w:val="36"/>
        </w:rPr>
        <w:t>工程</w:t>
      </w:r>
    </w:p>
    <w:p>
      <w:pPr>
        <w:pStyle w:val="473"/>
        <w:rPr>
          <w:color w:val="000000"/>
        </w:rPr>
      </w:pPr>
      <w:r>
        <w:rPr>
          <w:color w:val="000000"/>
        </w:rPr>
        <w:t xml:space="preserve">   </w:t>
      </w:r>
    </w:p>
    <w:p>
      <w:pPr>
        <w:pStyle w:val="473"/>
        <w:rPr>
          <w:color w:val="000000"/>
        </w:rPr>
      </w:pPr>
    </w:p>
    <w:p>
      <w:pPr>
        <w:pStyle w:val="473"/>
        <w:rPr>
          <w:color w:val="000000"/>
        </w:rPr>
      </w:pPr>
    </w:p>
    <w:p>
      <w:pPr>
        <w:pStyle w:val="473"/>
        <w:rPr>
          <w:color w:val="000000"/>
        </w:rPr>
      </w:pPr>
    </w:p>
    <w:p>
      <w:pPr>
        <w:pStyle w:val="473"/>
        <w:rPr>
          <w:color w:val="000000"/>
        </w:rPr>
      </w:pPr>
    </w:p>
    <w:p>
      <w:pPr>
        <w:pStyle w:val="473"/>
        <w:rPr>
          <w:color w:val="000000"/>
        </w:rPr>
      </w:pPr>
    </w:p>
    <w:p>
      <w:pPr>
        <w:pStyle w:val="473"/>
        <w:rPr>
          <w:color w:val="000000"/>
        </w:rPr>
      </w:pPr>
    </w:p>
    <w:p>
      <w:pPr>
        <w:pStyle w:val="473"/>
        <w:jc w:val="center"/>
        <w:rPr>
          <w:color w:val="000000"/>
        </w:rPr>
      </w:pPr>
      <w:r>
        <w:rPr>
          <w:b/>
          <w:color w:val="000000"/>
          <w:sz w:val="52"/>
          <w:szCs w:val="52"/>
        </w:rPr>
        <w:t>投 标 总 价</w:t>
      </w:r>
    </w:p>
    <w:p>
      <w:pPr>
        <w:pStyle w:val="473"/>
        <w:rPr>
          <w:color w:val="000000"/>
        </w:rPr>
      </w:pPr>
    </w:p>
    <w:p>
      <w:pPr>
        <w:pStyle w:val="473"/>
        <w:rPr>
          <w:color w:val="000000"/>
        </w:rPr>
      </w:pPr>
    </w:p>
    <w:p>
      <w:pPr>
        <w:pStyle w:val="473"/>
        <w:rPr>
          <w:color w:val="000000"/>
        </w:rPr>
      </w:pPr>
    </w:p>
    <w:p>
      <w:pPr>
        <w:pStyle w:val="473"/>
        <w:rPr>
          <w:color w:val="000000"/>
        </w:rPr>
      </w:pPr>
    </w:p>
    <w:p>
      <w:pPr>
        <w:pStyle w:val="473"/>
        <w:rPr>
          <w:color w:val="000000"/>
        </w:rPr>
      </w:pPr>
    </w:p>
    <w:p>
      <w:pPr>
        <w:pStyle w:val="473"/>
        <w:jc w:val="center"/>
        <w:rPr>
          <w:color w:val="000000"/>
        </w:rPr>
      </w:pPr>
    </w:p>
    <w:p>
      <w:pPr>
        <w:pStyle w:val="473"/>
        <w:jc w:val="center"/>
        <w:rPr>
          <w:color w:val="000000"/>
        </w:rPr>
      </w:pPr>
    </w:p>
    <w:p>
      <w:pPr>
        <w:pStyle w:val="473"/>
        <w:jc w:val="center"/>
        <w:rPr>
          <w:color w:val="000000"/>
        </w:rPr>
      </w:pPr>
    </w:p>
    <w:p>
      <w:pPr>
        <w:pStyle w:val="473"/>
        <w:jc w:val="center"/>
        <w:rPr>
          <w:color w:val="000000"/>
        </w:rPr>
      </w:pPr>
    </w:p>
    <w:p>
      <w:pPr>
        <w:pStyle w:val="473"/>
        <w:jc w:val="center"/>
        <w:rPr>
          <w:color w:val="000000"/>
        </w:rPr>
      </w:pPr>
    </w:p>
    <w:p>
      <w:pPr>
        <w:pStyle w:val="473"/>
        <w:jc w:val="center"/>
        <w:rPr>
          <w:color w:val="000000"/>
        </w:rPr>
      </w:pPr>
      <w:r>
        <w:rPr>
          <w:color w:val="000000"/>
          <w:sz w:val="32"/>
          <w:szCs w:val="32"/>
        </w:rPr>
        <w:t>投 标 人：</w:t>
      </w:r>
      <w:r>
        <w:rPr>
          <w:color w:val="000000"/>
        </w:rPr>
        <w:t>_____________________</w:t>
      </w:r>
    </w:p>
    <w:p>
      <w:pPr>
        <w:pStyle w:val="473"/>
        <w:jc w:val="center"/>
        <w:rPr>
          <w:color w:val="000000"/>
        </w:rPr>
      </w:pPr>
      <w:r>
        <w:rPr>
          <w:color w:val="000000"/>
        </w:rPr>
        <w:t xml:space="preserve">           （单位盖章）</w:t>
      </w:r>
    </w:p>
    <w:p>
      <w:pPr>
        <w:pStyle w:val="473"/>
        <w:rPr>
          <w:color w:val="000000"/>
        </w:rPr>
      </w:pPr>
    </w:p>
    <w:p>
      <w:pPr>
        <w:pStyle w:val="473"/>
        <w:jc w:val="center"/>
        <w:rPr>
          <w:rFonts w:hint="eastAsia"/>
          <w:color w:val="000000"/>
        </w:rPr>
      </w:pPr>
      <w:r>
        <w:rPr>
          <w:rFonts w:hint="eastAsia"/>
          <w:color w:val="000000"/>
        </w:rPr>
        <w:t>时  间：  年  月  日</w:t>
      </w:r>
    </w:p>
    <w:p>
      <w:pPr>
        <w:pStyle w:val="473"/>
        <w:jc w:val="center"/>
        <w:rPr>
          <w:rFonts w:hint="eastAsia"/>
          <w:color w:val="000000"/>
        </w:rPr>
      </w:pPr>
    </w:p>
    <w:p>
      <w:pPr>
        <w:pStyle w:val="473"/>
        <w:rPr>
          <w:color w:val="000000"/>
        </w:rPr>
      </w:pPr>
    </w:p>
    <w:p>
      <w:pPr>
        <w:pStyle w:val="473"/>
        <w:rPr>
          <w:color w:val="000000"/>
        </w:rPr>
      </w:pPr>
      <w:r>
        <w:rPr>
          <w:color w:val="000000"/>
        </w:rPr>
        <w:t>表2投标报价扉页</w:t>
      </w:r>
    </w:p>
    <w:p>
      <w:pPr>
        <w:pStyle w:val="473"/>
        <w:rPr>
          <w:color w:val="000000"/>
        </w:rPr>
      </w:pPr>
    </w:p>
    <w:p>
      <w:pPr>
        <w:pStyle w:val="473"/>
        <w:jc w:val="center"/>
        <w:rPr>
          <w:color w:val="000000"/>
        </w:rPr>
      </w:pPr>
      <w:r>
        <w:rPr>
          <w:b/>
          <w:color w:val="000000"/>
          <w:sz w:val="28"/>
          <w:szCs w:val="28"/>
        </w:rPr>
        <w:t>____________________________</w:t>
      </w:r>
      <w:r>
        <w:rPr>
          <w:b/>
          <w:color w:val="000000"/>
          <w:sz w:val="36"/>
          <w:szCs w:val="36"/>
        </w:rPr>
        <w:t>工程</w:t>
      </w:r>
    </w:p>
    <w:p>
      <w:pPr>
        <w:pStyle w:val="473"/>
        <w:rPr>
          <w:color w:val="000000"/>
        </w:rPr>
      </w:pPr>
      <w:r>
        <w:rPr>
          <w:color w:val="000000"/>
        </w:rPr>
        <w:t xml:space="preserve">   </w:t>
      </w:r>
    </w:p>
    <w:p>
      <w:pPr>
        <w:pStyle w:val="473"/>
        <w:rPr>
          <w:color w:val="000000"/>
        </w:rPr>
      </w:pPr>
    </w:p>
    <w:p>
      <w:pPr>
        <w:pStyle w:val="473"/>
        <w:rPr>
          <w:color w:val="000000"/>
        </w:rPr>
      </w:pPr>
    </w:p>
    <w:p>
      <w:pPr>
        <w:pStyle w:val="473"/>
        <w:jc w:val="center"/>
        <w:rPr>
          <w:color w:val="000000"/>
        </w:rPr>
      </w:pPr>
      <w:r>
        <w:rPr>
          <w:b/>
          <w:color w:val="000000"/>
          <w:sz w:val="52"/>
          <w:szCs w:val="52"/>
        </w:rPr>
        <w:t>投 标 总 价</w:t>
      </w:r>
    </w:p>
    <w:p>
      <w:pPr>
        <w:pStyle w:val="473"/>
        <w:rPr>
          <w:color w:val="000000"/>
        </w:rPr>
      </w:pPr>
    </w:p>
    <w:p>
      <w:pPr>
        <w:pStyle w:val="473"/>
        <w:rPr>
          <w:color w:val="000000"/>
        </w:rPr>
      </w:pPr>
    </w:p>
    <w:p>
      <w:pPr>
        <w:pStyle w:val="473"/>
        <w:rPr>
          <w:color w:val="000000"/>
        </w:rPr>
      </w:pPr>
      <w:r>
        <w:rPr>
          <w:color w:val="000000"/>
          <w:sz w:val="32"/>
          <w:szCs w:val="32"/>
        </w:rPr>
        <w:t>招   标   人：</w:t>
      </w:r>
      <w:r>
        <w:rPr>
          <w:color w:val="000000"/>
        </w:rPr>
        <w:t>_____________________________________</w:t>
      </w:r>
    </w:p>
    <w:p>
      <w:pPr>
        <w:pStyle w:val="473"/>
        <w:rPr>
          <w:color w:val="000000"/>
        </w:rPr>
      </w:pPr>
    </w:p>
    <w:p>
      <w:pPr>
        <w:pStyle w:val="473"/>
        <w:rPr>
          <w:color w:val="000000"/>
        </w:rPr>
      </w:pPr>
      <w:r>
        <w:rPr>
          <w:color w:val="000000"/>
          <w:sz w:val="32"/>
          <w:szCs w:val="32"/>
        </w:rPr>
        <w:t>工  程  名 称：</w:t>
      </w:r>
      <w:r>
        <w:rPr>
          <w:color w:val="000000"/>
        </w:rPr>
        <w:t>____________________________________</w:t>
      </w:r>
    </w:p>
    <w:p>
      <w:pPr>
        <w:pStyle w:val="473"/>
        <w:rPr>
          <w:color w:val="000000"/>
        </w:rPr>
      </w:pPr>
    </w:p>
    <w:p>
      <w:pPr>
        <w:pStyle w:val="473"/>
        <w:rPr>
          <w:color w:val="000000"/>
        </w:rPr>
      </w:pPr>
      <w:r>
        <w:rPr>
          <w:color w:val="000000"/>
          <w:sz w:val="32"/>
          <w:szCs w:val="32"/>
        </w:rPr>
        <w:t>投标总价（小写）：</w:t>
      </w:r>
      <w:r>
        <w:rPr>
          <w:color w:val="000000"/>
        </w:rPr>
        <w:t>_________________________________</w:t>
      </w:r>
    </w:p>
    <w:p>
      <w:pPr>
        <w:pStyle w:val="473"/>
        <w:rPr>
          <w:color w:val="000000"/>
        </w:rPr>
      </w:pPr>
      <w:r>
        <w:rPr>
          <w:color w:val="000000"/>
        </w:rPr>
        <w:t xml:space="preserve">           </w:t>
      </w:r>
      <w:r>
        <w:rPr>
          <w:color w:val="000000"/>
          <w:sz w:val="32"/>
          <w:szCs w:val="32"/>
        </w:rPr>
        <w:t>（大写）：</w:t>
      </w:r>
      <w:r>
        <w:rPr>
          <w:color w:val="000000"/>
        </w:rPr>
        <w:t>_________________________________</w:t>
      </w:r>
    </w:p>
    <w:p>
      <w:pPr>
        <w:pStyle w:val="473"/>
        <w:rPr>
          <w:color w:val="000000"/>
        </w:rPr>
      </w:pPr>
    </w:p>
    <w:p>
      <w:pPr>
        <w:pStyle w:val="473"/>
        <w:jc w:val="center"/>
        <w:rPr>
          <w:color w:val="000000"/>
        </w:rPr>
      </w:pPr>
    </w:p>
    <w:p>
      <w:pPr>
        <w:pStyle w:val="473"/>
        <w:jc w:val="center"/>
        <w:rPr>
          <w:color w:val="000000"/>
        </w:rPr>
      </w:pPr>
    </w:p>
    <w:p>
      <w:pPr>
        <w:pStyle w:val="473"/>
        <w:rPr>
          <w:color w:val="000000"/>
        </w:rPr>
      </w:pPr>
      <w:r>
        <w:rPr>
          <w:color w:val="000000"/>
          <w:sz w:val="32"/>
          <w:szCs w:val="32"/>
        </w:rPr>
        <w:t>投  标  人：</w:t>
      </w:r>
      <w:r>
        <w:rPr>
          <w:color w:val="000000"/>
        </w:rPr>
        <w:t>______________________________________</w:t>
      </w:r>
    </w:p>
    <w:p>
      <w:pPr>
        <w:pStyle w:val="473"/>
        <w:rPr>
          <w:color w:val="000000"/>
        </w:rPr>
      </w:pPr>
      <w:r>
        <w:rPr>
          <w:color w:val="000000"/>
        </w:rPr>
        <w:t xml:space="preserve">                                 （单位盖章）</w:t>
      </w:r>
    </w:p>
    <w:p>
      <w:pPr>
        <w:pStyle w:val="473"/>
        <w:rPr>
          <w:color w:val="000000"/>
        </w:rPr>
      </w:pPr>
    </w:p>
    <w:p>
      <w:pPr>
        <w:pStyle w:val="473"/>
        <w:rPr>
          <w:color w:val="000000"/>
        </w:rPr>
      </w:pPr>
      <w:r>
        <w:rPr>
          <w:color w:val="000000"/>
          <w:sz w:val="32"/>
          <w:szCs w:val="32"/>
        </w:rPr>
        <w:t>法定代表人</w:t>
      </w:r>
    </w:p>
    <w:p>
      <w:pPr>
        <w:pStyle w:val="473"/>
        <w:rPr>
          <w:color w:val="000000"/>
        </w:rPr>
      </w:pPr>
      <w:r>
        <w:rPr>
          <w:color w:val="000000"/>
          <w:sz w:val="32"/>
          <w:szCs w:val="32"/>
        </w:rPr>
        <w:t>或其授权人：</w:t>
      </w:r>
      <w:r>
        <w:rPr>
          <w:color w:val="000000"/>
        </w:rPr>
        <w:t>______________________________________</w:t>
      </w:r>
    </w:p>
    <w:p>
      <w:pPr>
        <w:pStyle w:val="473"/>
        <w:rPr>
          <w:color w:val="000000"/>
        </w:rPr>
      </w:pPr>
      <w:r>
        <w:rPr>
          <w:color w:val="000000"/>
        </w:rPr>
        <w:t xml:space="preserve">                            </w:t>
      </w:r>
      <w:r>
        <w:rPr>
          <w:color w:val="000000"/>
          <w:szCs w:val="21"/>
        </w:rPr>
        <w:t xml:space="preserve"> (签字或盖章)</w:t>
      </w:r>
    </w:p>
    <w:p>
      <w:pPr>
        <w:pStyle w:val="473"/>
        <w:rPr>
          <w:color w:val="000000"/>
        </w:rPr>
      </w:pPr>
    </w:p>
    <w:p>
      <w:pPr>
        <w:pStyle w:val="473"/>
        <w:rPr>
          <w:color w:val="000000"/>
        </w:rPr>
      </w:pPr>
      <w:r>
        <w:rPr>
          <w:color w:val="000000"/>
          <w:sz w:val="32"/>
          <w:szCs w:val="32"/>
        </w:rPr>
        <w:t>编  制  人：</w:t>
      </w:r>
      <w:r>
        <w:rPr>
          <w:color w:val="000000"/>
        </w:rPr>
        <w:t>______________________________________</w:t>
      </w:r>
    </w:p>
    <w:p>
      <w:pPr>
        <w:pStyle w:val="473"/>
        <w:rPr>
          <w:color w:val="000000"/>
        </w:rPr>
      </w:pPr>
      <w:r>
        <w:rPr>
          <w:color w:val="000000"/>
        </w:rPr>
        <w:t xml:space="preserve">                            （造价人员签字盖专用章）</w:t>
      </w:r>
    </w:p>
    <w:p>
      <w:pPr>
        <w:pStyle w:val="473"/>
        <w:jc w:val="center"/>
        <w:rPr>
          <w:color w:val="000000"/>
        </w:rPr>
      </w:pPr>
    </w:p>
    <w:p>
      <w:pPr>
        <w:pStyle w:val="473"/>
        <w:jc w:val="center"/>
        <w:rPr>
          <w:color w:val="000000"/>
        </w:rPr>
      </w:pPr>
      <w:r>
        <w:rPr>
          <w:color w:val="000000"/>
          <w:sz w:val="32"/>
          <w:szCs w:val="32"/>
        </w:rPr>
        <w:t>时  间：  年  月  日</w:t>
      </w:r>
    </w:p>
    <w:p>
      <w:pPr>
        <w:pStyle w:val="473"/>
        <w:rPr>
          <w:color w:val="000000"/>
        </w:rPr>
      </w:pPr>
    </w:p>
    <w:p>
      <w:pPr>
        <w:spacing w:line="360" w:lineRule="auto"/>
        <w:rPr>
          <w:rFonts w:ascii="宋体" w:hAnsi="宋体"/>
          <w:color w:val="000000"/>
          <w:szCs w:val="21"/>
        </w:rPr>
      </w:pPr>
    </w:p>
    <w:bookmarkEnd w:id="1765"/>
    <w:bookmarkEnd w:id="1766"/>
    <w:p>
      <w:pPr>
        <w:pStyle w:val="4"/>
        <w:jc w:val="left"/>
        <w:rPr>
          <w:rFonts w:hint="eastAsia"/>
          <w:color w:val="000000"/>
          <w:sz w:val="30"/>
          <w:szCs w:val="30"/>
        </w:rPr>
      </w:pPr>
      <w:bookmarkStart w:id="1768" w:name="_Toc59203272"/>
      <w:r>
        <w:rPr>
          <w:rFonts w:hint="eastAsia"/>
          <w:color w:val="000000"/>
          <w:sz w:val="30"/>
          <w:szCs w:val="30"/>
        </w:rPr>
        <w:t>5、投标人认为应提交的其他投标资料</w:t>
      </w:r>
      <w:bookmarkEnd w:id="1768"/>
    </w:p>
    <w:p>
      <w:pPr>
        <w:pStyle w:val="318"/>
        <w:rPr>
          <w:rFonts w:hint="eastAsia"/>
          <w:color w:val="000000"/>
        </w:rPr>
      </w:pPr>
    </w:p>
    <w:p>
      <w:pPr>
        <w:pStyle w:val="318"/>
        <w:rPr>
          <w:color w:val="000000"/>
        </w:rPr>
        <w:sectPr>
          <w:type w:val="continuous"/>
          <w:pgSz w:w="11906" w:h="16838"/>
          <w:pgMar w:top="1440" w:right="1440" w:bottom="1440" w:left="1797" w:header="851" w:footer="851" w:gutter="0"/>
          <w:cols w:space="720" w:num="1"/>
          <w:docGrid w:linePitch="312" w:charSpace="0"/>
        </w:sectPr>
      </w:pPr>
    </w:p>
    <w:p>
      <w:pPr>
        <w:jc w:val="center"/>
        <w:rPr>
          <w:color w:val="000000"/>
          <w:sz w:val="28"/>
          <w:szCs w:val="28"/>
        </w:rPr>
      </w:pPr>
      <w:r>
        <w:rPr>
          <w:color w:val="000000"/>
          <w:sz w:val="32"/>
          <w:szCs w:val="32"/>
          <w:u w:val="single"/>
        </w:rPr>
        <w:t xml:space="preserve">             </w:t>
      </w:r>
      <w:r>
        <w:rPr>
          <w:color w:val="000000"/>
          <w:sz w:val="28"/>
          <w:szCs w:val="28"/>
        </w:rPr>
        <w:t>（项目名称）</w:t>
      </w:r>
      <w:r>
        <w:rPr>
          <w:rFonts w:hint="eastAsia"/>
          <w:color w:val="000000"/>
          <w:sz w:val="28"/>
          <w:szCs w:val="28"/>
        </w:rPr>
        <w:t>总承包招标</w:t>
      </w:r>
    </w:p>
    <w:p>
      <w:pPr>
        <w:jc w:val="center"/>
        <w:rPr>
          <w:color w:val="000000"/>
          <w:sz w:val="28"/>
          <w:szCs w:val="28"/>
        </w:rPr>
      </w:pPr>
    </w:p>
    <w:p>
      <w:pPr>
        <w:spacing w:before="240" w:beforeLines="100"/>
        <w:jc w:val="center"/>
        <w:rPr>
          <w:color w:val="000000"/>
          <w:sz w:val="52"/>
          <w:szCs w:val="52"/>
        </w:rPr>
      </w:pPr>
      <w:r>
        <w:rPr>
          <w:color w:val="000000"/>
          <w:sz w:val="52"/>
          <w:szCs w:val="52"/>
        </w:rPr>
        <w:t>投  标  文  件</w:t>
      </w:r>
    </w:p>
    <w:p>
      <w:pPr>
        <w:jc w:val="center"/>
        <w:rPr>
          <w:color w:val="000000"/>
          <w:sz w:val="32"/>
          <w:szCs w:val="32"/>
        </w:rPr>
      </w:pPr>
    </w:p>
    <w:p>
      <w:pPr>
        <w:rPr>
          <w:rFonts w:hint="eastAsia"/>
          <w:color w:val="000000"/>
          <w:sz w:val="32"/>
          <w:szCs w:val="32"/>
        </w:rPr>
      </w:pPr>
    </w:p>
    <w:p>
      <w:pPr>
        <w:jc w:val="center"/>
        <w:rPr>
          <w:color w:val="000000"/>
          <w:sz w:val="32"/>
          <w:szCs w:val="32"/>
        </w:rPr>
      </w:pPr>
    </w:p>
    <w:p>
      <w:pPr>
        <w:spacing w:line="360" w:lineRule="auto"/>
        <w:ind w:firstLine="2380" w:firstLineChars="850"/>
        <w:rPr>
          <w:color w:val="000000"/>
          <w:sz w:val="28"/>
          <w:szCs w:val="28"/>
          <w:u w:val="single"/>
        </w:rPr>
      </w:pPr>
      <w:r>
        <w:rPr>
          <w:color w:val="000000"/>
          <w:sz w:val="28"/>
          <w:szCs w:val="28"/>
        </w:rPr>
        <w:t>项目</w:t>
      </w:r>
      <w:r>
        <w:rPr>
          <w:rFonts w:hint="eastAsia"/>
          <w:color w:val="000000"/>
          <w:sz w:val="28"/>
          <w:szCs w:val="28"/>
        </w:rPr>
        <w:t>招标</w:t>
      </w:r>
      <w:r>
        <w:rPr>
          <w:color w:val="000000"/>
          <w:sz w:val="28"/>
          <w:szCs w:val="28"/>
        </w:rPr>
        <w:t>编号：</w:t>
      </w:r>
      <w:r>
        <w:rPr>
          <w:color w:val="000000"/>
          <w:sz w:val="28"/>
          <w:szCs w:val="28"/>
          <w:u w:val="single"/>
        </w:rPr>
        <w:t xml:space="preserve">                   </w:t>
      </w:r>
    </w:p>
    <w:p>
      <w:pPr>
        <w:jc w:val="center"/>
        <w:rPr>
          <w:color w:val="000000"/>
          <w:sz w:val="32"/>
          <w:szCs w:val="32"/>
        </w:rPr>
      </w:pPr>
    </w:p>
    <w:p>
      <w:pPr>
        <w:rPr>
          <w:rFonts w:hint="eastAsia"/>
          <w:color w:val="000000"/>
          <w:sz w:val="32"/>
          <w:szCs w:val="32"/>
        </w:rPr>
      </w:pPr>
    </w:p>
    <w:p>
      <w:pPr>
        <w:jc w:val="center"/>
        <w:rPr>
          <w:color w:val="000000"/>
          <w:sz w:val="32"/>
          <w:szCs w:val="32"/>
        </w:rPr>
      </w:pPr>
    </w:p>
    <w:p>
      <w:pPr>
        <w:rPr>
          <w:rFonts w:hint="eastAsia"/>
          <w:color w:val="000000"/>
          <w:sz w:val="32"/>
          <w:szCs w:val="32"/>
        </w:rPr>
      </w:pPr>
    </w:p>
    <w:p>
      <w:pPr>
        <w:jc w:val="center"/>
        <w:rPr>
          <w:color w:val="000000"/>
          <w:sz w:val="32"/>
          <w:szCs w:val="32"/>
        </w:rPr>
      </w:pPr>
    </w:p>
    <w:p>
      <w:pPr>
        <w:jc w:val="center"/>
        <w:rPr>
          <w:color w:val="000000"/>
          <w:sz w:val="32"/>
          <w:szCs w:val="32"/>
        </w:rPr>
      </w:pPr>
    </w:p>
    <w:p>
      <w:pPr>
        <w:spacing w:line="360" w:lineRule="auto"/>
        <w:rPr>
          <w:rFonts w:ascii="宋体" w:hAnsi="宋体"/>
          <w:color w:val="000000"/>
          <w:sz w:val="28"/>
          <w:szCs w:val="28"/>
          <w:u w:val="single"/>
        </w:rPr>
      </w:pPr>
      <w:r>
        <w:rPr>
          <w:rFonts w:ascii="宋体" w:hAnsi="宋体"/>
          <w:color w:val="000000"/>
          <w:sz w:val="28"/>
          <w:szCs w:val="28"/>
        </w:rPr>
        <w:t>投标内容：</w:t>
      </w:r>
      <w:r>
        <w:rPr>
          <w:rFonts w:hint="eastAsia" w:ascii="宋体" w:hAnsi="宋体"/>
          <w:color w:val="000000"/>
          <w:sz w:val="28"/>
          <w:szCs w:val="28"/>
          <w:u w:val="single"/>
        </w:rPr>
        <w:t xml:space="preserve">              技术标（暗标）           </w:t>
      </w:r>
    </w:p>
    <w:p>
      <w:pPr>
        <w:spacing w:line="360" w:lineRule="auto"/>
        <w:rPr>
          <w:rFonts w:ascii="宋体" w:hAnsi="宋体"/>
          <w:color w:val="000000"/>
          <w:sz w:val="28"/>
          <w:szCs w:val="28"/>
          <w:u w:val="single"/>
        </w:rPr>
      </w:pPr>
    </w:p>
    <w:p>
      <w:pPr>
        <w:spacing w:line="360" w:lineRule="auto"/>
        <w:rPr>
          <w:color w:val="000000"/>
          <w:sz w:val="28"/>
          <w:szCs w:val="28"/>
        </w:rPr>
      </w:pPr>
      <w:r>
        <w:rPr>
          <w:color w:val="000000"/>
          <w:sz w:val="28"/>
          <w:szCs w:val="28"/>
        </w:rPr>
        <w:t>投标人：</w:t>
      </w:r>
      <w:r>
        <w:rPr>
          <w:color w:val="000000"/>
          <w:sz w:val="28"/>
          <w:szCs w:val="28"/>
          <w:u w:val="single"/>
        </w:rPr>
        <w:t xml:space="preserve">                                </w:t>
      </w:r>
      <w:r>
        <w:rPr>
          <w:color w:val="000000"/>
          <w:sz w:val="28"/>
          <w:szCs w:val="28"/>
        </w:rPr>
        <w:t>（盖单位章）</w:t>
      </w:r>
    </w:p>
    <w:p>
      <w:pPr>
        <w:spacing w:line="360" w:lineRule="auto"/>
        <w:ind w:firstLine="1400" w:firstLineChars="500"/>
        <w:rPr>
          <w:color w:val="000000"/>
          <w:sz w:val="28"/>
          <w:szCs w:val="28"/>
          <w:u w:val="single"/>
        </w:rPr>
      </w:pPr>
    </w:p>
    <w:p>
      <w:pPr>
        <w:spacing w:line="360" w:lineRule="auto"/>
        <w:ind w:firstLine="1400" w:firstLineChars="500"/>
        <w:rPr>
          <w:color w:val="000000"/>
          <w:sz w:val="28"/>
          <w:szCs w:val="28"/>
          <w:u w:val="single"/>
        </w:rPr>
      </w:pPr>
    </w:p>
    <w:p>
      <w:pPr>
        <w:spacing w:line="360" w:lineRule="auto"/>
        <w:ind w:firstLine="1400" w:firstLineChars="500"/>
        <w:rPr>
          <w:color w:val="000000"/>
          <w:sz w:val="28"/>
          <w:szCs w:val="28"/>
        </w:rPr>
      </w:pPr>
      <w:r>
        <w:rPr>
          <w:color w:val="000000"/>
          <w:sz w:val="28"/>
          <w:szCs w:val="28"/>
          <w:u w:val="single"/>
        </w:rPr>
        <w:t xml:space="preserve">         </w:t>
      </w:r>
      <w:r>
        <w:rPr>
          <w:color w:val="000000"/>
          <w:sz w:val="28"/>
          <w:szCs w:val="28"/>
        </w:rPr>
        <w:t>年</w:t>
      </w:r>
      <w:r>
        <w:rPr>
          <w:color w:val="000000"/>
          <w:sz w:val="28"/>
          <w:szCs w:val="28"/>
          <w:u w:val="single"/>
        </w:rPr>
        <w:t xml:space="preserve">         </w:t>
      </w:r>
      <w:r>
        <w:rPr>
          <w:color w:val="000000"/>
          <w:sz w:val="28"/>
          <w:szCs w:val="28"/>
        </w:rPr>
        <w:t>月</w:t>
      </w:r>
      <w:r>
        <w:rPr>
          <w:color w:val="000000"/>
          <w:sz w:val="28"/>
          <w:szCs w:val="28"/>
          <w:u w:val="single"/>
        </w:rPr>
        <w:t xml:space="preserve">         </w:t>
      </w:r>
      <w:r>
        <w:rPr>
          <w:color w:val="000000"/>
          <w:sz w:val="28"/>
          <w:szCs w:val="28"/>
        </w:rPr>
        <w:t>日</w:t>
      </w:r>
    </w:p>
    <w:p>
      <w:pPr>
        <w:spacing w:line="400" w:lineRule="exact"/>
        <w:ind w:firstLine="420"/>
        <w:rPr>
          <w:rFonts w:hint="eastAsia"/>
          <w:color w:val="000000"/>
        </w:rPr>
      </w:pPr>
    </w:p>
    <w:p>
      <w:pPr>
        <w:pStyle w:val="4"/>
        <w:jc w:val="center"/>
        <w:rPr>
          <w:color w:val="000000"/>
          <w:sz w:val="30"/>
          <w:szCs w:val="30"/>
        </w:rPr>
      </w:pPr>
      <w:r>
        <w:rPr>
          <w:color w:val="000000"/>
        </w:rPr>
        <w:br w:type="page"/>
      </w:r>
      <w:bookmarkStart w:id="1769" w:name="_Toc59203273"/>
      <w:r>
        <w:rPr>
          <w:rFonts w:hint="eastAsia"/>
          <w:color w:val="000000"/>
          <w:sz w:val="30"/>
          <w:szCs w:val="30"/>
        </w:rPr>
        <w:t>技术标（暗标）</w:t>
      </w:r>
      <w:bookmarkEnd w:id="1769"/>
    </w:p>
    <w:p>
      <w:pPr>
        <w:spacing w:line="400" w:lineRule="exact"/>
        <w:ind w:firstLine="420"/>
        <w:jc w:val="center"/>
        <w:rPr>
          <w:rFonts w:hint="eastAsia" w:ascii="宋体" w:hAnsi="宋体"/>
          <w:b/>
          <w:color w:val="000000"/>
          <w:sz w:val="24"/>
          <w:szCs w:val="28"/>
        </w:rPr>
      </w:pPr>
      <w:bookmarkStart w:id="1770" w:name="_Toc419363894"/>
    </w:p>
    <w:p>
      <w:pPr>
        <w:spacing w:line="360" w:lineRule="auto"/>
        <w:rPr>
          <w:rFonts w:hint="eastAsia" w:ascii="宋体" w:hAnsi="宋体"/>
          <w:b/>
          <w:color w:val="000000"/>
          <w:sz w:val="28"/>
          <w:szCs w:val="28"/>
        </w:rPr>
      </w:pPr>
      <w:r>
        <w:rPr>
          <w:rFonts w:hint="eastAsia" w:ascii="宋体" w:hAnsi="宋体"/>
          <w:b/>
          <w:color w:val="000000"/>
          <w:sz w:val="28"/>
          <w:szCs w:val="28"/>
        </w:rPr>
        <w:t>一、工程总承包</w:t>
      </w:r>
      <w:bookmarkEnd w:id="1770"/>
      <w:r>
        <w:rPr>
          <w:rFonts w:hint="eastAsia" w:ascii="宋体" w:hAnsi="宋体"/>
          <w:b/>
          <w:color w:val="000000"/>
          <w:sz w:val="28"/>
          <w:szCs w:val="28"/>
        </w:rPr>
        <w:t>工作大纲组成</w:t>
      </w:r>
    </w:p>
    <w:p>
      <w:pPr>
        <w:spacing w:line="360" w:lineRule="auto"/>
        <w:rPr>
          <w:rFonts w:hint="eastAsia" w:ascii="宋体" w:hAnsi="宋体"/>
          <w:color w:val="000000"/>
          <w:szCs w:val="21"/>
        </w:rPr>
      </w:pPr>
      <w:r>
        <w:rPr>
          <w:rFonts w:hint="eastAsia" w:ascii="宋体" w:hAnsi="宋体"/>
          <w:color w:val="000000"/>
          <w:szCs w:val="21"/>
        </w:rPr>
        <w:t>1、概述</w:t>
      </w:r>
    </w:p>
    <w:p>
      <w:pPr>
        <w:spacing w:line="360" w:lineRule="auto"/>
        <w:rPr>
          <w:rFonts w:hint="eastAsia" w:ascii="宋体" w:hAnsi="宋体"/>
          <w:color w:val="000000"/>
          <w:szCs w:val="21"/>
        </w:rPr>
      </w:pPr>
      <w:r>
        <w:rPr>
          <w:rFonts w:hint="eastAsia" w:ascii="宋体" w:hAnsi="宋体"/>
          <w:color w:val="000000"/>
          <w:szCs w:val="21"/>
        </w:rPr>
        <w:t>2、总体实施方案</w:t>
      </w:r>
    </w:p>
    <w:p>
      <w:pPr>
        <w:spacing w:line="360" w:lineRule="auto"/>
        <w:rPr>
          <w:rFonts w:hint="eastAsia" w:ascii="宋体" w:hAnsi="宋体"/>
          <w:color w:val="000000"/>
          <w:szCs w:val="21"/>
        </w:rPr>
      </w:pPr>
      <w:r>
        <w:rPr>
          <w:rFonts w:hint="eastAsia" w:ascii="宋体" w:hAnsi="宋体"/>
          <w:color w:val="000000"/>
          <w:szCs w:val="21"/>
        </w:rPr>
        <w:t>3、项目实施要点</w:t>
      </w:r>
    </w:p>
    <w:p>
      <w:pPr>
        <w:spacing w:line="360" w:lineRule="auto"/>
        <w:rPr>
          <w:rFonts w:hint="eastAsia" w:ascii="宋体" w:hAnsi="宋体"/>
          <w:color w:val="000000"/>
          <w:szCs w:val="21"/>
        </w:rPr>
      </w:pPr>
      <w:r>
        <w:rPr>
          <w:rFonts w:hint="eastAsia" w:ascii="宋体" w:hAnsi="宋体"/>
          <w:color w:val="000000"/>
          <w:szCs w:val="21"/>
        </w:rPr>
        <w:t>4、项目管理要点</w:t>
      </w:r>
    </w:p>
    <w:p>
      <w:pPr>
        <w:spacing w:line="360" w:lineRule="auto"/>
        <w:rPr>
          <w:rFonts w:hint="eastAsia" w:ascii="宋体" w:hAnsi="宋体"/>
          <w:color w:val="000000"/>
          <w:szCs w:val="21"/>
        </w:rPr>
      </w:pPr>
      <w:r>
        <w:rPr>
          <w:rFonts w:hint="eastAsia" w:ascii="宋体" w:hAnsi="宋体"/>
          <w:color w:val="000000"/>
          <w:szCs w:val="21"/>
        </w:rPr>
        <w:t>5、设计及施工的配合</w:t>
      </w:r>
    </w:p>
    <w:p>
      <w:pPr>
        <w:spacing w:line="360" w:lineRule="auto"/>
        <w:rPr>
          <w:rFonts w:hint="eastAsia" w:ascii="宋体" w:hAnsi="宋体"/>
          <w:color w:val="000000"/>
          <w:sz w:val="28"/>
          <w:szCs w:val="28"/>
        </w:rPr>
      </w:pPr>
    </w:p>
    <w:p>
      <w:pPr>
        <w:spacing w:line="360" w:lineRule="auto"/>
        <w:rPr>
          <w:rFonts w:ascii="宋体" w:hAnsi="宋体"/>
          <w:b/>
          <w:color w:val="000000"/>
          <w:sz w:val="28"/>
          <w:szCs w:val="28"/>
        </w:rPr>
      </w:pPr>
      <w:bookmarkStart w:id="1771" w:name="_Toc419363895"/>
      <w:r>
        <w:rPr>
          <w:rFonts w:hint="eastAsia" w:ascii="宋体" w:hAnsi="宋体"/>
          <w:b/>
          <w:color w:val="000000"/>
          <w:sz w:val="28"/>
          <w:szCs w:val="28"/>
        </w:rPr>
        <w:t>二、施工组织设计</w:t>
      </w:r>
      <w:bookmarkEnd w:id="1771"/>
      <w:r>
        <w:rPr>
          <w:rFonts w:hint="eastAsia" w:ascii="宋体" w:hAnsi="宋体"/>
          <w:b/>
          <w:color w:val="000000"/>
          <w:sz w:val="28"/>
          <w:szCs w:val="28"/>
        </w:rPr>
        <w:t>组成</w:t>
      </w:r>
    </w:p>
    <w:p>
      <w:pPr>
        <w:spacing w:line="360" w:lineRule="auto"/>
        <w:rPr>
          <w:rFonts w:ascii="宋体" w:hAnsi="宋体"/>
          <w:color w:val="000000"/>
          <w:szCs w:val="21"/>
        </w:rPr>
      </w:pPr>
      <w:r>
        <w:rPr>
          <w:rFonts w:hint="eastAsia" w:ascii="宋体" w:hAnsi="宋体"/>
          <w:color w:val="000000"/>
          <w:szCs w:val="21"/>
        </w:rPr>
        <w:t>1、</w:t>
      </w:r>
      <w:r>
        <w:rPr>
          <w:rFonts w:ascii="宋体" w:hAnsi="宋体"/>
          <w:color w:val="000000"/>
          <w:szCs w:val="21"/>
        </w:rPr>
        <w:t>主要施工方法</w:t>
      </w:r>
    </w:p>
    <w:p>
      <w:pPr>
        <w:spacing w:line="360" w:lineRule="auto"/>
        <w:rPr>
          <w:rFonts w:ascii="宋体" w:hAnsi="宋体"/>
          <w:color w:val="000000"/>
          <w:szCs w:val="21"/>
        </w:rPr>
      </w:pPr>
      <w:r>
        <w:rPr>
          <w:rFonts w:hint="eastAsia" w:ascii="宋体" w:hAnsi="宋体"/>
          <w:color w:val="000000"/>
          <w:szCs w:val="21"/>
        </w:rPr>
        <w:t>2、</w:t>
      </w:r>
      <w:r>
        <w:rPr>
          <w:rFonts w:ascii="宋体" w:hAnsi="宋体"/>
          <w:color w:val="000000"/>
          <w:szCs w:val="21"/>
        </w:rPr>
        <w:t>拟投入的主要物资计划</w:t>
      </w:r>
    </w:p>
    <w:p>
      <w:pPr>
        <w:spacing w:line="360" w:lineRule="auto"/>
        <w:rPr>
          <w:rFonts w:ascii="宋体" w:hAnsi="宋体"/>
          <w:color w:val="000000"/>
          <w:szCs w:val="21"/>
        </w:rPr>
      </w:pPr>
      <w:r>
        <w:rPr>
          <w:rFonts w:hint="eastAsia" w:ascii="宋体" w:hAnsi="宋体"/>
          <w:color w:val="000000"/>
          <w:szCs w:val="21"/>
        </w:rPr>
        <w:t>3、</w:t>
      </w:r>
      <w:r>
        <w:rPr>
          <w:rFonts w:ascii="宋体" w:hAnsi="宋体"/>
          <w:color w:val="000000"/>
          <w:szCs w:val="21"/>
        </w:rPr>
        <w:t>劳动力安排计划</w:t>
      </w:r>
    </w:p>
    <w:p>
      <w:pPr>
        <w:spacing w:line="360" w:lineRule="auto"/>
        <w:rPr>
          <w:rFonts w:ascii="宋体" w:hAnsi="宋体"/>
          <w:color w:val="000000"/>
          <w:szCs w:val="21"/>
        </w:rPr>
      </w:pPr>
      <w:r>
        <w:rPr>
          <w:rFonts w:hint="eastAsia" w:ascii="宋体" w:hAnsi="宋体"/>
          <w:color w:val="000000"/>
          <w:szCs w:val="21"/>
        </w:rPr>
        <w:t>4、</w:t>
      </w:r>
      <w:r>
        <w:rPr>
          <w:rFonts w:ascii="宋体" w:hAnsi="宋体"/>
          <w:color w:val="000000"/>
          <w:szCs w:val="21"/>
        </w:rPr>
        <w:t>确保工程质量的技术组织措施</w:t>
      </w:r>
    </w:p>
    <w:p>
      <w:pPr>
        <w:spacing w:line="360" w:lineRule="auto"/>
        <w:rPr>
          <w:rFonts w:ascii="宋体" w:hAnsi="宋体"/>
          <w:color w:val="000000"/>
          <w:szCs w:val="21"/>
        </w:rPr>
      </w:pPr>
      <w:r>
        <w:rPr>
          <w:rFonts w:ascii="宋体" w:hAnsi="宋体"/>
          <w:color w:val="000000"/>
          <w:szCs w:val="21"/>
        </w:rPr>
        <w:t>5</w:t>
      </w:r>
      <w:r>
        <w:rPr>
          <w:rFonts w:hint="eastAsia" w:ascii="宋体" w:hAnsi="宋体"/>
          <w:color w:val="000000"/>
          <w:szCs w:val="21"/>
        </w:rPr>
        <w:t>、</w:t>
      </w:r>
      <w:r>
        <w:rPr>
          <w:rFonts w:ascii="宋体" w:hAnsi="宋体"/>
          <w:color w:val="000000"/>
          <w:szCs w:val="21"/>
        </w:rPr>
        <w:t>确保安全生产的技术组织措施</w:t>
      </w:r>
    </w:p>
    <w:p>
      <w:pPr>
        <w:spacing w:line="360" w:lineRule="auto"/>
        <w:rPr>
          <w:rFonts w:ascii="宋体" w:hAnsi="宋体"/>
          <w:color w:val="000000"/>
          <w:szCs w:val="21"/>
        </w:rPr>
      </w:pPr>
      <w:r>
        <w:rPr>
          <w:rFonts w:ascii="宋体" w:hAnsi="宋体"/>
          <w:color w:val="000000"/>
          <w:szCs w:val="21"/>
        </w:rPr>
        <w:t>6</w:t>
      </w:r>
      <w:r>
        <w:rPr>
          <w:rFonts w:hint="eastAsia" w:ascii="宋体" w:hAnsi="宋体"/>
          <w:color w:val="000000"/>
          <w:szCs w:val="21"/>
        </w:rPr>
        <w:t>、</w:t>
      </w:r>
      <w:r>
        <w:rPr>
          <w:rFonts w:ascii="宋体" w:hAnsi="宋体"/>
          <w:color w:val="000000"/>
          <w:szCs w:val="21"/>
        </w:rPr>
        <w:t>确保工期的技术组织措施</w:t>
      </w:r>
    </w:p>
    <w:p>
      <w:pPr>
        <w:spacing w:line="360" w:lineRule="auto"/>
        <w:rPr>
          <w:rFonts w:ascii="宋体" w:hAnsi="宋体"/>
          <w:color w:val="000000"/>
          <w:szCs w:val="21"/>
        </w:rPr>
      </w:pPr>
      <w:r>
        <w:rPr>
          <w:rFonts w:ascii="宋体" w:hAnsi="宋体"/>
          <w:color w:val="000000"/>
          <w:szCs w:val="21"/>
        </w:rPr>
        <w:t>7</w:t>
      </w:r>
      <w:r>
        <w:rPr>
          <w:rFonts w:hint="eastAsia" w:ascii="宋体" w:hAnsi="宋体"/>
          <w:color w:val="000000"/>
          <w:szCs w:val="21"/>
        </w:rPr>
        <w:t>、</w:t>
      </w:r>
      <w:r>
        <w:rPr>
          <w:rFonts w:ascii="宋体" w:hAnsi="宋体"/>
          <w:color w:val="000000"/>
          <w:szCs w:val="21"/>
        </w:rPr>
        <w:t>确保文明施工的技术组织措施</w:t>
      </w:r>
    </w:p>
    <w:p>
      <w:pPr>
        <w:spacing w:line="360" w:lineRule="auto"/>
        <w:rPr>
          <w:rFonts w:ascii="宋体" w:hAnsi="宋体"/>
          <w:color w:val="000000"/>
          <w:szCs w:val="21"/>
        </w:rPr>
      </w:pPr>
      <w:r>
        <w:rPr>
          <w:rFonts w:ascii="宋体" w:hAnsi="宋体"/>
          <w:color w:val="000000"/>
          <w:szCs w:val="21"/>
        </w:rPr>
        <w:t>8</w:t>
      </w:r>
      <w:r>
        <w:rPr>
          <w:rFonts w:hint="eastAsia" w:ascii="宋体" w:hAnsi="宋体"/>
          <w:color w:val="000000"/>
          <w:szCs w:val="21"/>
        </w:rPr>
        <w:t>、</w:t>
      </w:r>
      <w:r>
        <w:rPr>
          <w:rFonts w:ascii="宋体" w:hAnsi="宋体"/>
          <w:color w:val="000000"/>
          <w:szCs w:val="21"/>
        </w:rPr>
        <w:t>工程施工的重点和难点及保证措施</w:t>
      </w:r>
    </w:p>
    <w:p>
      <w:pPr>
        <w:spacing w:line="360" w:lineRule="auto"/>
        <w:rPr>
          <w:rFonts w:ascii="宋体" w:hAnsi="宋体"/>
          <w:color w:val="000000"/>
          <w:szCs w:val="21"/>
        </w:rPr>
      </w:pPr>
      <w:r>
        <w:rPr>
          <w:rFonts w:ascii="宋体" w:hAnsi="宋体"/>
          <w:color w:val="000000"/>
          <w:szCs w:val="21"/>
        </w:rPr>
        <w:t>9</w:t>
      </w:r>
      <w:r>
        <w:rPr>
          <w:rFonts w:hint="eastAsia" w:ascii="宋体" w:hAnsi="宋体"/>
          <w:color w:val="000000"/>
          <w:szCs w:val="21"/>
        </w:rPr>
        <w:t>、</w:t>
      </w:r>
      <w:r>
        <w:rPr>
          <w:rFonts w:ascii="宋体" w:hAnsi="宋体"/>
          <w:color w:val="000000"/>
          <w:szCs w:val="21"/>
        </w:rPr>
        <w:t>施工总平面布置图</w:t>
      </w:r>
    </w:p>
    <w:p>
      <w:pPr>
        <w:spacing w:line="360" w:lineRule="auto"/>
        <w:rPr>
          <w:rFonts w:ascii="宋体" w:hAnsi="宋体"/>
          <w:color w:val="000000"/>
          <w:szCs w:val="21"/>
        </w:rPr>
      </w:pPr>
      <w:r>
        <w:rPr>
          <w:rFonts w:hint="eastAsia" w:ascii="宋体" w:hAnsi="宋体"/>
          <w:color w:val="000000"/>
          <w:szCs w:val="21"/>
        </w:rPr>
        <w:t>10、装配式技术应用分析（如有）</w:t>
      </w:r>
    </w:p>
    <w:p>
      <w:pPr>
        <w:spacing w:line="360" w:lineRule="auto"/>
        <w:rPr>
          <w:rFonts w:ascii="宋体" w:hAnsi="宋体"/>
          <w:color w:val="000000"/>
          <w:szCs w:val="21"/>
        </w:rPr>
      </w:pPr>
      <w:r>
        <w:rPr>
          <w:rFonts w:ascii="宋体" w:hAnsi="宋体"/>
          <w:color w:val="000000"/>
          <w:szCs w:val="21"/>
        </w:rPr>
        <w:t>11</w:t>
      </w:r>
      <w:r>
        <w:rPr>
          <w:rFonts w:hint="eastAsia" w:ascii="宋体" w:hAnsi="宋体"/>
          <w:color w:val="000000"/>
          <w:szCs w:val="21"/>
        </w:rPr>
        <w:t>、BIM技术应用分析（如有）</w:t>
      </w:r>
    </w:p>
    <w:p>
      <w:pPr>
        <w:rPr>
          <w:rFonts w:hint="eastAsia" w:ascii="宋体" w:hAnsi="宋体"/>
          <w:color w:val="000000"/>
          <w:sz w:val="28"/>
          <w:szCs w:val="28"/>
        </w:rPr>
      </w:pPr>
    </w:p>
    <w:p>
      <w:pPr>
        <w:rPr>
          <w:rFonts w:ascii="宋体" w:hAnsi="宋体"/>
          <w:b/>
          <w:color w:val="000000"/>
          <w:sz w:val="28"/>
          <w:szCs w:val="28"/>
        </w:rPr>
      </w:pPr>
      <w:r>
        <w:rPr>
          <w:rFonts w:hint="eastAsia" w:ascii="宋体" w:hAnsi="宋体"/>
          <w:b/>
          <w:color w:val="000000"/>
          <w:sz w:val="28"/>
          <w:szCs w:val="28"/>
        </w:rPr>
        <w:t>三、暗标的编制要求</w:t>
      </w:r>
    </w:p>
    <w:p>
      <w:pPr>
        <w:rPr>
          <w:rFonts w:hint="eastAsia" w:ascii="宋体" w:hAnsi="宋体"/>
          <w:b/>
          <w:color w:val="000000"/>
          <w:sz w:val="28"/>
          <w:szCs w:val="28"/>
        </w:rPr>
      </w:pPr>
    </w:p>
    <w:p>
      <w:pPr>
        <w:spacing w:line="360" w:lineRule="auto"/>
        <w:rPr>
          <w:rFonts w:hint="eastAsia" w:ascii="宋体" w:hAnsi="宋体"/>
          <w:color w:val="000000"/>
          <w:szCs w:val="21"/>
        </w:rPr>
      </w:pPr>
      <w:r>
        <w:rPr>
          <w:rFonts w:hint="eastAsia" w:ascii="宋体" w:hAnsi="宋体"/>
          <w:color w:val="000000"/>
          <w:szCs w:val="21"/>
        </w:rPr>
        <w:t>1、技术标封面的编制：</w:t>
      </w:r>
    </w:p>
    <w:p>
      <w:pPr>
        <w:spacing w:line="360" w:lineRule="auto"/>
        <w:rPr>
          <w:rFonts w:hint="eastAsia" w:ascii="宋体" w:hAnsi="宋体"/>
          <w:color w:val="000000"/>
          <w:szCs w:val="21"/>
        </w:rPr>
      </w:pPr>
      <w:r>
        <w:rPr>
          <w:rFonts w:hint="eastAsia" w:ascii="宋体" w:hAnsi="宋体"/>
          <w:color w:val="000000"/>
          <w:szCs w:val="21"/>
        </w:rPr>
        <w:t>需点击投标文件编制专用工具的“编辑文档”按钮进行内容编辑，关闭编辑框后软件自动将编辑内容转换成PDF格式文档；</w:t>
      </w:r>
    </w:p>
    <w:p>
      <w:pPr>
        <w:spacing w:line="360" w:lineRule="auto"/>
        <w:rPr>
          <w:rFonts w:hint="eastAsia" w:ascii="宋体" w:hAnsi="宋体"/>
          <w:color w:val="000000"/>
          <w:szCs w:val="21"/>
        </w:rPr>
      </w:pPr>
      <w:r>
        <w:rPr>
          <w:rFonts w:hint="eastAsia" w:ascii="宋体" w:hAnsi="宋体"/>
          <w:color w:val="000000"/>
          <w:szCs w:val="21"/>
        </w:rPr>
        <w:t>2、技术标正文编制：</w:t>
      </w:r>
    </w:p>
    <w:p>
      <w:pPr>
        <w:spacing w:line="360" w:lineRule="auto"/>
        <w:rPr>
          <w:rFonts w:hint="eastAsia" w:ascii="宋体" w:hAnsi="宋体"/>
          <w:color w:val="000000"/>
          <w:szCs w:val="21"/>
        </w:rPr>
      </w:pPr>
      <w:r>
        <w:rPr>
          <w:rFonts w:hint="eastAsia" w:ascii="宋体" w:hAnsi="宋体"/>
          <w:color w:val="000000"/>
          <w:szCs w:val="21"/>
        </w:rPr>
        <w:t>导入已编制好的技术标正文文档，将技术标正文文档相应内容与各个评分点进行节点对应。</w:t>
      </w:r>
    </w:p>
    <w:p>
      <w:pPr>
        <w:spacing w:line="360" w:lineRule="auto"/>
        <w:rPr>
          <w:rFonts w:hint="eastAsia" w:ascii="宋体" w:hAnsi="宋体"/>
          <w:color w:val="000000"/>
          <w:szCs w:val="21"/>
        </w:rPr>
      </w:pPr>
      <w:r>
        <w:rPr>
          <w:rFonts w:hint="eastAsia" w:ascii="宋体" w:hAnsi="宋体"/>
          <w:color w:val="000000"/>
          <w:szCs w:val="21"/>
        </w:rPr>
        <w:t>3、目录要求：</w:t>
      </w:r>
    </w:p>
    <w:p>
      <w:pPr>
        <w:spacing w:line="360" w:lineRule="auto"/>
        <w:rPr>
          <w:rFonts w:ascii="宋体" w:hAnsi="宋体"/>
          <w:color w:val="000000"/>
          <w:szCs w:val="21"/>
        </w:rPr>
      </w:pPr>
      <w:r>
        <w:rPr>
          <w:rFonts w:hint="eastAsia" w:ascii="宋体" w:hAnsi="宋体"/>
          <w:color w:val="000000"/>
          <w:szCs w:val="21"/>
        </w:rPr>
        <w:t>技术标首页应为目录，目录标题采用宋体三号居中，正文采用宋体四号左端对齐。目录中各章点名称与其页数之间采用点划线，页数放在最后一列，目录不编制页码。目录应按如下规则编制：</w:t>
      </w:r>
    </w:p>
    <w:p>
      <w:pPr>
        <w:spacing w:line="360" w:lineRule="auto"/>
        <w:rPr>
          <w:rFonts w:hint="eastAsia" w:ascii="宋体" w:hAnsi="宋体"/>
          <w:color w:val="000000"/>
          <w:szCs w:val="21"/>
        </w:rPr>
      </w:pPr>
      <w:r>
        <w:rPr>
          <w:rFonts w:hint="eastAsia" w:ascii="宋体" w:hAnsi="宋体"/>
          <w:color w:val="000000"/>
          <w:szCs w:val="21"/>
        </w:rPr>
        <w:t>一</w:t>
      </w:r>
      <w:r>
        <w:rPr>
          <w:rFonts w:ascii="宋体" w:hAnsi="宋体"/>
          <w:color w:val="000000"/>
          <w:szCs w:val="21"/>
        </w:rPr>
        <w:t>、</w:t>
      </w:r>
      <w:r>
        <w:rPr>
          <w:rFonts w:hint="eastAsia" w:ascii="宋体" w:hAnsi="宋体"/>
          <w:color w:val="000000"/>
          <w:szCs w:val="21"/>
        </w:rPr>
        <w:t>工程总承包工作大纲</w:t>
      </w:r>
    </w:p>
    <w:p>
      <w:pPr>
        <w:spacing w:line="360" w:lineRule="auto"/>
        <w:rPr>
          <w:rFonts w:hint="eastAsia" w:ascii="宋体" w:hAnsi="宋体"/>
          <w:color w:val="000000"/>
          <w:szCs w:val="21"/>
        </w:rPr>
      </w:pPr>
      <w:r>
        <w:rPr>
          <w:rFonts w:hint="eastAsia" w:ascii="宋体" w:hAnsi="宋体"/>
          <w:color w:val="000000"/>
          <w:szCs w:val="21"/>
        </w:rPr>
        <w:t>1.概述；</w:t>
      </w:r>
    </w:p>
    <w:p>
      <w:pPr>
        <w:spacing w:line="360" w:lineRule="auto"/>
        <w:rPr>
          <w:rFonts w:ascii="宋体" w:hAnsi="宋体"/>
          <w:color w:val="000000"/>
          <w:szCs w:val="21"/>
        </w:rPr>
      </w:pPr>
      <w:r>
        <w:rPr>
          <w:rFonts w:ascii="宋体" w:hAnsi="宋体"/>
          <w:color w:val="000000"/>
          <w:szCs w:val="21"/>
        </w:rPr>
        <w:t>1.1…</w:t>
      </w:r>
    </w:p>
    <w:p>
      <w:pPr>
        <w:spacing w:line="360" w:lineRule="auto"/>
        <w:rPr>
          <w:rFonts w:ascii="宋体" w:hAnsi="宋体"/>
          <w:color w:val="000000"/>
          <w:szCs w:val="21"/>
        </w:rPr>
      </w:pPr>
      <w:r>
        <w:rPr>
          <w:rFonts w:ascii="宋体" w:hAnsi="宋体"/>
          <w:color w:val="000000"/>
          <w:szCs w:val="21"/>
        </w:rPr>
        <w:t>1.1.1…</w:t>
      </w:r>
    </w:p>
    <w:p>
      <w:pPr>
        <w:spacing w:line="360" w:lineRule="auto"/>
        <w:rPr>
          <w:rFonts w:ascii="宋体" w:hAnsi="宋体"/>
          <w:color w:val="000000"/>
          <w:szCs w:val="21"/>
        </w:rPr>
      </w:pPr>
      <w:r>
        <w:rPr>
          <w:rFonts w:ascii="宋体" w:hAnsi="宋体"/>
          <w:color w:val="000000"/>
          <w:szCs w:val="21"/>
        </w:rPr>
        <w:t>1.2…</w:t>
      </w:r>
    </w:p>
    <w:p>
      <w:pPr>
        <w:spacing w:line="360" w:lineRule="auto"/>
        <w:rPr>
          <w:rFonts w:ascii="宋体" w:hAnsi="宋体"/>
          <w:color w:val="000000"/>
          <w:szCs w:val="21"/>
        </w:rPr>
      </w:pPr>
      <w:r>
        <w:rPr>
          <w:rFonts w:ascii="宋体" w:hAnsi="宋体"/>
          <w:color w:val="000000"/>
          <w:szCs w:val="21"/>
        </w:rPr>
        <w:t>1.2.1…</w:t>
      </w:r>
    </w:p>
    <w:p>
      <w:pPr>
        <w:spacing w:line="360" w:lineRule="auto"/>
        <w:rPr>
          <w:rFonts w:hint="eastAsia" w:ascii="宋体" w:hAnsi="宋体"/>
          <w:color w:val="000000"/>
          <w:szCs w:val="21"/>
        </w:rPr>
      </w:pPr>
      <w:r>
        <w:rPr>
          <w:rFonts w:hint="eastAsia" w:ascii="宋体" w:hAnsi="宋体"/>
          <w:color w:val="000000"/>
          <w:szCs w:val="21"/>
        </w:rPr>
        <w:t>2. 总体实施方案；</w:t>
      </w:r>
    </w:p>
    <w:p>
      <w:pPr>
        <w:spacing w:line="360" w:lineRule="auto"/>
        <w:rPr>
          <w:rFonts w:hint="eastAsia" w:ascii="宋体" w:hAnsi="宋体"/>
          <w:color w:val="000000"/>
          <w:szCs w:val="21"/>
        </w:rPr>
      </w:pPr>
      <w:r>
        <w:rPr>
          <w:rFonts w:hint="eastAsia" w:ascii="宋体" w:hAnsi="宋体"/>
          <w:color w:val="000000"/>
          <w:szCs w:val="21"/>
        </w:rPr>
        <w:t xml:space="preserve">3. 项目实施要点； </w:t>
      </w:r>
    </w:p>
    <w:p>
      <w:pPr>
        <w:spacing w:line="360" w:lineRule="auto"/>
        <w:rPr>
          <w:rFonts w:hint="eastAsia" w:ascii="宋体" w:hAnsi="宋体"/>
          <w:color w:val="000000"/>
          <w:szCs w:val="21"/>
        </w:rPr>
      </w:pPr>
      <w:r>
        <w:rPr>
          <w:rFonts w:hint="eastAsia" w:ascii="宋体" w:hAnsi="宋体"/>
          <w:color w:val="000000"/>
          <w:szCs w:val="21"/>
        </w:rPr>
        <w:t>4.</w:t>
      </w:r>
      <w:r>
        <w:rPr>
          <w:rFonts w:hint="eastAsia"/>
          <w:color w:val="000000"/>
          <w:szCs w:val="21"/>
        </w:rPr>
        <w:t xml:space="preserve"> </w:t>
      </w:r>
      <w:r>
        <w:rPr>
          <w:rFonts w:hint="eastAsia" w:ascii="宋体" w:hAnsi="宋体"/>
          <w:color w:val="000000"/>
          <w:szCs w:val="21"/>
        </w:rPr>
        <w:t>项目管理要点；</w:t>
      </w:r>
    </w:p>
    <w:p>
      <w:pPr>
        <w:spacing w:line="360" w:lineRule="auto"/>
        <w:rPr>
          <w:rFonts w:ascii="宋体" w:hAnsi="宋体"/>
          <w:color w:val="000000"/>
          <w:szCs w:val="21"/>
        </w:rPr>
      </w:pPr>
      <w:r>
        <w:rPr>
          <w:rFonts w:hint="eastAsia" w:ascii="宋体" w:hAnsi="宋体"/>
          <w:color w:val="000000"/>
          <w:szCs w:val="21"/>
        </w:rPr>
        <w:t>5.</w:t>
      </w:r>
      <w:r>
        <w:rPr>
          <w:rFonts w:hint="eastAsia"/>
          <w:color w:val="000000"/>
          <w:szCs w:val="21"/>
        </w:rPr>
        <w:t xml:space="preserve"> </w:t>
      </w:r>
      <w:r>
        <w:rPr>
          <w:rFonts w:hint="eastAsia" w:ascii="宋体" w:hAnsi="宋体"/>
          <w:color w:val="000000"/>
          <w:szCs w:val="21"/>
        </w:rPr>
        <w:t>设计及施工的配合；</w:t>
      </w:r>
    </w:p>
    <w:p>
      <w:pPr>
        <w:spacing w:line="360" w:lineRule="auto"/>
        <w:rPr>
          <w:rFonts w:hint="eastAsia" w:ascii="宋体" w:hAnsi="宋体"/>
          <w:color w:val="000000"/>
          <w:szCs w:val="21"/>
        </w:rPr>
      </w:pPr>
      <w:r>
        <w:rPr>
          <w:rFonts w:hint="eastAsia" w:ascii="宋体" w:hAnsi="宋体"/>
          <w:color w:val="000000"/>
          <w:szCs w:val="21"/>
        </w:rPr>
        <w:t>二</w:t>
      </w:r>
      <w:r>
        <w:rPr>
          <w:rFonts w:ascii="宋体" w:hAnsi="宋体"/>
          <w:color w:val="000000"/>
          <w:szCs w:val="21"/>
        </w:rPr>
        <w:t>、</w:t>
      </w:r>
      <w:r>
        <w:rPr>
          <w:rFonts w:hint="eastAsia" w:ascii="宋体" w:hAnsi="宋体"/>
          <w:color w:val="000000"/>
          <w:szCs w:val="21"/>
        </w:rPr>
        <w:t>施工组织设计</w:t>
      </w:r>
    </w:p>
    <w:p>
      <w:pPr>
        <w:spacing w:line="360" w:lineRule="auto"/>
        <w:rPr>
          <w:rFonts w:hint="eastAsia" w:ascii="宋体" w:hAnsi="宋体"/>
          <w:color w:val="000000"/>
          <w:szCs w:val="21"/>
        </w:rPr>
      </w:pPr>
      <w:r>
        <w:rPr>
          <w:rFonts w:hint="eastAsia" w:ascii="宋体" w:hAnsi="宋体"/>
          <w:color w:val="000000"/>
          <w:szCs w:val="21"/>
        </w:rPr>
        <w:t>1.主要施工方法；</w:t>
      </w:r>
    </w:p>
    <w:p>
      <w:pPr>
        <w:spacing w:line="360" w:lineRule="auto"/>
        <w:rPr>
          <w:rFonts w:hint="eastAsia" w:ascii="宋体" w:hAnsi="宋体"/>
          <w:color w:val="000000"/>
          <w:szCs w:val="21"/>
        </w:rPr>
      </w:pPr>
      <w:r>
        <w:rPr>
          <w:rFonts w:hint="eastAsia" w:ascii="宋体" w:hAnsi="宋体"/>
          <w:color w:val="000000"/>
          <w:szCs w:val="21"/>
        </w:rPr>
        <w:t>2.拟投入的主要物资计划；</w:t>
      </w:r>
    </w:p>
    <w:p>
      <w:pPr>
        <w:spacing w:line="360" w:lineRule="auto"/>
        <w:rPr>
          <w:rFonts w:hint="eastAsia" w:ascii="宋体" w:hAnsi="宋体"/>
          <w:color w:val="000000"/>
          <w:szCs w:val="21"/>
        </w:rPr>
      </w:pPr>
      <w:r>
        <w:rPr>
          <w:rFonts w:hint="eastAsia" w:ascii="宋体" w:hAnsi="宋体"/>
          <w:color w:val="000000"/>
          <w:szCs w:val="21"/>
        </w:rPr>
        <w:t>3.劳动力安排计划</w:t>
      </w:r>
    </w:p>
    <w:p>
      <w:pPr>
        <w:spacing w:line="360" w:lineRule="auto"/>
        <w:rPr>
          <w:rFonts w:hint="eastAsia" w:ascii="宋体" w:hAnsi="宋体"/>
          <w:color w:val="000000"/>
          <w:szCs w:val="21"/>
        </w:rPr>
      </w:pPr>
      <w:r>
        <w:rPr>
          <w:rFonts w:hint="eastAsia" w:ascii="宋体" w:hAnsi="宋体"/>
          <w:color w:val="000000"/>
          <w:szCs w:val="21"/>
        </w:rPr>
        <w:t>4.确保工程质量的技术组织措施</w:t>
      </w:r>
    </w:p>
    <w:p>
      <w:pPr>
        <w:spacing w:line="360" w:lineRule="auto"/>
        <w:rPr>
          <w:rFonts w:hint="eastAsia" w:ascii="宋体" w:hAnsi="宋体"/>
          <w:color w:val="000000"/>
          <w:szCs w:val="21"/>
        </w:rPr>
      </w:pPr>
      <w:r>
        <w:rPr>
          <w:rFonts w:hint="eastAsia" w:ascii="宋体" w:hAnsi="宋体"/>
          <w:color w:val="000000"/>
          <w:szCs w:val="21"/>
        </w:rPr>
        <w:t>5.确保安全生产的技术组织措施</w:t>
      </w:r>
    </w:p>
    <w:p>
      <w:pPr>
        <w:spacing w:line="360" w:lineRule="auto"/>
        <w:rPr>
          <w:rFonts w:hint="eastAsia" w:ascii="宋体" w:hAnsi="宋体"/>
          <w:color w:val="000000"/>
          <w:szCs w:val="21"/>
        </w:rPr>
      </w:pPr>
      <w:r>
        <w:rPr>
          <w:rFonts w:hint="eastAsia" w:ascii="宋体" w:hAnsi="宋体"/>
          <w:color w:val="000000"/>
          <w:szCs w:val="21"/>
        </w:rPr>
        <w:t>6.确保工期的技术组织措施</w:t>
      </w:r>
    </w:p>
    <w:p>
      <w:pPr>
        <w:spacing w:line="360" w:lineRule="auto"/>
        <w:rPr>
          <w:rFonts w:hint="eastAsia" w:ascii="宋体" w:hAnsi="宋体"/>
          <w:color w:val="000000"/>
          <w:szCs w:val="21"/>
        </w:rPr>
      </w:pPr>
      <w:r>
        <w:rPr>
          <w:rFonts w:hint="eastAsia" w:ascii="宋体" w:hAnsi="宋体"/>
          <w:color w:val="000000"/>
          <w:szCs w:val="21"/>
        </w:rPr>
        <w:t>7.确保文明施工的技术组织措施</w:t>
      </w:r>
    </w:p>
    <w:p>
      <w:pPr>
        <w:spacing w:line="360" w:lineRule="auto"/>
        <w:rPr>
          <w:rFonts w:hint="eastAsia" w:ascii="宋体" w:hAnsi="宋体"/>
          <w:color w:val="000000"/>
          <w:szCs w:val="21"/>
        </w:rPr>
      </w:pPr>
      <w:r>
        <w:rPr>
          <w:rFonts w:hint="eastAsia" w:ascii="宋体" w:hAnsi="宋体"/>
          <w:color w:val="000000"/>
          <w:szCs w:val="21"/>
        </w:rPr>
        <w:t>8.工程施工的重点和难点及保证措施</w:t>
      </w:r>
    </w:p>
    <w:p>
      <w:pPr>
        <w:spacing w:line="360" w:lineRule="auto"/>
        <w:rPr>
          <w:rFonts w:hint="eastAsia" w:ascii="宋体" w:hAnsi="宋体"/>
          <w:color w:val="000000"/>
          <w:szCs w:val="21"/>
        </w:rPr>
      </w:pPr>
      <w:r>
        <w:rPr>
          <w:rFonts w:hint="eastAsia" w:ascii="宋体" w:hAnsi="宋体"/>
          <w:color w:val="000000"/>
          <w:szCs w:val="21"/>
        </w:rPr>
        <w:t>9.施工总平面布置图</w:t>
      </w:r>
    </w:p>
    <w:p>
      <w:pPr>
        <w:spacing w:line="360" w:lineRule="auto"/>
        <w:rPr>
          <w:rFonts w:hint="eastAsia" w:ascii="宋体" w:hAnsi="宋体"/>
          <w:color w:val="000000"/>
          <w:szCs w:val="21"/>
        </w:rPr>
      </w:pPr>
      <w:r>
        <w:rPr>
          <w:rFonts w:hint="eastAsia" w:ascii="宋体" w:hAnsi="宋体"/>
          <w:color w:val="000000"/>
          <w:szCs w:val="21"/>
        </w:rPr>
        <w:t>10.装配式技术应用分析（如有）</w:t>
      </w:r>
    </w:p>
    <w:p>
      <w:pPr>
        <w:spacing w:line="360" w:lineRule="auto"/>
        <w:rPr>
          <w:rFonts w:hint="eastAsia" w:ascii="宋体" w:hAnsi="宋体"/>
          <w:color w:val="000000"/>
          <w:szCs w:val="21"/>
        </w:rPr>
      </w:pPr>
      <w:r>
        <w:rPr>
          <w:rFonts w:hint="eastAsia" w:ascii="宋体" w:hAnsi="宋体"/>
          <w:color w:val="000000"/>
          <w:szCs w:val="21"/>
        </w:rPr>
        <w:t>11.BIM技术应用分析（如有）</w:t>
      </w:r>
    </w:p>
    <w:p>
      <w:pPr>
        <w:spacing w:line="360" w:lineRule="auto"/>
        <w:rPr>
          <w:rFonts w:hint="eastAsia" w:ascii="宋体" w:hAnsi="宋体"/>
          <w:color w:val="000000"/>
          <w:szCs w:val="21"/>
        </w:rPr>
      </w:pPr>
      <w:r>
        <w:rPr>
          <w:rFonts w:hint="eastAsia" w:ascii="宋体" w:hAnsi="宋体"/>
          <w:color w:val="000000"/>
          <w:szCs w:val="21"/>
        </w:rPr>
        <w:t>4、章节要求：</w:t>
      </w:r>
    </w:p>
    <w:p>
      <w:pPr>
        <w:spacing w:line="360" w:lineRule="auto"/>
        <w:rPr>
          <w:rFonts w:hint="eastAsia" w:ascii="宋体" w:hAnsi="宋体"/>
          <w:color w:val="000000"/>
          <w:szCs w:val="21"/>
        </w:rPr>
      </w:pPr>
      <w:r>
        <w:rPr>
          <w:rFonts w:hint="eastAsia" w:ascii="宋体" w:hAnsi="宋体"/>
          <w:color w:val="000000"/>
          <w:szCs w:val="21"/>
        </w:rPr>
        <w:t>技术</w:t>
      </w:r>
      <w:r>
        <w:rPr>
          <w:rFonts w:ascii="宋体" w:hAnsi="宋体"/>
          <w:color w:val="000000"/>
          <w:szCs w:val="21"/>
        </w:rPr>
        <w:t>标</w:t>
      </w:r>
      <w:r>
        <w:rPr>
          <w:rFonts w:hint="eastAsia" w:ascii="宋体" w:hAnsi="宋体"/>
          <w:color w:val="000000"/>
          <w:szCs w:val="21"/>
        </w:rPr>
        <w:t>应按评标办法前附表技术</w:t>
      </w:r>
      <w:r>
        <w:rPr>
          <w:rFonts w:ascii="宋体" w:hAnsi="宋体"/>
          <w:color w:val="000000"/>
          <w:szCs w:val="21"/>
        </w:rPr>
        <w:t>标</w:t>
      </w:r>
      <w:r>
        <w:rPr>
          <w:rFonts w:hint="eastAsia" w:ascii="宋体" w:hAnsi="宋体"/>
          <w:color w:val="000000"/>
          <w:szCs w:val="21"/>
        </w:rPr>
        <w:t>评分标准的内容顺序编制，各章间应分页编排。章节序号应按1.，1.1，1.1.1…类比编排。</w:t>
      </w:r>
    </w:p>
    <w:p>
      <w:pPr>
        <w:spacing w:line="360" w:lineRule="auto"/>
        <w:rPr>
          <w:rFonts w:hint="eastAsia" w:ascii="宋体" w:hAnsi="宋体"/>
          <w:color w:val="000000"/>
          <w:szCs w:val="21"/>
        </w:rPr>
      </w:pPr>
      <w:r>
        <w:rPr>
          <w:rFonts w:hint="eastAsia" w:ascii="宋体" w:hAnsi="宋体"/>
          <w:color w:val="000000"/>
          <w:szCs w:val="21"/>
        </w:rPr>
        <w:t>5、排版要求：</w:t>
      </w:r>
    </w:p>
    <w:p>
      <w:pPr>
        <w:spacing w:line="360" w:lineRule="auto"/>
        <w:rPr>
          <w:rFonts w:hint="eastAsia" w:ascii="宋体" w:hAnsi="宋体"/>
          <w:color w:val="000000"/>
          <w:szCs w:val="21"/>
        </w:rPr>
      </w:pPr>
      <w:r>
        <w:rPr>
          <w:rFonts w:hint="eastAsia" w:ascii="宋体" w:hAnsi="宋体"/>
          <w:color w:val="000000"/>
          <w:szCs w:val="21"/>
        </w:rPr>
        <w:t>字体、字符间距：宋体，黑色，字符间距缩放100%，间距、位置为标准；</w:t>
      </w:r>
    </w:p>
    <w:p>
      <w:pPr>
        <w:spacing w:line="360" w:lineRule="auto"/>
        <w:rPr>
          <w:rFonts w:hint="eastAsia" w:ascii="宋体" w:hAnsi="宋体"/>
          <w:color w:val="000000"/>
          <w:szCs w:val="21"/>
        </w:rPr>
      </w:pPr>
      <w:r>
        <w:rPr>
          <w:rFonts w:hint="eastAsia" w:ascii="宋体" w:hAnsi="宋体"/>
          <w:color w:val="000000"/>
          <w:szCs w:val="21"/>
        </w:rPr>
        <w:t>字号、行距：一级标题采用三号字，居中排版；其他采用小四号字，开始段落空两个字符，行距设1.5倍行距；</w:t>
      </w:r>
    </w:p>
    <w:p>
      <w:pPr>
        <w:spacing w:line="360" w:lineRule="auto"/>
        <w:rPr>
          <w:rFonts w:hint="eastAsia" w:ascii="宋体" w:hAnsi="宋体"/>
          <w:color w:val="000000"/>
          <w:szCs w:val="21"/>
        </w:rPr>
      </w:pPr>
      <w:r>
        <w:rPr>
          <w:rFonts w:hint="eastAsia" w:ascii="宋体" w:hAnsi="宋体"/>
          <w:color w:val="000000"/>
          <w:szCs w:val="21"/>
        </w:rPr>
        <w:t>页边距：上下左右均为2.15cm,装订线0cm；</w:t>
      </w:r>
    </w:p>
    <w:p>
      <w:pPr>
        <w:spacing w:line="360" w:lineRule="auto"/>
        <w:rPr>
          <w:rFonts w:hint="eastAsia" w:ascii="宋体" w:hAnsi="宋体"/>
          <w:color w:val="000000"/>
          <w:szCs w:val="21"/>
        </w:rPr>
      </w:pPr>
      <w:r>
        <w:rPr>
          <w:rFonts w:hint="eastAsia" w:ascii="宋体" w:hAnsi="宋体"/>
          <w:color w:val="000000"/>
          <w:szCs w:val="21"/>
        </w:rPr>
        <w:t>页眉页脚：页眉页脚距边界1.5cm,不允许有页眉，页脚只允许有页码，页码采用阿拉伯数字，宋体五号，居中布置，页码应当连续，不得分章或节单独编码；</w:t>
      </w:r>
    </w:p>
    <w:p>
      <w:pPr>
        <w:spacing w:line="360" w:lineRule="auto"/>
        <w:rPr>
          <w:rFonts w:hint="eastAsia" w:ascii="宋体" w:hAnsi="宋体"/>
          <w:color w:val="000000"/>
          <w:szCs w:val="21"/>
        </w:rPr>
      </w:pPr>
      <w:r>
        <w:rPr>
          <w:rFonts w:hint="eastAsia" w:ascii="宋体" w:hAnsi="宋体"/>
          <w:color w:val="000000"/>
          <w:szCs w:val="21"/>
        </w:rPr>
        <w:t>1）表格内文字要求：宋体小四号字体</w:t>
      </w:r>
    </w:p>
    <w:p>
      <w:pPr>
        <w:spacing w:line="360" w:lineRule="auto"/>
        <w:rPr>
          <w:rFonts w:hint="eastAsia" w:ascii="宋体" w:hAnsi="宋体"/>
          <w:color w:val="000000"/>
          <w:szCs w:val="21"/>
        </w:rPr>
      </w:pPr>
      <w:r>
        <w:rPr>
          <w:rFonts w:hint="eastAsia" w:ascii="宋体" w:hAnsi="宋体"/>
          <w:color w:val="000000"/>
          <w:szCs w:val="21"/>
        </w:rPr>
        <w:t>2）图表字体、颜色不做限制</w:t>
      </w:r>
    </w:p>
    <w:p>
      <w:pPr>
        <w:spacing w:line="360" w:lineRule="auto"/>
        <w:rPr>
          <w:rFonts w:hint="eastAsia" w:ascii="宋体" w:hAnsi="宋体"/>
          <w:color w:val="000000"/>
          <w:szCs w:val="21"/>
        </w:rPr>
      </w:pPr>
      <w:r>
        <w:rPr>
          <w:rFonts w:hint="eastAsia" w:ascii="宋体" w:hAnsi="宋体"/>
          <w:color w:val="000000"/>
          <w:szCs w:val="21"/>
        </w:rPr>
        <w:t>3）图片：颜色不做限制</w:t>
      </w:r>
    </w:p>
    <w:p>
      <w:pPr>
        <w:spacing w:line="360" w:lineRule="auto"/>
        <w:rPr>
          <w:rFonts w:hint="eastAsia" w:ascii="宋体" w:hAnsi="宋体"/>
          <w:color w:val="000000"/>
          <w:szCs w:val="21"/>
        </w:rPr>
      </w:pPr>
      <w:r>
        <w:rPr>
          <w:rFonts w:hint="eastAsia" w:ascii="宋体" w:hAnsi="宋体"/>
          <w:color w:val="000000"/>
          <w:szCs w:val="21"/>
        </w:rPr>
        <w:t>6、编写软件及版本要求：Microsoft Word；</w:t>
      </w:r>
    </w:p>
    <w:p>
      <w:pPr>
        <w:spacing w:line="360" w:lineRule="auto"/>
        <w:rPr>
          <w:rFonts w:hint="eastAsia" w:ascii="宋体" w:hAnsi="宋体"/>
          <w:color w:val="000000"/>
          <w:szCs w:val="21"/>
        </w:rPr>
      </w:pPr>
      <w:r>
        <w:rPr>
          <w:rFonts w:hint="eastAsia" w:ascii="宋体" w:hAnsi="宋体"/>
          <w:color w:val="000000"/>
          <w:szCs w:val="21"/>
        </w:rPr>
        <w:t>7、技术标正文中不得出现投标人的名称和其他可识别投标人身份的字符（图表）、徽标、业绩、荣誉或人员姓名以及其他特殊标记等。</w:t>
      </w:r>
    </w:p>
    <w:p>
      <w:pPr>
        <w:rPr>
          <w:rFonts w:hint="eastAsia" w:ascii="宋体" w:hAnsi="宋体"/>
          <w:b/>
          <w:color w:val="000000"/>
          <w:sz w:val="28"/>
          <w:szCs w:val="28"/>
        </w:rPr>
      </w:pPr>
    </w:p>
    <w:p>
      <w:pPr>
        <w:spacing w:line="360" w:lineRule="auto"/>
        <w:rPr>
          <w:rFonts w:ascii="宋体" w:hAnsi="宋体"/>
          <w:color w:val="000000"/>
        </w:rPr>
      </w:pPr>
      <w:r>
        <w:rPr>
          <w:rFonts w:hint="eastAsia" w:ascii="宋体" w:hAnsi="宋体"/>
          <w:b/>
          <w:color w:val="000000"/>
          <w:sz w:val="28"/>
          <w:szCs w:val="28"/>
        </w:rPr>
        <w:t>四、</w:t>
      </w:r>
      <w:r>
        <w:rPr>
          <w:rFonts w:ascii="宋体" w:hAnsi="宋体"/>
          <w:b/>
          <w:color w:val="000000"/>
          <w:sz w:val="28"/>
          <w:szCs w:val="28"/>
        </w:rPr>
        <w:t>内容要求</w:t>
      </w:r>
      <w:bookmarkStart w:id="1772" w:name="_Toc419363896"/>
    </w:p>
    <w:p>
      <w:pPr>
        <w:spacing w:line="360" w:lineRule="auto"/>
        <w:rPr>
          <w:rFonts w:hint="eastAsia" w:ascii="宋体" w:hAnsi="宋体"/>
          <w:b/>
          <w:color w:val="000000"/>
          <w:sz w:val="24"/>
        </w:rPr>
      </w:pPr>
      <w:r>
        <w:rPr>
          <w:rFonts w:hint="eastAsia" w:ascii="宋体" w:hAnsi="宋体"/>
          <w:color w:val="000000"/>
        </w:rPr>
        <w:t>（</w:t>
      </w:r>
      <w:r>
        <w:rPr>
          <w:rFonts w:hint="eastAsia" w:ascii="宋体" w:hAnsi="宋体"/>
          <w:b/>
          <w:color w:val="000000"/>
          <w:sz w:val="24"/>
        </w:rPr>
        <w:t>一</w:t>
      </w:r>
      <w:bookmarkEnd w:id="1772"/>
      <w:r>
        <w:rPr>
          <w:rFonts w:hint="eastAsia" w:ascii="宋体" w:hAnsi="宋体"/>
          <w:b/>
          <w:color w:val="000000"/>
          <w:sz w:val="24"/>
        </w:rPr>
        <w:t>）工程总承包工作大纲</w:t>
      </w:r>
      <w:r>
        <w:rPr>
          <w:rFonts w:ascii="宋体" w:hAnsi="宋体"/>
          <w:b/>
          <w:color w:val="000000"/>
          <w:sz w:val="24"/>
        </w:rPr>
        <w:t>内容</w:t>
      </w:r>
      <w:r>
        <w:rPr>
          <w:rFonts w:hint="eastAsia" w:ascii="宋体" w:hAnsi="宋体"/>
          <w:b/>
          <w:color w:val="000000"/>
          <w:sz w:val="24"/>
        </w:rPr>
        <w:t>（暗标）</w:t>
      </w:r>
    </w:p>
    <w:p>
      <w:pPr>
        <w:spacing w:line="360" w:lineRule="auto"/>
        <w:rPr>
          <w:rFonts w:hint="eastAsia" w:ascii="宋体" w:hAnsi="宋体"/>
          <w:color w:val="000000"/>
          <w:szCs w:val="21"/>
        </w:rPr>
      </w:pPr>
      <w:r>
        <w:rPr>
          <w:rFonts w:hint="eastAsia" w:ascii="宋体" w:hAnsi="宋体"/>
          <w:color w:val="000000"/>
          <w:szCs w:val="21"/>
        </w:rPr>
        <w:t>1、概述</w:t>
      </w:r>
    </w:p>
    <w:p>
      <w:pPr>
        <w:spacing w:line="360" w:lineRule="auto"/>
        <w:rPr>
          <w:rFonts w:hint="eastAsia" w:ascii="宋体" w:hAnsi="宋体"/>
          <w:color w:val="000000"/>
          <w:szCs w:val="21"/>
        </w:rPr>
      </w:pPr>
      <w:r>
        <w:rPr>
          <w:rFonts w:hint="eastAsia" w:ascii="宋体" w:hAnsi="宋体"/>
          <w:color w:val="000000"/>
          <w:szCs w:val="21"/>
        </w:rPr>
        <w:t>包含：项目简要介绍、项目范围、项目特点。</w:t>
      </w:r>
    </w:p>
    <w:p>
      <w:pPr>
        <w:spacing w:line="360" w:lineRule="auto"/>
        <w:rPr>
          <w:rFonts w:hint="eastAsia" w:ascii="宋体" w:hAnsi="宋体"/>
          <w:color w:val="000000"/>
          <w:szCs w:val="21"/>
        </w:rPr>
      </w:pPr>
      <w:r>
        <w:rPr>
          <w:rFonts w:hint="eastAsia" w:ascii="宋体" w:hAnsi="宋体"/>
          <w:color w:val="000000"/>
          <w:szCs w:val="21"/>
        </w:rPr>
        <w:t>2、总体实施方案</w:t>
      </w:r>
    </w:p>
    <w:p>
      <w:pPr>
        <w:spacing w:line="360" w:lineRule="auto"/>
        <w:rPr>
          <w:rFonts w:hint="eastAsia" w:ascii="宋体" w:hAnsi="宋体"/>
          <w:color w:val="000000"/>
          <w:szCs w:val="21"/>
        </w:rPr>
      </w:pPr>
      <w:r>
        <w:rPr>
          <w:rFonts w:hint="eastAsia" w:ascii="宋体" w:hAnsi="宋体"/>
          <w:color w:val="000000"/>
          <w:szCs w:val="21"/>
        </w:rPr>
        <w:t>树立明确目标，包括工期、投资、质量计划等。详细编制本项目实施步骤、总体管理、控制标准、控制计划及控制方法、组织形式、项目阶段划分、项目工作分解结构、项目分包和采购计划、项目沟通与协调程序。</w:t>
      </w:r>
    </w:p>
    <w:p>
      <w:pPr>
        <w:spacing w:line="360" w:lineRule="auto"/>
        <w:rPr>
          <w:rFonts w:hint="eastAsia" w:ascii="宋体" w:hAnsi="宋体"/>
          <w:color w:val="000000"/>
          <w:szCs w:val="21"/>
        </w:rPr>
      </w:pPr>
      <w:r>
        <w:rPr>
          <w:rFonts w:hint="eastAsia" w:ascii="宋体" w:hAnsi="宋体"/>
          <w:color w:val="000000"/>
          <w:szCs w:val="21"/>
        </w:rPr>
        <w:t>3、项目实施要点</w:t>
      </w:r>
    </w:p>
    <w:p>
      <w:pPr>
        <w:spacing w:line="360" w:lineRule="auto"/>
        <w:rPr>
          <w:rFonts w:hint="eastAsia" w:ascii="宋体" w:hAnsi="宋体"/>
          <w:color w:val="000000"/>
          <w:szCs w:val="21"/>
        </w:rPr>
      </w:pPr>
      <w:r>
        <w:rPr>
          <w:rFonts w:hint="eastAsia" w:ascii="宋体" w:hAnsi="宋体"/>
          <w:color w:val="000000"/>
          <w:szCs w:val="21"/>
        </w:rPr>
        <w:t>要求要点明确，包括勘察设计实施要点、采购实施要点、施工实施要点、试运行实施要点等。结合本项目特点，切合实际，先进可行，具有可操作性。</w:t>
      </w:r>
    </w:p>
    <w:p>
      <w:pPr>
        <w:spacing w:line="360" w:lineRule="auto"/>
        <w:rPr>
          <w:rFonts w:hint="eastAsia" w:ascii="宋体" w:hAnsi="宋体"/>
          <w:color w:val="000000"/>
          <w:szCs w:val="21"/>
        </w:rPr>
      </w:pPr>
      <w:r>
        <w:rPr>
          <w:rFonts w:ascii="宋体" w:hAnsi="宋体"/>
          <w:color w:val="000000"/>
          <w:szCs w:val="21"/>
        </w:rPr>
        <w:t>4</w:t>
      </w:r>
      <w:r>
        <w:rPr>
          <w:rFonts w:hint="eastAsia" w:ascii="宋体" w:hAnsi="宋体"/>
          <w:color w:val="000000"/>
          <w:szCs w:val="21"/>
        </w:rPr>
        <w:t>、项目管理要点</w:t>
      </w:r>
    </w:p>
    <w:p>
      <w:pPr>
        <w:spacing w:line="360" w:lineRule="auto"/>
        <w:rPr>
          <w:rFonts w:ascii="宋体" w:hAnsi="宋体"/>
          <w:color w:val="000000"/>
          <w:szCs w:val="21"/>
        </w:rPr>
      </w:pPr>
      <w:r>
        <w:rPr>
          <w:rFonts w:hint="eastAsia" w:ascii="宋体" w:hAnsi="宋体"/>
          <w:color w:val="000000"/>
          <w:szCs w:val="21"/>
        </w:rPr>
        <w:t>要求管理目标明确，切合实际，先进可行，具有可操作性。包括：合同管理要点、资源管理要点、质量控制要点、进度控制要点、费用估算及控制要点、安全管理要点、职业健康管理要点、环境管理要点、沟通和协调管理要点、财务管理要点、风险管理要点、文件及信息管理要点、报告制度等。</w:t>
      </w:r>
    </w:p>
    <w:p>
      <w:pPr>
        <w:spacing w:line="360" w:lineRule="auto"/>
        <w:rPr>
          <w:rFonts w:hint="eastAsia" w:ascii="宋体" w:hAnsi="宋体"/>
          <w:color w:val="000000"/>
          <w:szCs w:val="21"/>
        </w:rPr>
      </w:pPr>
      <w:r>
        <w:rPr>
          <w:rFonts w:ascii="宋体" w:hAnsi="宋体"/>
          <w:color w:val="000000"/>
          <w:szCs w:val="21"/>
        </w:rPr>
        <w:t>5</w:t>
      </w:r>
      <w:r>
        <w:rPr>
          <w:rFonts w:hint="eastAsia" w:ascii="宋体" w:hAnsi="宋体"/>
          <w:color w:val="000000"/>
          <w:szCs w:val="21"/>
        </w:rPr>
        <w:t>、设计及施工的配合</w:t>
      </w:r>
    </w:p>
    <w:p>
      <w:pPr>
        <w:spacing w:line="360" w:lineRule="auto"/>
        <w:rPr>
          <w:color w:val="000000"/>
          <w:szCs w:val="21"/>
        </w:rPr>
      </w:pPr>
      <w:r>
        <w:rPr>
          <w:rFonts w:hint="eastAsia" w:ascii="宋体" w:hAnsi="宋体"/>
          <w:color w:val="000000"/>
          <w:szCs w:val="21"/>
        </w:rPr>
        <w:t>要求详细编制本项目设计及施工的协调配合计划。</w:t>
      </w:r>
      <w:bookmarkStart w:id="1773" w:name="_Toc419363897"/>
    </w:p>
    <w:p>
      <w:pPr>
        <w:spacing w:line="360" w:lineRule="auto"/>
        <w:rPr>
          <w:rFonts w:hint="eastAsia" w:ascii="宋体" w:hAnsi="宋体"/>
          <w:b/>
          <w:color w:val="000000"/>
          <w:sz w:val="28"/>
          <w:szCs w:val="28"/>
        </w:rPr>
      </w:pPr>
      <w:r>
        <w:rPr>
          <w:rFonts w:hint="eastAsia" w:ascii="宋体" w:hAnsi="宋体"/>
          <w:b/>
          <w:color w:val="000000"/>
          <w:sz w:val="28"/>
          <w:szCs w:val="28"/>
        </w:rPr>
        <w:t>（二）施工组织设计</w:t>
      </w:r>
      <w:bookmarkEnd w:id="1773"/>
      <w:r>
        <w:rPr>
          <w:rFonts w:hint="eastAsia" w:ascii="宋体" w:hAnsi="宋体"/>
          <w:b/>
          <w:color w:val="000000"/>
          <w:sz w:val="28"/>
          <w:szCs w:val="28"/>
        </w:rPr>
        <w:t>（暗</w:t>
      </w:r>
      <w:r>
        <w:rPr>
          <w:rFonts w:ascii="宋体" w:hAnsi="宋体"/>
          <w:b/>
          <w:color w:val="000000"/>
          <w:sz w:val="28"/>
          <w:szCs w:val="28"/>
        </w:rPr>
        <w:t>标）</w:t>
      </w:r>
    </w:p>
    <w:p>
      <w:pPr>
        <w:spacing w:line="460" w:lineRule="exact"/>
        <w:ind w:firstLine="420" w:firstLineChars="200"/>
        <w:rPr>
          <w:rFonts w:ascii="宋体" w:hAnsi="宋体"/>
          <w:color w:val="000000"/>
          <w:szCs w:val="21"/>
        </w:rPr>
      </w:pPr>
      <w:r>
        <w:rPr>
          <w:rFonts w:ascii="宋体" w:hAnsi="宋体"/>
          <w:color w:val="000000"/>
          <w:szCs w:val="21"/>
        </w:rPr>
        <w:t>投标人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w:t>
      </w:r>
      <w:r>
        <w:rPr>
          <w:rFonts w:hint="eastAsia" w:ascii="宋体" w:hAnsi="宋体"/>
          <w:color w:val="000000"/>
          <w:szCs w:val="21"/>
        </w:rPr>
        <w:t>及装配式技术在本项目中的应用分析（如有）。</w:t>
      </w:r>
    </w:p>
    <w:p>
      <w:pPr>
        <w:spacing w:line="460" w:lineRule="exact"/>
        <w:ind w:firstLine="420" w:firstLineChars="200"/>
        <w:rPr>
          <w:rFonts w:ascii="宋体" w:hAnsi="宋体"/>
          <w:color w:val="000000"/>
          <w:szCs w:val="21"/>
        </w:rPr>
      </w:pPr>
      <w:r>
        <w:rPr>
          <w:rFonts w:ascii="宋体" w:hAnsi="宋体"/>
          <w:color w:val="000000"/>
          <w:szCs w:val="21"/>
        </w:rPr>
        <w:t>施工组织设计除采用文字表述外可附下列图表，图表及格式要求附后。</w:t>
      </w:r>
    </w:p>
    <w:p>
      <w:pPr>
        <w:spacing w:line="460" w:lineRule="exact"/>
        <w:ind w:firstLine="420" w:firstLineChars="200"/>
        <w:rPr>
          <w:rFonts w:ascii="宋体" w:hAnsi="宋体"/>
          <w:color w:val="000000"/>
          <w:szCs w:val="21"/>
        </w:rPr>
      </w:pPr>
      <w:r>
        <w:rPr>
          <w:rFonts w:ascii="宋体" w:hAnsi="宋体"/>
          <w:color w:val="000000"/>
          <w:szCs w:val="21"/>
        </w:rPr>
        <w:t>附表一  劳动力计划表</w:t>
      </w:r>
    </w:p>
    <w:p>
      <w:pPr>
        <w:spacing w:line="460" w:lineRule="exact"/>
        <w:ind w:firstLine="420" w:firstLineChars="200"/>
        <w:rPr>
          <w:rFonts w:ascii="宋体" w:hAnsi="宋体"/>
          <w:color w:val="000000"/>
          <w:szCs w:val="21"/>
        </w:rPr>
      </w:pPr>
      <w:r>
        <w:rPr>
          <w:rFonts w:ascii="宋体" w:hAnsi="宋体"/>
          <w:color w:val="000000"/>
          <w:szCs w:val="21"/>
        </w:rPr>
        <w:t>附表二  计划开、竣工日期和施工进度网络图</w:t>
      </w:r>
    </w:p>
    <w:p>
      <w:pPr>
        <w:spacing w:line="460" w:lineRule="exact"/>
        <w:ind w:firstLine="420" w:firstLineChars="200"/>
        <w:rPr>
          <w:rFonts w:ascii="宋体" w:hAnsi="宋体"/>
          <w:color w:val="000000"/>
          <w:szCs w:val="21"/>
        </w:rPr>
      </w:pPr>
      <w:r>
        <w:rPr>
          <w:rFonts w:ascii="宋体" w:hAnsi="宋体"/>
          <w:color w:val="000000"/>
          <w:szCs w:val="21"/>
        </w:rPr>
        <w:t>附表三  施工总平面图</w:t>
      </w:r>
    </w:p>
    <w:p>
      <w:pPr>
        <w:spacing w:line="460" w:lineRule="exact"/>
        <w:ind w:firstLine="420" w:firstLineChars="200"/>
        <w:rPr>
          <w:rFonts w:ascii="宋体" w:hAnsi="宋体"/>
          <w:color w:val="000000"/>
          <w:szCs w:val="21"/>
        </w:rPr>
      </w:pPr>
      <w:r>
        <w:rPr>
          <w:rFonts w:ascii="宋体" w:hAnsi="宋体"/>
          <w:color w:val="000000"/>
          <w:szCs w:val="21"/>
        </w:rPr>
        <w:t>附表四  临时用地表</w:t>
      </w:r>
    </w:p>
    <w:p>
      <w:pPr>
        <w:rPr>
          <w:color w:val="000000"/>
        </w:rPr>
      </w:pPr>
    </w:p>
    <w:p>
      <w:pPr>
        <w:rPr>
          <w:color w:val="000000"/>
        </w:rPr>
      </w:pPr>
      <w:r>
        <w:rPr>
          <w:color w:val="000000"/>
        </w:rPr>
        <w:t>附表</w:t>
      </w:r>
      <w:r>
        <w:rPr>
          <w:rFonts w:hint="eastAsia"/>
          <w:color w:val="000000"/>
        </w:rPr>
        <w:t>一</w:t>
      </w:r>
      <w:r>
        <w:rPr>
          <w:color w:val="000000"/>
        </w:rPr>
        <w:t>：劳动力计划表</w:t>
      </w:r>
    </w:p>
    <w:p>
      <w:pPr>
        <w:ind w:firstLine="7245" w:firstLineChars="3450"/>
        <w:rPr>
          <w:color w:val="000000"/>
          <w:szCs w:val="21"/>
        </w:rPr>
      </w:pPr>
      <w:r>
        <w:rPr>
          <w:color w:val="000000"/>
          <w:szCs w:val="21"/>
        </w:rPr>
        <w:t xml:space="preserve">    单位：人</w:t>
      </w:r>
    </w:p>
    <w:tbl>
      <w:tblPr>
        <w:tblStyle w:val="83"/>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53" w:type="dxa"/>
            <w:noWrap w:val="0"/>
            <w:vAlign w:val="center"/>
          </w:tcPr>
          <w:p>
            <w:pPr>
              <w:spacing w:line="360" w:lineRule="auto"/>
              <w:jc w:val="center"/>
              <w:rPr>
                <w:color w:val="000000"/>
                <w:szCs w:val="21"/>
              </w:rPr>
            </w:pPr>
            <w:r>
              <w:rPr>
                <w:color w:val="000000"/>
                <w:szCs w:val="21"/>
              </w:rPr>
              <w:t>工种</w:t>
            </w:r>
          </w:p>
        </w:tc>
        <w:tc>
          <w:tcPr>
            <w:tcW w:w="8506" w:type="dxa"/>
            <w:gridSpan w:val="7"/>
            <w:noWrap w:val="0"/>
            <w:vAlign w:val="center"/>
          </w:tcPr>
          <w:p>
            <w:pPr>
              <w:spacing w:line="360" w:lineRule="auto"/>
              <w:jc w:val="center"/>
              <w:rPr>
                <w:color w:val="000000"/>
                <w:szCs w:val="21"/>
              </w:rPr>
            </w:pPr>
            <w:r>
              <w:rPr>
                <w:color w:val="000000"/>
                <w:szCs w:val="21"/>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53" w:type="dxa"/>
            <w:noWrap w:val="0"/>
            <w:vAlign w:val="center"/>
          </w:tcPr>
          <w:p>
            <w:pPr>
              <w:spacing w:line="360" w:lineRule="auto"/>
              <w:jc w:val="center"/>
              <w:rPr>
                <w:color w:val="000000"/>
                <w:szCs w:val="21"/>
              </w:rPr>
            </w:pPr>
          </w:p>
        </w:tc>
        <w:tc>
          <w:tcPr>
            <w:tcW w:w="961" w:type="dxa"/>
            <w:noWrap w:val="0"/>
            <w:vAlign w:val="center"/>
          </w:tcPr>
          <w:p>
            <w:pPr>
              <w:spacing w:line="360" w:lineRule="auto"/>
              <w:jc w:val="center"/>
              <w:rPr>
                <w:color w:val="000000"/>
                <w:szCs w:val="21"/>
              </w:rPr>
            </w:pPr>
          </w:p>
        </w:tc>
        <w:tc>
          <w:tcPr>
            <w:tcW w:w="1257" w:type="dxa"/>
            <w:noWrap w:val="0"/>
            <w:vAlign w:val="center"/>
          </w:tcPr>
          <w:p>
            <w:pPr>
              <w:spacing w:line="360" w:lineRule="auto"/>
              <w:jc w:val="center"/>
              <w:rPr>
                <w:color w:val="000000"/>
                <w:szCs w:val="21"/>
              </w:rPr>
            </w:pPr>
          </w:p>
        </w:tc>
        <w:tc>
          <w:tcPr>
            <w:tcW w:w="1258" w:type="dxa"/>
            <w:noWrap w:val="0"/>
            <w:vAlign w:val="center"/>
          </w:tcPr>
          <w:p>
            <w:pPr>
              <w:spacing w:line="360" w:lineRule="auto"/>
              <w:jc w:val="center"/>
              <w:rPr>
                <w:color w:val="000000"/>
                <w:szCs w:val="21"/>
              </w:rPr>
            </w:pPr>
          </w:p>
        </w:tc>
        <w:tc>
          <w:tcPr>
            <w:tcW w:w="1257" w:type="dxa"/>
            <w:noWrap w:val="0"/>
            <w:vAlign w:val="center"/>
          </w:tcPr>
          <w:p>
            <w:pPr>
              <w:spacing w:line="360" w:lineRule="auto"/>
              <w:jc w:val="center"/>
              <w:rPr>
                <w:color w:val="000000"/>
                <w:szCs w:val="21"/>
              </w:rPr>
            </w:pPr>
          </w:p>
        </w:tc>
        <w:tc>
          <w:tcPr>
            <w:tcW w:w="1258" w:type="dxa"/>
            <w:noWrap w:val="0"/>
            <w:vAlign w:val="center"/>
          </w:tcPr>
          <w:p>
            <w:pPr>
              <w:spacing w:line="360" w:lineRule="auto"/>
              <w:jc w:val="center"/>
              <w:rPr>
                <w:color w:val="000000"/>
                <w:szCs w:val="21"/>
              </w:rPr>
            </w:pPr>
          </w:p>
        </w:tc>
        <w:tc>
          <w:tcPr>
            <w:tcW w:w="1257" w:type="dxa"/>
            <w:noWrap w:val="0"/>
            <w:vAlign w:val="center"/>
          </w:tcPr>
          <w:p>
            <w:pPr>
              <w:spacing w:line="360" w:lineRule="auto"/>
              <w:jc w:val="center"/>
              <w:rPr>
                <w:color w:val="000000"/>
                <w:szCs w:val="21"/>
              </w:rPr>
            </w:pPr>
          </w:p>
        </w:tc>
        <w:tc>
          <w:tcPr>
            <w:tcW w:w="1258" w:type="dxa"/>
            <w:noWrap w:val="0"/>
            <w:vAlign w:val="center"/>
          </w:tcPr>
          <w:p>
            <w:pPr>
              <w:spacing w:line="360" w:lineRule="auto"/>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53" w:type="dxa"/>
            <w:noWrap w:val="0"/>
            <w:vAlign w:val="center"/>
          </w:tcPr>
          <w:p>
            <w:pPr>
              <w:spacing w:line="360" w:lineRule="auto"/>
              <w:jc w:val="center"/>
              <w:rPr>
                <w:color w:val="000000"/>
                <w:szCs w:val="21"/>
              </w:rPr>
            </w:pPr>
          </w:p>
        </w:tc>
        <w:tc>
          <w:tcPr>
            <w:tcW w:w="961" w:type="dxa"/>
            <w:noWrap w:val="0"/>
            <w:vAlign w:val="center"/>
          </w:tcPr>
          <w:p>
            <w:pPr>
              <w:spacing w:line="360" w:lineRule="auto"/>
              <w:jc w:val="center"/>
              <w:rPr>
                <w:color w:val="000000"/>
                <w:szCs w:val="21"/>
              </w:rPr>
            </w:pPr>
          </w:p>
        </w:tc>
        <w:tc>
          <w:tcPr>
            <w:tcW w:w="1257" w:type="dxa"/>
            <w:noWrap w:val="0"/>
            <w:vAlign w:val="center"/>
          </w:tcPr>
          <w:p>
            <w:pPr>
              <w:spacing w:line="360" w:lineRule="auto"/>
              <w:jc w:val="center"/>
              <w:rPr>
                <w:color w:val="000000"/>
                <w:szCs w:val="21"/>
              </w:rPr>
            </w:pPr>
          </w:p>
        </w:tc>
        <w:tc>
          <w:tcPr>
            <w:tcW w:w="1258" w:type="dxa"/>
            <w:noWrap w:val="0"/>
            <w:vAlign w:val="center"/>
          </w:tcPr>
          <w:p>
            <w:pPr>
              <w:spacing w:line="360" w:lineRule="auto"/>
              <w:jc w:val="center"/>
              <w:rPr>
                <w:color w:val="000000"/>
                <w:szCs w:val="21"/>
              </w:rPr>
            </w:pPr>
          </w:p>
        </w:tc>
        <w:tc>
          <w:tcPr>
            <w:tcW w:w="1257" w:type="dxa"/>
            <w:noWrap w:val="0"/>
            <w:vAlign w:val="center"/>
          </w:tcPr>
          <w:p>
            <w:pPr>
              <w:spacing w:line="360" w:lineRule="auto"/>
              <w:jc w:val="center"/>
              <w:rPr>
                <w:color w:val="000000"/>
                <w:szCs w:val="21"/>
              </w:rPr>
            </w:pPr>
          </w:p>
        </w:tc>
        <w:tc>
          <w:tcPr>
            <w:tcW w:w="1258" w:type="dxa"/>
            <w:noWrap w:val="0"/>
            <w:vAlign w:val="center"/>
          </w:tcPr>
          <w:p>
            <w:pPr>
              <w:spacing w:line="360" w:lineRule="auto"/>
              <w:jc w:val="center"/>
              <w:rPr>
                <w:color w:val="000000"/>
                <w:szCs w:val="21"/>
              </w:rPr>
            </w:pPr>
          </w:p>
        </w:tc>
        <w:tc>
          <w:tcPr>
            <w:tcW w:w="1257" w:type="dxa"/>
            <w:noWrap w:val="0"/>
            <w:vAlign w:val="center"/>
          </w:tcPr>
          <w:p>
            <w:pPr>
              <w:spacing w:line="360" w:lineRule="auto"/>
              <w:jc w:val="center"/>
              <w:rPr>
                <w:color w:val="000000"/>
                <w:szCs w:val="21"/>
              </w:rPr>
            </w:pPr>
          </w:p>
        </w:tc>
        <w:tc>
          <w:tcPr>
            <w:tcW w:w="1258" w:type="dxa"/>
            <w:noWrap w:val="0"/>
            <w:vAlign w:val="center"/>
          </w:tcPr>
          <w:p>
            <w:pPr>
              <w:spacing w:line="360" w:lineRule="auto"/>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53" w:type="dxa"/>
            <w:noWrap w:val="0"/>
            <w:vAlign w:val="center"/>
          </w:tcPr>
          <w:p>
            <w:pPr>
              <w:spacing w:line="360" w:lineRule="auto"/>
              <w:jc w:val="center"/>
              <w:rPr>
                <w:color w:val="000000"/>
                <w:szCs w:val="21"/>
              </w:rPr>
            </w:pPr>
          </w:p>
        </w:tc>
        <w:tc>
          <w:tcPr>
            <w:tcW w:w="961" w:type="dxa"/>
            <w:noWrap w:val="0"/>
            <w:vAlign w:val="center"/>
          </w:tcPr>
          <w:p>
            <w:pPr>
              <w:spacing w:line="360" w:lineRule="auto"/>
              <w:jc w:val="center"/>
              <w:rPr>
                <w:color w:val="000000"/>
                <w:szCs w:val="21"/>
              </w:rPr>
            </w:pPr>
          </w:p>
        </w:tc>
        <w:tc>
          <w:tcPr>
            <w:tcW w:w="1257" w:type="dxa"/>
            <w:noWrap w:val="0"/>
            <w:vAlign w:val="center"/>
          </w:tcPr>
          <w:p>
            <w:pPr>
              <w:spacing w:line="360" w:lineRule="auto"/>
              <w:jc w:val="center"/>
              <w:rPr>
                <w:color w:val="000000"/>
                <w:szCs w:val="21"/>
              </w:rPr>
            </w:pPr>
          </w:p>
        </w:tc>
        <w:tc>
          <w:tcPr>
            <w:tcW w:w="1258" w:type="dxa"/>
            <w:noWrap w:val="0"/>
            <w:vAlign w:val="center"/>
          </w:tcPr>
          <w:p>
            <w:pPr>
              <w:spacing w:line="360" w:lineRule="auto"/>
              <w:jc w:val="center"/>
              <w:rPr>
                <w:color w:val="000000"/>
                <w:szCs w:val="21"/>
              </w:rPr>
            </w:pPr>
          </w:p>
        </w:tc>
        <w:tc>
          <w:tcPr>
            <w:tcW w:w="1257" w:type="dxa"/>
            <w:noWrap w:val="0"/>
            <w:vAlign w:val="center"/>
          </w:tcPr>
          <w:p>
            <w:pPr>
              <w:spacing w:line="360" w:lineRule="auto"/>
              <w:jc w:val="center"/>
              <w:rPr>
                <w:color w:val="000000"/>
                <w:szCs w:val="21"/>
              </w:rPr>
            </w:pPr>
          </w:p>
        </w:tc>
        <w:tc>
          <w:tcPr>
            <w:tcW w:w="1258" w:type="dxa"/>
            <w:noWrap w:val="0"/>
            <w:vAlign w:val="center"/>
          </w:tcPr>
          <w:p>
            <w:pPr>
              <w:spacing w:line="360" w:lineRule="auto"/>
              <w:jc w:val="center"/>
              <w:rPr>
                <w:color w:val="000000"/>
                <w:szCs w:val="21"/>
              </w:rPr>
            </w:pPr>
          </w:p>
        </w:tc>
        <w:tc>
          <w:tcPr>
            <w:tcW w:w="1257" w:type="dxa"/>
            <w:noWrap w:val="0"/>
            <w:vAlign w:val="center"/>
          </w:tcPr>
          <w:p>
            <w:pPr>
              <w:spacing w:line="360" w:lineRule="auto"/>
              <w:jc w:val="center"/>
              <w:rPr>
                <w:color w:val="000000"/>
                <w:szCs w:val="21"/>
              </w:rPr>
            </w:pPr>
          </w:p>
        </w:tc>
        <w:tc>
          <w:tcPr>
            <w:tcW w:w="1258" w:type="dxa"/>
            <w:noWrap w:val="0"/>
            <w:vAlign w:val="center"/>
          </w:tcPr>
          <w:p>
            <w:pPr>
              <w:spacing w:line="360" w:lineRule="auto"/>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53" w:type="dxa"/>
            <w:noWrap w:val="0"/>
            <w:vAlign w:val="center"/>
          </w:tcPr>
          <w:p>
            <w:pPr>
              <w:spacing w:line="360" w:lineRule="auto"/>
              <w:jc w:val="center"/>
              <w:rPr>
                <w:color w:val="000000"/>
                <w:szCs w:val="21"/>
              </w:rPr>
            </w:pPr>
          </w:p>
        </w:tc>
        <w:tc>
          <w:tcPr>
            <w:tcW w:w="961" w:type="dxa"/>
            <w:noWrap w:val="0"/>
            <w:vAlign w:val="center"/>
          </w:tcPr>
          <w:p>
            <w:pPr>
              <w:spacing w:line="360" w:lineRule="auto"/>
              <w:jc w:val="center"/>
              <w:rPr>
                <w:color w:val="000000"/>
                <w:szCs w:val="21"/>
              </w:rPr>
            </w:pPr>
          </w:p>
        </w:tc>
        <w:tc>
          <w:tcPr>
            <w:tcW w:w="1257" w:type="dxa"/>
            <w:noWrap w:val="0"/>
            <w:vAlign w:val="center"/>
          </w:tcPr>
          <w:p>
            <w:pPr>
              <w:spacing w:line="360" w:lineRule="auto"/>
              <w:jc w:val="center"/>
              <w:rPr>
                <w:color w:val="000000"/>
                <w:szCs w:val="21"/>
              </w:rPr>
            </w:pPr>
          </w:p>
        </w:tc>
        <w:tc>
          <w:tcPr>
            <w:tcW w:w="1258" w:type="dxa"/>
            <w:noWrap w:val="0"/>
            <w:vAlign w:val="center"/>
          </w:tcPr>
          <w:p>
            <w:pPr>
              <w:spacing w:line="360" w:lineRule="auto"/>
              <w:jc w:val="center"/>
              <w:rPr>
                <w:color w:val="000000"/>
                <w:szCs w:val="21"/>
              </w:rPr>
            </w:pPr>
          </w:p>
        </w:tc>
        <w:tc>
          <w:tcPr>
            <w:tcW w:w="1257" w:type="dxa"/>
            <w:noWrap w:val="0"/>
            <w:vAlign w:val="center"/>
          </w:tcPr>
          <w:p>
            <w:pPr>
              <w:spacing w:line="360" w:lineRule="auto"/>
              <w:jc w:val="center"/>
              <w:rPr>
                <w:color w:val="000000"/>
                <w:szCs w:val="21"/>
              </w:rPr>
            </w:pPr>
          </w:p>
        </w:tc>
        <w:tc>
          <w:tcPr>
            <w:tcW w:w="1258" w:type="dxa"/>
            <w:noWrap w:val="0"/>
            <w:vAlign w:val="center"/>
          </w:tcPr>
          <w:p>
            <w:pPr>
              <w:spacing w:line="360" w:lineRule="auto"/>
              <w:jc w:val="center"/>
              <w:rPr>
                <w:color w:val="000000"/>
                <w:szCs w:val="21"/>
              </w:rPr>
            </w:pPr>
          </w:p>
        </w:tc>
        <w:tc>
          <w:tcPr>
            <w:tcW w:w="1257" w:type="dxa"/>
            <w:noWrap w:val="0"/>
            <w:vAlign w:val="center"/>
          </w:tcPr>
          <w:p>
            <w:pPr>
              <w:spacing w:line="360" w:lineRule="auto"/>
              <w:jc w:val="center"/>
              <w:rPr>
                <w:color w:val="000000"/>
                <w:szCs w:val="21"/>
              </w:rPr>
            </w:pPr>
          </w:p>
        </w:tc>
        <w:tc>
          <w:tcPr>
            <w:tcW w:w="1258" w:type="dxa"/>
            <w:noWrap w:val="0"/>
            <w:vAlign w:val="center"/>
          </w:tcPr>
          <w:p>
            <w:pPr>
              <w:spacing w:line="360" w:lineRule="auto"/>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53" w:type="dxa"/>
            <w:noWrap w:val="0"/>
            <w:vAlign w:val="center"/>
          </w:tcPr>
          <w:p>
            <w:pPr>
              <w:spacing w:line="360" w:lineRule="auto"/>
              <w:jc w:val="center"/>
              <w:rPr>
                <w:color w:val="000000"/>
                <w:szCs w:val="21"/>
              </w:rPr>
            </w:pPr>
          </w:p>
        </w:tc>
        <w:tc>
          <w:tcPr>
            <w:tcW w:w="961" w:type="dxa"/>
            <w:noWrap w:val="0"/>
            <w:vAlign w:val="center"/>
          </w:tcPr>
          <w:p>
            <w:pPr>
              <w:spacing w:line="360" w:lineRule="auto"/>
              <w:jc w:val="center"/>
              <w:rPr>
                <w:color w:val="000000"/>
                <w:szCs w:val="21"/>
              </w:rPr>
            </w:pPr>
          </w:p>
        </w:tc>
        <w:tc>
          <w:tcPr>
            <w:tcW w:w="1257" w:type="dxa"/>
            <w:noWrap w:val="0"/>
            <w:vAlign w:val="center"/>
          </w:tcPr>
          <w:p>
            <w:pPr>
              <w:spacing w:line="360" w:lineRule="auto"/>
              <w:jc w:val="center"/>
              <w:rPr>
                <w:color w:val="000000"/>
                <w:szCs w:val="21"/>
              </w:rPr>
            </w:pPr>
          </w:p>
        </w:tc>
        <w:tc>
          <w:tcPr>
            <w:tcW w:w="1258" w:type="dxa"/>
            <w:noWrap w:val="0"/>
            <w:vAlign w:val="center"/>
          </w:tcPr>
          <w:p>
            <w:pPr>
              <w:spacing w:line="360" w:lineRule="auto"/>
              <w:jc w:val="center"/>
              <w:rPr>
                <w:color w:val="000000"/>
                <w:szCs w:val="21"/>
              </w:rPr>
            </w:pPr>
          </w:p>
        </w:tc>
        <w:tc>
          <w:tcPr>
            <w:tcW w:w="1257" w:type="dxa"/>
            <w:noWrap w:val="0"/>
            <w:vAlign w:val="center"/>
          </w:tcPr>
          <w:p>
            <w:pPr>
              <w:spacing w:line="360" w:lineRule="auto"/>
              <w:jc w:val="center"/>
              <w:rPr>
                <w:color w:val="000000"/>
                <w:szCs w:val="21"/>
              </w:rPr>
            </w:pPr>
          </w:p>
        </w:tc>
        <w:tc>
          <w:tcPr>
            <w:tcW w:w="1258" w:type="dxa"/>
            <w:noWrap w:val="0"/>
            <w:vAlign w:val="center"/>
          </w:tcPr>
          <w:p>
            <w:pPr>
              <w:spacing w:line="360" w:lineRule="auto"/>
              <w:jc w:val="center"/>
              <w:rPr>
                <w:color w:val="000000"/>
                <w:szCs w:val="21"/>
              </w:rPr>
            </w:pPr>
          </w:p>
        </w:tc>
        <w:tc>
          <w:tcPr>
            <w:tcW w:w="1257" w:type="dxa"/>
            <w:noWrap w:val="0"/>
            <w:vAlign w:val="center"/>
          </w:tcPr>
          <w:p>
            <w:pPr>
              <w:spacing w:line="360" w:lineRule="auto"/>
              <w:jc w:val="center"/>
              <w:rPr>
                <w:color w:val="000000"/>
                <w:szCs w:val="21"/>
              </w:rPr>
            </w:pPr>
          </w:p>
        </w:tc>
        <w:tc>
          <w:tcPr>
            <w:tcW w:w="1258" w:type="dxa"/>
            <w:noWrap w:val="0"/>
            <w:vAlign w:val="center"/>
          </w:tcPr>
          <w:p>
            <w:pPr>
              <w:spacing w:line="360" w:lineRule="auto"/>
              <w:jc w:val="center"/>
              <w:rPr>
                <w:color w:val="000000"/>
                <w:szCs w:val="21"/>
              </w:rPr>
            </w:pPr>
          </w:p>
        </w:tc>
      </w:tr>
    </w:tbl>
    <w:p>
      <w:pPr>
        <w:rPr>
          <w:color w:val="000000"/>
        </w:rPr>
      </w:pPr>
    </w:p>
    <w:p>
      <w:pPr>
        <w:rPr>
          <w:b/>
          <w:color w:val="000000"/>
        </w:rPr>
      </w:pPr>
    </w:p>
    <w:p>
      <w:pPr>
        <w:rPr>
          <w:rFonts w:ascii="宋体" w:hAnsi="宋体"/>
          <w:color w:val="000000"/>
        </w:rPr>
      </w:pPr>
      <w:r>
        <w:rPr>
          <w:rFonts w:ascii="宋体" w:hAnsi="宋体"/>
          <w:color w:val="000000"/>
        </w:rPr>
        <w:t>附表</w:t>
      </w:r>
      <w:r>
        <w:rPr>
          <w:rFonts w:hint="eastAsia" w:ascii="宋体" w:hAnsi="宋体"/>
          <w:color w:val="000000"/>
        </w:rPr>
        <w:t>二</w:t>
      </w:r>
      <w:r>
        <w:rPr>
          <w:rFonts w:ascii="宋体" w:hAnsi="宋体"/>
          <w:color w:val="000000"/>
        </w:rPr>
        <w:t>：计划开、竣工日期和施工进度</w:t>
      </w:r>
      <w:r>
        <w:rPr>
          <w:rFonts w:hint="eastAsia" w:ascii="宋体" w:hAnsi="宋体"/>
          <w:color w:val="000000"/>
        </w:rPr>
        <w:t>计划（网络图或横道图）</w:t>
      </w:r>
    </w:p>
    <w:p>
      <w:pPr>
        <w:spacing w:line="460" w:lineRule="exact"/>
        <w:ind w:left="-6" w:firstLine="420"/>
        <w:rPr>
          <w:rFonts w:ascii="宋体" w:hAnsi="宋体"/>
          <w:color w:val="000000"/>
        </w:rPr>
      </w:pPr>
      <w:r>
        <w:rPr>
          <w:rFonts w:ascii="宋体" w:hAnsi="宋体"/>
          <w:color w:val="000000"/>
        </w:rPr>
        <w:t>1.</w:t>
      </w:r>
      <w:r>
        <w:rPr>
          <w:rFonts w:hint="eastAsia" w:ascii="宋体" w:hAnsi="宋体"/>
          <w:color w:val="000000"/>
        </w:rPr>
        <w:t xml:space="preserve"> </w:t>
      </w:r>
      <w:r>
        <w:rPr>
          <w:rFonts w:ascii="宋体" w:hAnsi="宋体"/>
          <w:color w:val="000000"/>
        </w:rPr>
        <w:t>投标人应提交施工进度</w:t>
      </w:r>
      <w:r>
        <w:rPr>
          <w:rFonts w:hint="eastAsia" w:ascii="宋体" w:hAnsi="宋体"/>
          <w:color w:val="000000"/>
        </w:rPr>
        <w:t>计划</w:t>
      </w:r>
      <w:r>
        <w:rPr>
          <w:rFonts w:ascii="宋体" w:hAnsi="宋体"/>
          <w:color w:val="000000"/>
        </w:rPr>
        <w:t>，说明按招标文件要求的工期进行施工的各个关键日期。中标的投标人还应按合同条件有关条款的要求提交详细的施工进度计划。</w:t>
      </w:r>
    </w:p>
    <w:p>
      <w:pPr>
        <w:spacing w:line="460" w:lineRule="exact"/>
        <w:ind w:left="-6" w:firstLine="420"/>
        <w:rPr>
          <w:rFonts w:ascii="宋体" w:hAnsi="宋体"/>
          <w:color w:val="000000"/>
        </w:rPr>
      </w:pPr>
      <w:r>
        <w:rPr>
          <w:rFonts w:ascii="宋体" w:hAnsi="宋体"/>
          <w:color w:val="000000"/>
        </w:rPr>
        <w:t>2.</w:t>
      </w:r>
      <w:r>
        <w:rPr>
          <w:rFonts w:hint="eastAsia" w:ascii="宋体" w:hAnsi="宋体"/>
          <w:color w:val="000000"/>
        </w:rPr>
        <w:t xml:space="preserve"> </w:t>
      </w:r>
      <w:r>
        <w:rPr>
          <w:rFonts w:ascii="宋体" w:hAnsi="宋体"/>
          <w:color w:val="000000"/>
        </w:rPr>
        <w:t>施工进度</w:t>
      </w:r>
      <w:r>
        <w:rPr>
          <w:rFonts w:hint="eastAsia" w:ascii="宋体" w:hAnsi="宋体"/>
          <w:color w:val="000000"/>
        </w:rPr>
        <w:t>计划</w:t>
      </w:r>
      <w:r>
        <w:rPr>
          <w:rFonts w:ascii="宋体" w:hAnsi="宋体"/>
          <w:color w:val="000000"/>
        </w:rPr>
        <w:t>可采用网络图（或横道图）表示，说明计划开工日期和各分项工程各阶段的完工日期和分包合同签订的日期。</w:t>
      </w:r>
    </w:p>
    <w:p>
      <w:pPr>
        <w:spacing w:line="460" w:lineRule="exact"/>
        <w:ind w:left="-6" w:firstLine="420"/>
        <w:rPr>
          <w:rFonts w:ascii="宋体" w:hAnsi="宋体"/>
          <w:color w:val="000000"/>
        </w:rPr>
      </w:pPr>
      <w:r>
        <w:rPr>
          <w:rFonts w:ascii="宋体" w:hAnsi="宋体"/>
          <w:color w:val="000000"/>
        </w:rPr>
        <w:t>3.</w:t>
      </w:r>
      <w:r>
        <w:rPr>
          <w:rFonts w:hint="eastAsia" w:ascii="宋体" w:hAnsi="宋体"/>
          <w:color w:val="000000"/>
        </w:rPr>
        <w:t xml:space="preserve"> </w:t>
      </w:r>
      <w:r>
        <w:rPr>
          <w:rFonts w:ascii="宋体" w:hAnsi="宋体"/>
          <w:color w:val="000000"/>
        </w:rPr>
        <w:t>施工进度计划应与施工组织设计相适应。</w:t>
      </w:r>
    </w:p>
    <w:p>
      <w:pPr>
        <w:rPr>
          <w:rFonts w:ascii="宋体" w:hAnsi="宋体"/>
          <w:color w:val="000000"/>
        </w:rPr>
      </w:pPr>
    </w:p>
    <w:p>
      <w:pPr>
        <w:rPr>
          <w:rFonts w:ascii="宋体" w:hAnsi="宋体"/>
          <w:color w:val="000000"/>
        </w:rPr>
      </w:pPr>
      <w:r>
        <w:rPr>
          <w:rFonts w:ascii="宋体" w:hAnsi="宋体"/>
          <w:color w:val="000000"/>
        </w:rPr>
        <w:t>附表</w:t>
      </w:r>
      <w:r>
        <w:rPr>
          <w:rFonts w:hint="eastAsia" w:ascii="宋体" w:hAnsi="宋体"/>
          <w:color w:val="000000"/>
        </w:rPr>
        <w:t>三</w:t>
      </w:r>
      <w:r>
        <w:rPr>
          <w:rFonts w:ascii="宋体" w:hAnsi="宋体"/>
          <w:color w:val="000000"/>
        </w:rPr>
        <w:t>：施工总平面图</w:t>
      </w:r>
    </w:p>
    <w:p>
      <w:pPr>
        <w:spacing w:line="460" w:lineRule="exact"/>
        <w:ind w:firstLine="420" w:firstLineChars="200"/>
        <w:rPr>
          <w:rFonts w:ascii="宋体" w:hAnsi="宋体"/>
          <w:color w:val="000000"/>
          <w:szCs w:val="21"/>
        </w:rPr>
      </w:pPr>
      <w:r>
        <w:rPr>
          <w:rFonts w:ascii="宋体" w:hAnsi="宋体"/>
          <w:color w:val="000000"/>
          <w:szCs w:val="21"/>
        </w:rPr>
        <w:t>投标人应递交一份施工总平面图，绘出现场临时设施布置图表并附文字说明，说明临时设施、加工车间、现场办公、设备及仓储、供电、供水、卫生、生活、道路、消防等设施的情况和布置。</w:t>
      </w:r>
    </w:p>
    <w:p>
      <w:pPr>
        <w:rPr>
          <w:color w:val="000000"/>
        </w:rPr>
      </w:pPr>
    </w:p>
    <w:p>
      <w:pPr>
        <w:rPr>
          <w:color w:val="000000"/>
        </w:rPr>
      </w:pPr>
      <w:r>
        <w:rPr>
          <w:color w:val="000000"/>
        </w:rPr>
        <w:t>附表</w:t>
      </w:r>
      <w:r>
        <w:rPr>
          <w:rFonts w:hint="eastAsia"/>
          <w:color w:val="000000"/>
        </w:rPr>
        <w:t>四</w:t>
      </w:r>
      <w:r>
        <w:rPr>
          <w:color w:val="000000"/>
        </w:rPr>
        <w:t>：临时用地表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13" w:hRule="atLeast"/>
          <w:jc w:val="center"/>
        </w:trPr>
        <w:tc>
          <w:tcPr>
            <w:tcW w:w="2356" w:type="dxa"/>
            <w:noWrap w:val="0"/>
            <w:vAlign w:val="center"/>
          </w:tcPr>
          <w:p>
            <w:pPr>
              <w:jc w:val="center"/>
              <w:rPr>
                <w:color w:val="000000"/>
              </w:rPr>
            </w:pPr>
            <w:r>
              <w:rPr>
                <w:color w:val="000000"/>
                <w:szCs w:val="21"/>
              </w:rPr>
              <w:t>用途</w:t>
            </w:r>
          </w:p>
        </w:tc>
        <w:tc>
          <w:tcPr>
            <w:tcW w:w="2357" w:type="dxa"/>
            <w:noWrap w:val="0"/>
            <w:vAlign w:val="center"/>
          </w:tcPr>
          <w:p>
            <w:pPr>
              <w:jc w:val="center"/>
              <w:rPr>
                <w:color w:val="000000"/>
              </w:rPr>
            </w:pPr>
            <w:r>
              <w:rPr>
                <w:color w:val="000000"/>
                <w:szCs w:val="21"/>
              </w:rPr>
              <w:t>面积（平方米）</w:t>
            </w:r>
          </w:p>
        </w:tc>
        <w:tc>
          <w:tcPr>
            <w:tcW w:w="2356" w:type="dxa"/>
            <w:noWrap w:val="0"/>
            <w:vAlign w:val="center"/>
          </w:tcPr>
          <w:p>
            <w:pPr>
              <w:jc w:val="center"/>
              <w:rPr>
                <w:color w:val="000000"/>
              </w:rPr>
            </w:pPr>
            <w:r>
              <w:rPr>
                <w:color w:val="000000"/>
                <w:szCs w:val="21"/>
              </w:rPr>
              <w:t>位置</w:t>
            </w:r>
          </w:p>
        </w:tc>
        <w:tc>
          <w:tcPr>
            <w:tcW w:w="2357" w:type="dxa"/>
            <w:noWrap w:val="0"/>
            <w:vAlign w:val="center"/>
          </w:tcPr>
          <w:p>
            <w:pPr>
              <w:jc w:val="center"/>
              <w:rPr>
                <w:color w:val="000000"/>
              </w:rPr>
            </w:pPr>
            <w:r>
              <w:rPr>
                <w:color w:val="000000"/>
                <w:szCs w:val="21"/>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13" w:hRule="atLeast"/>
          <w:jc w:val="center"/>
        </w:trPr>
        <w:tc>
          <w:tcPr>
            <w:tcW w:w="2356" w:type="dxa"/>
            <w:noWrap w:val="0"/>
            <w:vAlign w:val="top"/>
          </w:tcPr>
          <w:p>
            <w:pPr>
              <w:rPr>
                <w:color w:val="000000"/>
              </w:rPr>
            </w:pPr>
          </w:p>
        </w:tc>
        <w:tc>
          <w:tcPr>
            <w:tcW w:w="2357" w:type="dxa"/>
            <w:noWrap w:val="0"/>
            <w:vAlign w:val="top"/>
          </w:tcPr>
          <w:p>
            <w:pPr>
              <w:rPr>
                <w:color w:val="000000"/>
              </w:rPr>
            </w:pPr>
          </w:p>
        </w:tc>
        <w:tc>
          <w:tcPr>
            <w:tcW w:w="2356" w:type="dxa"/>
            <w:noWrap w:val="0"/>
            <w:vAlign w:val="top"/>
          </w:tcPr>
          <w:p>
            <w:pPr>
              <w:rPr>
                <w:color w:val="000000"/>
              </w:rPr>
            </w:pPr>
          </w:p>
        </w:tc>
        <w:tc>
          <w:tcPr>
            <w:tcW w:w="2357" w:type="dxa"/>
            <w:noWrap w:val="0"/>
            <w:vAlign w:val="top"/>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13" w:hRule="atLeast"/>
          <w:jc w:val="center"/>
        </w:trPr>
        <w:tc>
          <w:tcPr>
            <w:tcW w:w="2356" w:type="dxa"/>
            <w:noWrap w:val="0"/>
            <w:vAlign w:val="top"/>
          </w:tcPr>
          <w:p>
            <w:pPr>
              <w:rPr>
                <w:color w:val="000000"/>
              </w:rPr>
            </w:pPr>
          </w:p>
        </w:tc>
        <w:tc>
          <w:tcPr>
            <w:tcW w:w="2357" w:type="dxa"/>
            <w:noWrap w:val="0"/>
            <w:vAlign w:val="top"/>
          </w:tcPr>
          <w:p>
            <w:pPr>
              <w:rPr>
                <w:color w:val="000000"/>
              </w:rPr>
            </w:pPr>
          </w:p>
        </w:tc>
        <w:tc>
          <w:tcPr>
            <w:tcW w:w="2356" w:type="dxa"/>
            <w:noWrap w:val="0"/>
            <w:vAlign w:val="top"/>
          </w:tcPr>
          <w:p>
            <w:pPr>
              <w:rPr>
                <w:color w:val="000000"/>
              </w:rPr>
            </w:pPr>
          </w:p>
        </w:tc>
        <w:tc>
          <w:tcPr>
            <w:tcW w:w="2357" w:type="dxa"/>
            <w:noWrap w:val="0"/>
            <w:vAlign w:val="top"/>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14" w:hRule="atLeast"/>
          <w:jc w:val="center"/>
        </w:trPr>
        <w:tc>
          <w:tcPr>
            <w:tcW w:w="2356" w:type="dxa"/>
            <w:noWrap w:val="0"/>
            <w:vAlign w:val="top"/>
          </w:tcPr>
          <w:p>
            <w:pPr>
              <w:rPr>
                <w:color w:val="000000"/>
              </w:rPr>
            </w:pPr>
          </w:p>
        </w:tc>
        <w:tc>
          <w:tcPr>
            <w:tcW w:w="2357" w:type="dxa"/>
            <w:noWrap w:val="0"/>
            <w:vAlign w:val="top"/>
          </w:tcPr>
          <w:p>
            <w:pPr>
              <w:rPr>
                <w:color w:val="000000"/>
              </w:rPr>
            </w:pPr>
          </w:p>
        </w:tc>
        <w:tc>
          <w:tcPr>
            <w:tcW w:w="2356" w:type="dxa"/>
            <w:noWrap w:val="0"/>
            <w:vAlign w:val="top"/>
          </w:tcPr>
          <w:p>
            <w:pPr>
              <w:rPr>
                <w:color w:val="000000"/>
              </w:rPr>
            </w:pPr>
          </w:p>
        </w:tc>
        <w:tc>
          <w:tcPr>
            <w:tcW w:w="2357" w:type="dxa"/>
            <w:noWrap w:val="0"/>
            <w:vAlign w:val="top"/>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13" w:hRule="atLeast"/>
          <w:jc w:val="center"/>
        </w:trPr>
        <w:tc>
          <w:tcPr>
            <w:tcW w:w="2356" w:type="dxa"/>
            <w:noWrap w:val="0"/>
            <w:vAlign w:val="top"/>
          </w:tcPr>
          <w:p>
            <w:pPr>
              <w:rPr>
                <w:color w:val="000000"/>
              </w:rPr>
            </w:pPr>
          </w:p>
        </w:tc>
        <w:tc>
          <w:tcPr>
            <w:tcW w:w="2357" w:type="dxa"/>
            <w:noWrap w:val="0"/>
            <w:vAlign w:val="top"/>
          </w:tcPr>
          <w:p>
            <w:pPr>
              <w:rPr>
                <w:color w:val="000000"/>
              </w:rPr>
            </w:pPr>
          </w:p>
        </w:tc>
        <w:tc>
          <w:tcPr>
            <w:tcW w:w="2356" w:type="dxa"/>
            <w:noWrap w:val="0"/>
            <w:vAlign w:val="top"/>
          </w:tcPr>
          <w:p>
            <w:pPr>
              <w:rPr>
                <w:color w:val="000000"/>
              </w:rPr>
            </w:pPr>
          </w:p>
        </w:tc>
        <w:tc>
          <w:tcPr>
            <w:tcW w:w="2357" w:type="dxa"/>
            <w:noWrap w:val="0"/>
            <w:vAlign w:val="top"/>
          </w:tcPr>
          <w:p>
            <w:pPr>
              <w:rPr>
                <w:color w:val="000000"/>
              </w:rPr>
            </w:pPr>
          </w:p>
        </w:tc>
      </w:tr>
    </w:tbl>
    <w:p>
      <w:pPr>
        <w:rPr>
          <w:color w:val="000000"/>
        </w:rPr>
      </w:pPr>
    </w:p>
    <w:p>
      <w:pPr>
        <w:rPr>
          <w:rFonts w:hint="eastAsia"/>
          <w:color w:val="000000"/>
        </w:rPr>
      </w:pPr>
    </w:p>
    <w:p>
      <w:pPr>
        <w:spacing w:before="120" w:beforeLines="50" w:after="240" w:afterLines="100" w:line="440" w:lineRule="exact"/>
        <w:ind w:right="420"/>
        <w:jc w:val="center"/>
        <w:outlineLvl w:val="0"/>
        <w:rPr>
          <w:color w:val="000000"/>
          <w:sz w:val="28"/>
          <w:szCs w:val="28"/>
        </w:rPr>
        <w:sectPr>
          <w:pgSz w:w="11906" w:h="16838"/>
          <w:pgMar w:top="1440" w:right="1440" w:bottom="1440" w:left="1797" w:header="851" w:footer="851" w:gutter="0"/>
          <w:cols w:space="720" w:num="1"/>
          <w:docGrid w:linePitch="312" w:charSpace="0"/>
        </w:sectPr>
      </w:pPr>
    </w:p>
    <w:p>
      <w:pPr>
        <w:jc w:val="center"/>
        <w:rPr>
          <w:color w:val="000000"/>
          <w:sz w:val="28"/>
          <w:szCs w:val="28"/>
        </w:rPr>
      </w:pPr>
      <w:r>
        <w:rPr>
          <w:color w:val="000000"/>
          <w:sz w:val="32"/>
          <w:szCs w:val="32"/>
          <w:u w:val="single"/>
        </w:rPr>
        <w:t xml:space="preserve">             </w:t>
      </w:r>
      <w:r>
        <w:rPr>
          <w:color w:val="000000"/>
          <w:sz w:val="28"/>
          <w:szCs w:val="28"/>
        </w:rPr>
        <w:t>（项目名称）</w:t>
      </w:r>
      <w:r>
        <w:rPr>
          <w:rFonts w:hint="eastAsia"/>
          <w:color w:val="000000"/>
          <w:sz w:val="28"/>
          <w:szCs w:val="28"/>
        </w:rPr>
        <w:t>总承包招标</w:t>
      </w:r>
    </w:p>
    <w:p>
      <w:pPr>
        <w:jc w:val="center"/>
        <w:rPr>
          <w:color w:val="000000"/>
          <w:sz w:val="28"/>
          <w:szCs w:val="28"/>
        </w:rPr>
      </w:pPr>
    </w:p>
    <w:p>
      <w:pPr>
        <w:spacing w:before="240" w:beforeLines="100"/>
        <w:jc w:val="center"/>
        <w:rPr>
          <w:color w:val="000000"/>
          <w:sz w:val="52"/>
          <w:szCs w:val="52"/>
        </w:rPr>
      </w:pPr>
      <w:r>
        <w:rPr>
          <w:color w:val="000000"/>
          <w:sz w:val="52"/>
          <w:szCs w:val="52"/>
        </w:rPr>
        <w:t>投  标  文  件</w:t>
      </w:r>
    </w:p>
    <w:p>
      <w:pPr>
        <w:jc w:val="center"/>
        <w:rPr>
          <w:color w:val="000000"/>
          <w:sz w:val="32"/>
          <w:szCs w:val="32"/>
        </w:rPr>
      </w:pPr>
    </w:p>
    <w:p>
      <w:pPr>
        <w:rPr>
          <w:rFonts w:hint="eastAsia"/>
          <w:color w:val="000000"/>
          <w:sz w:val="32"/>
          <w:szCs w:val="32"/>
        </w:rPr>
      </w:pPr>
    </w:p>
    <w:p>
      <w:pPr>
        <w:jc w:val="center"/>
        <w:rPr>
          <w:color w:val="000000"/>
          <w:sz w:val="32"/>
          <w:szCs w:val="32"/>
        </w:rPr>
      </w:pPr>
    </w:p>
    <w:p>
      <w:pPr>
        <w:spacing w:line="360" w:lineRule="auto"/>
        <w:ind w:firstLine="2380" w:firstLineChars="850"/>
        <w:rPr>
          <w:color w:val="000000"/>
          <w:sz w:val="28"/>
          <w:szCs w:val="28"/>
          <w:u w:val="single"/>
        </w:rPr>
      </w:pPr>
      <w:r>
        <w:rPr>
          <w:color w:val="000000"/>
          <w:sz w:val="28"/>
          <w:szCs w:val="28"/>
        </w:rPr>
        <w:t>项目</w:t>
      </w:r>
      <w:r>
        <w:rPr>
          <w:rFonts w:hint="eastAsia"/>
          <w:color w:val="000000"/>
          <w:sz w:val="28"/>
          <w:szCs w:val="28"/>
        </w:rPr>
        <w:t>招标</w:t>
      </w:r>
      <w:r>
        <w:rPr>
          <w:color w:val="000000"/>
          <w:sz w:val="28"/>
          <w:szCs w:val="28"/>
        </w:rPr>
        <w:t>编号：</w:t>
      </w:r>
      <w:r>
        <w:rPr>
          <w:color w:val="000000"/>
          <w:sz w:val="28"/>
          <w:szCs w:val="28"/>
          <w:u w:val="single"/>
        </w:rPr>
        <w:t xml:space="preserve">                   </w:t>
      </w:r>
    </w:p>
    <w:p>
      <w:pPr>
        <w:jc w:val="center"/>
        <w:rPr>
          <w:color w:val="000000"/>
          <w:sz w:val="32"/>
          <w:szCs w:val="32"/>
        </w:rPr>
      </w:pPr>
    </w:p>
    <w:p>
      <w:pPr>
        <w:rPr>
          <w:rFonts w:hint="eastAsia"/>
          <w:color w:val="000000"/>
          <w:sz w:val="32"/>
          <w:szCs w:val="32"/>
        </w:rPr>
      </w:pPr>
    </w:p>
    <w:p>
      <w:pPr>
        <w:jc w:val="center"/>
        <w:rPr>
          <w:color w:val="000000"/>
          <w:sz w:val="32"/>
          <w:szCs w:val="32"/>
        </w:rPr>
      </w:pPr>
    </w:p>
    <w:p>
      <w:pPr>
        <w:rPr>
          <w:rFonts w:hint="eastAsia"/>
          <w:color w:val="000000"/>
          <w:sz w:val="32"/>
          <w:szCs w:val="32"/>
        </w:rPr>
      </w:pPr>
    </w:p>
    <w:p>
      <w:pPr>
        <w:jc w:val="center"/>
        <w:rPr>
          <w:color w:val="000000"/>
          <w:sz w:val="32"/>
          <w:szCs w:val="32"/>
        </w:rPr>
      </w:pPr>
    </w:p>
    <w:p>
      <w:pPr>
        <w:jc w:val="center"/>
        <w:rPr>
          <w:color w:val="000000"/>
          <w:sz w:val="32"/>
          <w:szCs w:val="32"/>
        </w:rPr>
      </w:pPr>
    </w:p>
    <w:p>
      <w:pPr>
        <w:spacing w:line="360" w:lineRule="auto"/>
        <w:ind w:firstLine="1120" w:firstLineChars="400"/>
        <w:rPr>
          <w:rFonts w:ascii="宋体" w:hAnsi="宋体"/>
          <w:color w:val="000000"/>
          <w:sz w:val="28"/>
          <w:szCs w:val="28"/>
          <w:u w:val="single"/>
        </w:rPr>
      </w:pPr>
      <w:r>
        <w:rPr>
          <w:rFonts w:ascii="宋体" w:hAnsi="宋体"/>
          <w:color w:val="000000"/>
          <w:sz w:val="28"/>
          <w:szCs w:val="28"/>
        </w:rPr>
        <w:t>投标内容：</w:t>
      </w:r>
      <w:r>
        <w:rPr>
          <w:rFonts w:ascii="宋体" w:hAnsi="宋体"/>
          <w:color w:val="000000"/>
          <w:sz w:val="28"/>
          <w:szCs w:val="28"/>
          <w:u w:val="single"/>
        </w:rPr>
        <w:t xml:space="preserve">            </w:t>
      </w:r>
      <w:r>
        <w:rPr>
          <w:rFonts w:hint="eastAsia" w:ascii="宋体" w:hAnsi="宋体"/>
          <w:color w:val="000000"/>
          <w:sz w:val="28"/>
          <w:szCs w:val="28"/>
          <w:u w:val="single"/>
        </w:rPr>
        <w:t xml:space="preserve">  设计标</w:t>
      </w:r>
      <w:r>
        <w:rPr>
          <w:rFonts w:ascii="宋体" w:hAnsi="宋体"/>
          <w:color w:val="000000"/>
          <w:sz w:val="28"/>
          <w:szCs w:val="28"/>
          <w:u w:val="single"/>
        </w:rPr>
        <w:t xml:space="preserve"> </w:t>
      </w:r>
      <w:r>
        <w:rPr>
          <w:rFonts w:hint="eastAsia" w:ascii="宋体" w:hAnsi="宋体"/>
          <w:color w:val="000000"/>
          <w:sz w:val="28"/>
          <w:szCs w:val="28"/>
          <w:u w:val="single"/>
        </w:rPr>
        <w:t>（</w:t>
      </w:r>
      <w:r>
        <w:rPr>
          <w:rFonts w:ascii="宋体" w:hAnsi="宋体"/>
          <w:color w:val="000000"/>
          <w:sz w:val="28"/>
          <w:szCs w:val="28"/>
          <w:u w:val="single"/>
        </w:rPr>
        <w:t xml:space="preserve">暗标）        </w:t>
      </w:r>
    </w:p>
    <w:p>
      <w:pPr>
        <w:spacing w:line="360" w:lineRule="auto"/>
        <w:ind w:firstLine="1120" w:firstLineChars="400"/>
        <w:rPr>
          <w:rFonts w:ascii="宋体" w:hAnsi="宋体"/>
          <w:color w:val="000000"/>
          <w:sz w:val="28"/>
          <w:szCs w:val="28"/>
          <w:u w:val="single"/>
        </w:rPr>
      </w:pPr>
    </w:p>
    <w:p>
      <w:pPr>
        <w:spacing w:line="360" w:lineRule="auto"/>
        <w:ind w:firstLine="1120" w:firstLineChars="400"/>
        <w:rPr>
          <w:color w:val="000000"/>
          <w:sz w:val="28"/>
          <w:szCs w:val="28"/>
        </w:rPr>
      </w:pPr>
      <w:r>
        <w:rPr>
          <w:color w:val="000000"/>
          <w:sz w:val="28"/>
          <w:szCs w:val="28"/>
        </w:rPr>
        <w:t>投标人：</w:t>
      </w:r>
      <w:r>
        <w:rPr>
          <w:color w:val="000000"/>
          <w:sz w:val="28"/>
          <w:szCs w:val="28"/>
          <w:u w:val="single"/>
        </w:rPr>
        <w:t xml:space="preserve">                                </w:t>
      </w:r>
      <w:r>
        <w:rPr>
          <w:color w:val="000000"/>
          <w:sz w:val="28"/>
          <w:szCs w:val="28"/>
        </w:rPr>
        <w:t>（盖单位章）</w:t>
      </w:r>
    </w:p>
    <w:p>
      <w:pPr>
        <w:spacing w:line="360" w:lineRule="auto"/>
        <w:ind w:firstLine="1120" w:firstLineChars="400"/>
        <w:rPr>
          <w:color w:val="000000"/>
          <w:sz w:val="28"/>
          <w:szCs w:val="28"/>
        </w:rPr>
      </w:pPr>
    </w:p>
    <w:p>
      <w:pPr>
        <w:spacing w:line="360" w:lineRule="auto"/>
        <w:ind w:firstLine="1120" w:firstLineChars="400"/>
        <w:rPr>
          <w:rFonts w:hint="eastAsia"/>
          <w:color w:val="000000"/>
          <w:sz w:val="28"/>
          <w:szCs w:val="28"/>
        </w:rPr>
      </w:pPr>
    </w:p>
    <w:p>
      <w:pPr>
        <w:spacing w:line="360" w:lineRule="auto"/>
        <w:ind w:firstLine="4200" w:firstLineChars="1500"/>
        <w:rPr>
          <w:color w:val="000000"/>
          <w:sz w:val="28"/>
          <w:szCs w:val="28"/>
        </w:rPr>
      </w:pPr>
      <w:r>
        <w:rPr>
          <w:color w:val="000000"/>
          <w:sz w:val="28"/>
          <w:szCs w:val="28"/>
          <w:u w:val="single"/>
        </w:rPr>
        <w:t xml:space="preserve">         </w:t>
      </w:r>
      <w:r>
        <w:rPr>
          <w:color w:val="000000"/>
          <w:sz w:val="28"/>
          <w:szCs w:val="28"/>
        </w:rPr>
        <w:t>年</w:t>
      </w:r>
      <w:r>
        <w:rPr>
          <w:color w:val="000000"/>
          <w:sz w:val="28"/>
          <w:szCs w:val="28"/>
          <w:u w:val="single"/>
        </w:rPr>
        <w:t xml:space="preserve">      </w:t>
      </w:r>
      <w:r>
        <w:rPr>
          <w:color w:val="000000"/>
          <w:sz w:val="28"/>
          <w:szCs w:val="28"/>
        </w:rPr>
        <w:t>月</w:t>
      </w:r>
      <w:r>
        <w:rPr>
          <w:color w:val="000000"/>
          <w:sz w:val="28"/>
          <w:szCs w:val="28"/>
          <w:u w:val="single"/>
        </w:rPr>
        <w:t xml:space="preserve">     </w:t>
      </w:r>
      <w:r>
        <w:rPr>
          <w:color w:val="000000"/>
          <w:sz w:val="28"/>
          <w:szCs w:val="28"/>
        </w:rPr>
        <w:t>日</w:t>
      </w:r>
    </w:p>
    <w:p>
      <w:pPr>
        <w:spacing w:line="360" w:lineRule="auto"/>
        <w:ind w:firstLine="420"/>
        <w:rPr>
          <w:rFonts w:hint="eastAsia"/>
          <w:color w:val="000000"/>
          <w:sz w:val="28"/>
          <w:szCs w:val="28"/>
        </w:rPr>
      </w:pPr>
      <w:r>
        <w:rPr>
          <w:color w:val="000000"/>
        </w:rPr>
        <w:br w:type="page"/>
      </w:r>
    </w:p>
    <w:p>
      <w:pPr>
        <w:pStyle w:val="4"/>
        <w:jc w:val="center"/>
        <w:rPr>
          <w:rFonts w:hint="eastAsia"/>
          <w:color w:val="000000"/>
          <w:sz w:val="30"/>
          <w:szCs w:val="30"/>
        </w:rPr>
      </w:pPr>
      <w:bookmarkStart w:id="1774" w:name="_Toc59203274"/>
      <w:r>
        <w:rPr>
          <w:rFonts w:hint="eastAsia"/>
          <w:color w:val="000000"/>
          <w:sz w:val="30"/>
          <w:szCs w:val="30"/>
        </w:rPr>
        <w:t>设计标 （暗标）</w:t>
      </w:r>
      <w:bookmarkEnd w:id="1774"/>
    </w:p>
    <w:p>
      <w:pPr>
        <w:spacing w:line="360" w:lineRule="auto"/>
        <w:rPr>
          <w:rFonts w:hint="eastAsia"/>
          <w:color w:val="000000"/>
          <w:sz w:val="28"/>
          <w:szCs w:val="28"/>
        </w:rPr>
      </w:pPr>
      <w:r>
        <w:rPr>
          <w:rFonts w:hint="eastAsia"/>
          <w:color w:val="000000"/>
          <w:sz w:val="28"/>
          <w:szCs w:val="28"/>
        </w:rPr>
        <w:t>一</w:t>
      </w:r>
      <w:r>
        <w:rPr>
          <w:color w:val="000000"/>
          <w:sz w:val="28"/>
          <w:szCs w:val="28"/>
        </w:rPr>
        <w:t>、内容要求</w:t>
      </w:r>
    </w:p>
    <w:p>
      <w:pPr>
        <w:tabs>
          <w:tab w:val="left" w:pos="826"/>
        </w:tabs>
        <w:snapToGrid w:val="0"/>
        <w:spacing w:line="360" w:lineRule="auto"/>
        <w:ind w:firstLine="315" w:firstLineChars="150"/>
        <w:rPr>
          <w:rFonts w:hint="eastAsia" w:ascii="宋体" w:hAnsi="宋体"/>
          <w:color w:val="000000"/>
          <w:szCs w:val="21"/>
        </w:rPr>
      </w:pPr>
      <w:r>
        <w:rPr>
          <w:rFonts w:hint="eastAsia" w:ascii="宋体" w:hAnsi="宋体"/>
          <w:color w:val="000000"/>
          <w:szCs w:val="21"/>
        </w:rPr>
        <w:t>1、设计说明书，包括设计依据、设计要求及主要技术经济指标、总平面设计说明、建筑设计说明、结构设计说明、电气设计说明、给水排水设计说明等内容；</w:t>
      </w:r>
    </w:p>
    <w:p>
      <w:pPr>
        <w:tabs>
          <w:tab w:val="left" w:pos="826"/>
        </w:tabs>
        <w:snapToGrid w:val="0"/>
        <w:spacing w:line="360" w:lineRule="auto"/>
        <w:ind w:firstLine="315" w:firstLineChars="150"/>
        <w:rPr>
          <w:rFonts w:hint="eastAsia" w:ascii="宋体" w:hAnsi="宋体"/>
          <w:color w:val="000000"/>
          <w:szCs w:val="21"/>
        </w:rPr>
      </w:pPr>
      <w:r>
        <w:rPr>
          <w:rFonts w:hint="eastAsia" w:ascii="宋体" w:hAnsi="宋体"/>
          <w:color w:val="000000"/>
          <w:szCs w:val="21"/>
        </w:rPr>
        <w:t>2、设计图纸，包括总平面设计图纸、建筑设计图纸等内容；</w:t>
      </w:r>
    </w:p>
    <w:p>
      <w:pPr>
        <w:tabs>
          <w:tab w:val="left" w:pos="826"/>
        </w:tabs>
        <w:snapToGrid w:val="0"/>
        <w:spacing w:line="420" w:lineRule="exact"/>
        <w:rPr>
          <w:rFonts w:hint="eastAsia" w:ascii="宋体" w:hAnsi="宋体"/>
          <w:color w:val="000000"/>
          <w:szCs w:val="21"/>
        </w:rPr>
      </w:pPr>
    </w:p>
    <w:p>
      <w:pPr>
        <w:spacing w:line="360" w:lineRule="auto"/>
        <w:rPr>
          <w:rFonts w:hint="eastAsia"/>
          <w:color w:val="000000"/>
          <w:sz w:val="28"/>
          <w:szCs w:val="28"/>
        </w:rPr>
      </w:pPr>
    </w:p>
    <w:p>
      <w:pPr>
        <w:spacing w:line="360" w:lineRule="auto"/>
        <w:rPr>
          <w:rFonts w:hint="eastAsia"/>
          <w:color w:val="000000"/>
          <w:sz w:val="28"/>
          <w:szCs w:val="28"/>
        </w:rPr>
      </w:pPr>
      <w:r>
        <w:rPr>
          <w:rFonts w:hint="eastAsia"/>
          <w:color w:val="000000"/>
          <w:sz w:val="28"/>
          <w:szCs w:val="28"/>
        </w:rPr>
        <w:t>二</w:t>
      </w:r>
      <w:r>
        <w:rPr>
          <w:color w:val="000000"/>
          <w:sz w:val="28"/>
          <w:szCs w:val="28"/>
        </w:rPr>
        <w:t>、暗标的编制要求</w:t>
      </w:r>
    </w:p>
    <w:p>
      <w:pPr>
        <w:tabs>
          <w:tab w:val="left" w:pos="826"/>
        </w:tabs>
        <w:snapToGrid w:val="0"/>
        <w:spacing w:line="360" w:lineRule="auto"/>
        <w:ind w:firstLine="315" w:firstLineChars="150"/>
        <w:rPr>
          <w:rFonts w:hint="eastAsia" w:ascii="宋体" w:hAnsi="宋体"/>
          <w:color w:val="000000"/>
          <w:szCs w:val="21"/>
        </w:rPr>
      </w:pPr>
      <w:r>
        <w:rPr>
          <w:rFonts w:hint="eastAsia" w:ascii="宋体" w:hAnsi="宋体"/>
          <w:color w:val="000000"/>
          <w:szCs w:val="21"/>
        </w:rPr>
        <w:t>1、设计标封面的编制：</w:t>
      </w:r>
    </w:p>
    <w:p>
      <w:pPr>
        <w:tabs>
          <w:tab w:val="left" w:pos="826"/>
        </w:tabs>
        <w:snapToGrid w:val="0"/>
        <w:spacing w:line="360" w:lineRule="auto"/>
        <w:ind w:firstLine="315" w:firstLineChars="150"/>
        <w:rPr>
          <w:rFonts w:hint="eastAsia" w:ascii="宋体" w:hAnsi="宋体"/>
          <w:color w:val="000000"/>
          <w:szCs w:val="21"/>
        </w:rPr>
      </w:pPr>
      <w:r>
        <w:rPr>
          <w:rFonts w:hint="eastAsia" w:ascii="宋体" w:hAnsi="宋体"/>
          <w:color w:val="000000"/>
          <w:szCs w:val="21"/>
        </w:rPr>
        <w:t>需点击投标文件编制专用工具的“编辑文档”按钮进行内容编辑，关闭编辑框后软件自动将编辑内容转换成PDF格式文档；</w:t>
      </w:r>
    </w:p>
    <w:p>
      <w:pPr>
        <w:tabs>
          <w:tab w:val="left" w:pos="826"/>
        </w:tabs>
        <w:snapToGrid w:val="0"/>
        <w:spacing w:line="360" w:lineRule="auto"/>
        <w:ind w:firstLine="315" w:firstLineChars="150"/>
        <w:rPr>
          <w:rFonts w:hint="eastAsia" w:ascii="宋体" w:hAnsi="宋体"/>
          <w:color w:val="000000"/>
          <w:szCs w:val="21"/>
        </w:rPr>
      </w:pPr>
      <w:r>
        <w:rPr>
          <w:rFonts w:hint="eastAsia" w:ascii="宋体" w:hAnsi="宋体"/>
          <w:color w:val="000000"/>
          <w:szCs w:val="21"/>
        </w:rPr>
        <w:t>2、设计标正文编制：</w:t>
      </w:r>
    </w:p>
    <w:p>
      <w:pPr>
        <w:tabs>
          <w:tab w:val="left" w:pos="826"/>
        </w:tabs>
        <w:snapToGrid w:val="0"/>
        <w:spacing w:line="360" w:lineRule="auto"/>
        <w:ind w:firstLine="315" w:firstLineChars="150"/>
        <w:rPr>
          <w:rFonts w:hint="eastAsia" w:ascii="宋体" w:hAnsi="宋体"/>
          <w:color w:val="000000"/>
          <w:szCs w:val="21"/>
        </w:rPr>
      </w:pPr>
      <w:r>
        <w:rPr>
          <w:rFonts w:hint="eastAsia" w:ascii="宋体" w:hAnsi="宋体"/>
          <w:color w:val="000000"/>
          <w:szCs w:val="21"/>
        </w:rPr>
        <w:t>导入已编制好的设计标设计正文文档，将设计标正文文档相应内容与各个评分点进行节点对应。</w:t>
      </w:r>
    </w:p>
    <w:p>
      <w:pPr>
        <w:tabs>
          <w:tab w:val="left" w:pos="826"/>
        </w:tabs>
        <w:snapToGrid w:val="0"/>
        <w:spacing w:line="360" w:lineRule="auto"/>
        <w:ind w:firstLine="315" w:firstLineChars="150"/>
        <w:rPr>
          <w:rFonts w:hint="eastAsia" w:ascii="宋体" w:hAnsi="宋体"/>
          <w:color w:val="000000"/>
          <w:szCs w:val="21"/>
        </w:rPr>
      </w:pPr>
      <w:r>
        <w:rPr>
          <w:rFonts w:hint="eastAsia" w:ascii="宋体" w:hAnsi="宋体"/>
          <w:color w:val="000000"/>
          <w:szCs w:val="21"/>
        </w:rPr>
        <w:t>3、目录要求：</w:t>
      </w:r>
    </w:p>
    <w:p>
      <w:pPr>
        <w:tabs>
          <w:tab w:val="left" w:pos="826"/>
        </w:tabs>
        <w:snapToGrid w:val="0"/>
        <w:spacing w:line="360" w:lineRule="auto"/>
        <w:ind w:firstLine="315" w:firstLineChars="150"/>
        <w:rPr>
          <w:rFonts w:hint="eastAsia" w:ascii="宋体" w:hAnsi="宋体"/>
          <w:color w:val="000000"/>
          <w:szCs w:val="21"/>
        </w:rPr>
      </w:pPr>
      <w:r>
        <w:rPr>
          <w:rFonts w:hint="eastAsia" w:ascii="宋体" w:hAnsi="宋体"/>
          <w:color w:val="000000"/>
          <w:szCs w:val="21"/>
        </w:rPr>
        <w:t>设计标设计首页应为目录，目录标题采用宋体三号居中，正文采用宋体四号左端对齐。目录中各章点名称与其页数之间采用点划线，页数放在最后一列，目录不编制页码。目录应按如下规则编制：</w:t>
      </w:r>
    </w:p>
    <w:p>
      <w:pPr>
        <w:tabs>
          <w:tab w:val="left" w:pos="826"/>
        </w:tabs>
        <w:snapToGrid w:val="0"/>
        <w:spacing w:line="360" w:lineRule="auto"/>
        <w:ind w:firstLine="315" w:firstLineChars="150"/>
        <w:rPr>
          <w:rFonts w:hint="eastAsia" w:ascii="宋体" w:hAnsi="宋体"/>
          <w:color w:val="000000"/>
          <w:szCs w:val="21"/>
        </w:rPr>
      </w:pPr>
      <w:r>
        <w:rPr>
          <w:rFonts w:hint="eastAsia" w:ascii="宋体" w:hAnsi="宋体"/>
          <w:color w:val="000000"/>
          <w:szCs w:val="21"/>
        </w:rPr>
        <w:t>1.设计说明书，包括设计依据、设计要求及主要技术经济指标、总平面设计说明、建筑设计说明、结构设计说明、电气设计说明、给水排水设计说明等内容；</w:t>
      </w:r>
    </w:p>
    <w:p>
      <w:pPr>
        <w:tabs>
          <w:tab w:val="left" w:pos="826"/>
        </w:tabs>
        <w:snapToGrid w:val="0"/>
        <w:spacing w:line="360" w:lineRule="auto"/>
        <w:ind w:firstLine="315" w:firstLineChars="150"/>
        <w:rPr>
          <w:rFonts w:hint="eastAsia" w:ascii="宋体" w:hAnsi="宋体"/>
          <w:color w:val="000000"/>
          <w:szCs w:val="21"/>
        </w:rPr>
      </w:pPr>
      <w:r>
        <w:rPr>
          <w:rFonts w:hint="eastAsia" w:ascii="宋体" w:hAnsi="宋体"/>
          <w:color w:val="000000"/>
          <w:szCs w:val="21"/>
        </w:rPr>
        <w:t>1.1</w:t>
      </w:r>
      <w:r>
        <w:rPr>
          <w:rFonts w:ascii="宋体" w:hAnsi="宋体"/>
          <w:color w:val="000000"/>
          <w:szCs w:val="21"/>
        </w:rPr>
        <w:t>…</w:t>
      </w:r>
    </w:p>
    <w:p>
      <w:pPr>
        <w:tabs>
          <w:tab w:val="left" w:pos="826"/>
        </w:tabs>
        <w:snapToGrid w:val="0"/>
        <w:spacing w:line="360" w:lineRule="auto"/>
        <w:ind w:firstLine="315" w:firstLineChars="150"/>
        <w:rPr>
          <w:rFonts w:hint="eastAsia" w:ascii="宋体" w:hAnsi="宋体"/>
          <w:color w:val="000000"/>
          <w:szCs w:val="21"/>
        </w:rPr>
      </w:pPr>
      <w:r>
        <w:rPr>
          <w:rFonts w:hint="eastAsia" w:ascii="宋体" w:hAnsi="宋体"/>
          <w:color w:val="000000"/>
          <w:szCs w:val="21"/>
        </w:rPr>
        <w:t>1.1.1</w:t>
      </w:r>
      <w:r>
        <w:rPr>
          <w:rFonts w:ascii="宋体" w:hAnsi="宋体"/>
          <w:color w:val="000000"/>
          <w:szCs w:val="21"/>
        </w:rPr>
        <w:t>…</w:t>
      </w:r>
    </w:p>
    <w:p>
      <w:pPr>
        <w:tabs>
          <w:tab w:val="left" w:pos="826"/>
        </w:tabs>
        <w:snapToGrid w:val="0"/>
        <w:spacing w:line="360" w:lineRule="auto"/>
        <w:ind w:firstLine="315" w:firstLineChars="150"/>
        <w:rPr>
          <w:rFonts w:hint="eastAsia" w:ascii="宋体" w:hAnsi="宋体"/>
          <w:color w:val="000000"/>
          <w:szCs w:val="21"/>
        </w:rPr>
      </w:pPr>
      <w:r>
        <w:rPr>
          <w:rFonts w:hint="eastAsia" w:ascii="宋体" w:hAnsi="宋体"/>
          <w:color w:val="000000"/>
          <w:szCs w:val="21"/>
        </w:rPr>
        <w:t>1.2</w:t>
      </w:r>
      <w:r>
        <w:rPr>
          <w:rFonts w:ascii="宋体" w:hAnsi="宋体"/>
          <w:color w:val="000000"/>
          <w:szCs w:val="21"/>
        </w:rPr>
        <w:t>…</w:t>
      </w:r>
    </w:p>
    <w:p>
      <w:pPr>
        <w:tabs>
          <w:tab w:val="left" w:pos="826"/>
        </w:tabs>
        <w:snapToGrid w:val="0"/>
        <w:spacing w:line="360" w:lineRule="auto"/>
        <w:ind w:firstLine="315" w:firstLineChars="150"/>
        <w:rPr>
          <w:rFonts w:hint="eastAsia" w:ascii="宋体" w:hAnsi="宋体"/>
          <w:color w:val="000000"/>
          <w:szCs w:val="21"/>
        </w:rPr>
      </w:pPr>
      <w:r>
        <w:rPr>
          <w:rFonts w:hint="eastAsia" w:ascii="宋体" w:hAnsi="宋体"/>
          <w:color w:val="000000"/>
          <w:szCs w:val="21"/>
        </w:rPr>
        <w:t>1.2.1</w:t>
      </w:r>
      <w:r>
        <w:rPr>
          <w:rFonts w:ascii="宋体" w:hAnsi="宋体"/>
          <w:color w:val="000000"/>
          <w:szCs w:val="21"/>
        </w:rPr>
        <w:t>…</w:t>
      </w:r>
    </w:p>
    <w:p>
      <w:pPr>
        <w:tabs>
          <w:tab w:val="left" w:pos="826"/>
        </w:tabs>
        <w:snapToGrid w:val="0"/>
        <w:spacing w:line="360" w:lineRule="auto"/>
        <w:ind w:firstLine="315" w:firstLineChars="150"/>
        <w:rPr>
          <w:rFonts w:hint="eastAsia" w:ascii="宋体" w:hAnsi="宋体"/>
          <w:color w:val="000000"/>
          <w:szCs w:val="21"/>
        </w:rPr>
      </w:pPr>
      <w:r>
        <w:rPr>
          <w:rFonts w:hint="eastAsia" w:ascii="宋体" w:hAnsi="宋体"/>
          <w:color w:val="000000"/>
          <w:szCs w:val="21"/>
        </w:rPr>
        <w:t>2. 设计图纸，包括总平面设计图纸、建筑设计图纸等内容；</w:t>
      </w:r>
    </w:p>
    <w:p>
      <w:pPr>
        <w:tabs>
          <w:tab w:val="left" w:pos="826"/>
        </w:tabs>
        <w:snapToGrid w:val="0"/>
        <w:spacing w:line="360" w:lineRule="auto"/>
        <w:ind w:firstLine="315" w:firstLineChars="150"/>
        <w:rPr>
          <w:rFonts w:hint="eastAsia" w:ascii="宋体" w:hAnsi="宋体"/>
          <w:color w:val="000000"/>
          <w:szCs w:val="21"/>
        </w:rPr>
      </w:pPr>
      <w:r>
        <w:rPr>
          <w:rFonts w:hint="eastAsia" w:ascii="宋体" w:hAnsi="宋体"/>
          <w:color w:val="000000"/>
          <w:szCs w:val="21"/>
        </w:rPr>
        <w:t>4、</w:t>
      </w:r>
      <w:r>
        <w:rPr>
          <w:rFonts w:ascii="宋体" w:hAnsi="宋体"/>
          <w:color w:val="000000"/>
          <w:szCs w:val="21"/>
        </w:rPr>
        <w:t>排版要求：</w:t>
      </w:r>
    </w:p>
    <w:p>
      <w:pPr>
        <w:tabs>
          <w:tab w:val="left" w:pos="826"/>
        </w:tabs>
        <w:snapToGrid w:val="0"/>
        <w:spacing w:line="360" w:lineRule="auto"/>
        <w:ind w:firstLine="315" w:firstLineChars="150"/>
        <w:rPr>
          <w:rFonts w:hint="eastAsia" w:ascii="宋体" w:hAnsi="宋体"/>
          <w:color w:val="000000"/>
          <w:szCs w:val="21"/>
        </w:rPr>
      </w:pPr>
      <w:r>
        <w:rPr>
          <w:rFonts w:hint="eastAsia" w:ascii="宋体" w:hAnsi="宋体"/>
          <w:color w:val="000000"/>
          <w:szCs w:val="21"/>
        </w:rPr>
        <w:t>字体、</w:t>
      </w:r>
      <w:r>
        <w:rPr>
          <w:rFonts w:ascii="宋体" w:hAnsi="宋体"/>
          <w:color w:val="000000"/>
          <w:szCs w:val="21"/>
        </w:rPr>
        <w:t>字符间距</w:t>
      </w:r>
      <w:r>
        <w:rPr>
          <w:rFonts w:hint="eastAsia" w:ascii="宋体" w:hAnsi="宋体"/>
          <w:color w:val="000000"/>
          <w:szCs w:val="21"/>
        </w:rPr>
        <w:t>：宋体，黑色，</w:t>
      </w:r>
      <w:r>
        <w:rPr>
          <w:rFonts w:ascii="宋体" w:hAnsi="宋体"/>
          <w:color w:val="000000"/>
          <w:szCs w:val="21"/>
        </w:rPr>
        <w:t>字符间距</w:t>
      </w:r>
      <w:r>
        <w:rPr>
          <w:rFonts w:hint="eastAsia" w:ascii="宋体" w:hAnsi="宋体"/>
          <w:color w:val="000000"/>
          <w:szCs w:val="21"/>
        </w:rPr>
        <w:t>缩</w:t>
      </w:r>
      <w:r>
        <w:rPr>
          <w:rFonts w:ascii="宋体" w:hAnsi="宋体"/>
          <w:color w:val="000000"/>
          <w:szCs w:val="21"/>
        </w:rPr>
        <w:t>放</w:t>
      </w:r>
      <w:r>
        <w:rPr>
          <w:rFonts w:hint="eastAsia" w:ascii="宋体" w:hAnsi="宋体"/>
          <w:color w:val="000000"/>
          <w:szCs w:val="21"/>
        </w:rPr>
        <w:t>100</w:t>
      </w:r>
      <w:r>
        <w:rPr>
          <w:rFonts w:ascii="宋体" w:hAnsi="宋体"/>
          <w:color w:val="000000"/>
          <w:szCs w:val="21"/>
        </w:rPr>
        <w:t>%，间距</w:t>
      </w:r>
      <w:r>
        <w:rPr>
          <w:rFonts w:hint="eastAsia" w:ascii="宋体" w:hAnsi="宋体"/>
          <w:color w:val="000000"/>
          <w:szCs w:val="21"/>
        </w:rPr>
        <w:t>、</w:t>
      </w:r>
      <w:r>
        <w:rPr>
          <w:rFonts w:ascii="宋体" w:hAnsi="宋体"/>
          <w:color w:val="000000"/>
          <w:szCs w:val="21"/>
        </w:rPr>
        <w:t>位置为标准</w:t>
      </w:r>
      <w:r>
        <w:rPr>
          <w:rFonts w:hint="eastAsia" w:ascii="宋体" w:hAnsi="宋体"/>
          <w:color w:val="000000"/>
          <w:szCs w:val="21"/>
        </w:rPr>
        <w:t>；纸张大小为A3。</w:t>
      </w:r>
    </w:p>
    <w:p>
      <w:pPr>
        <w:tabs>
          <w:tab w:val="left" w:pos="826"/>
        </w:tabs>
        <w:snapToGrid w:val="0"/>
        <w:spacing w:line="360" w:lineRule="auto"/>
        <w:ind w:firstLine="315" w:firstLineChars="150"/>
        <w:rPr>
          <w:rFonts w:ascii="宋体" w:hAnsi="宋体"/>
          <w:color w:val="000000"/>
          <w:szCs w:val="21"/>
        </w:rPr>
      </w:pPr>
      <w:r>
        <w:rPr>
          <w:rFonts w:hint="eastAsia" w:ascii="宋体" w:hAnsi="宋体"/>
          <w:color w:val="000000"/>
          <w:szCs w:val="21"/>
        </w:rPr>
        <w:t>字号、行</w:t>
      </w:r>
      <w:r>
        <w:rPr>
          <w:rFonts w:ascii="宋体" w:hAnsi="宋体"/>
          <w:color w:val="000000"/>
          <w:szCs w:val="21"/>
        </w:rPr>
        <w:t>距</w:t>
      </w:r>
      <w:r>
        <w:rPr>
          <w:rFonts w:hint="eastAsia" w:ascii="宋体" w:hAnsi="宋体"/>
          <w:color w:val="000000"/>
          <w:szCs w:val="21"/>
        </w:rPr>
        <w:t>：一级标题采用三号字，居中排版；其他采用四号字，开始段落空两个字符，行</w:t>
      </w:r>
      <w:r>
        <w:rPr>
          <w:rFonts w:ascii="宋体" w:hAnsi="宋体"/>
          <w:color w:val="000000"/>
          <w:szCs w:val="21"/>
        </w:rPr>
        <w:t>距设</w:t>
      </w:r>
      <w:r>
        <w:rPr>
          <w:rFonts w:hint="eastAsia" w:ascii="宋体" w:hAnsi="宋体"/>
          <w:color w:val="000000"/>
          <w:szCs w:val="21"/>
        </w:rPr>
        <w:t>1.5倍行</w:t>
      </w:r>
      <w:r>
        <w:rPr>
          <w:rFonts w:ascii="宋体" w:hAnsi="宋体"/>
          <w:color w:val="000000"/>
          <w:szCs w:val="21"/>
        </w:rPr>
        <w:t>距</w:t>
      </w:r>
      <w:r>
        <w:rPr>
          <w:rFonts w:hint="eastAsia" w:ascii="宋体" w:hAnsi="宋体"/>
          <w:color w:val="000000"/>
          <w:szCs w:val="21"/>
        </w:rPr>
        <w:t>；</w:t>
      </w:r>
    </w:p>
    <w:p>
      <w:pPr>
        <w:tabs>
          <w:tab w:val="left" w:pos="826"/>
        </w:tabs>
        <w:snapToGrid w:val="0"/>
        <w:spacing w:line="360" w:lineRule="auto"/>
        <w:ind w:firstLine="315" w:firstLineChars="150"/>
        <w:rPr>
          <w:rFonts w:hint="eastAsia" w:ascii="宋体" w:hAnsi="宋体"/>
          <w:color w:val="000000"/>
          <w:szCs w:val="21"/>
        </w:rPr>
      </w:pPr>
      <w:r>
        <w:rPr>
          <w:rFonts w:hint="eastAsia" w:ascii="宋体" w:hAnsi="宋体"/>
          <w:color w:val="000000"/>
          <w:szCs w:val="21"/>
        </w:rPr>
        <w:t>页</w:t>
      </w:r>
      <w:r>
        <w:rPr>
          <w:rFonts w:ascii="宋体" w:hAnsi="宋体"/>
          <w:color w:val="000000"/>
          <w:szCs w:val="21"/>
        </w:rPr>
        <w:t>边</w:t>
      </w:r>
      <w:r>
        <w:rPr>
          <w:rFonts w:hint="eastAsia" w:ascii="宋体" w:hAnsi="宋体"/>
          <w:color w:val="000000"/>
          <w:szCs w:val="21"/>
        </w:rPr>
        <w:t>距</w:t>
      </w:r>
      <w:r>
        <w:rPr>
          <w:rFonts w:ascii="宋体" w:hAnsi="宋体"/>
          <w:color w:val="000000"/>
          <w:szCs w:val="21"/>
        </w:rPr>
        <w:t>：</w:t>
      </w:r>
      <w:r>
        <w:rPr>
          <w:rFonts w:hint="eastAsia" w:ascii="宋体" w:hAnsi="宋体"/>
          <w:color w:val="000000"/>
          <w:szCs w:val="21"/>
        </w:rPr>
        <w:t>上</w:t>
      </w:r>
      <w:r>
        <w:rPr>
          <w:rFonts w:ascii="宋体" w:hAnsi="宋体"/>
          <w:color w:val="000000"/>
          <w:szCs w:val="21"/>
        </w:rPr>
        <w:t>下左右均为</w:t>
      </w:r>
      <w:r>
        <w:rPr>
          <w:rFonts w:hint="eastAsia" w:ascii="宋体" w:hAnsi="宋体"/>
          <w:color w:val="000000"/>
          <w:szCs w:val="21"/>
        </w:rPr>
        <w:t>2.15</w:t>
      </w:r>
      <w:r>
        <w:rPr>
          <w:rFonts w:ascii="宋体" w:hAnsi="宋体"/>
          <w:color w:val="000000"/>
          <w:szCs w:val="21"/>
        </w:rPr>
        <w:t>cm,</w:t>
      </w:r>
      <w:r>
        <w:rPr>
          <w:rFonts w:hint="eastAsia" w:ascii="宋体" w:hAnsi="宋体"/>
          <w:color w:val="000000"/>
          <w:szCs w:val="21"/>
        </w:rPr>
        <w:t>装订</w:t>
      </w:r>
      <w:r>
        <w:rPr>
          <w:rFonts w:ascii="宋体" w:hAnsi="宋体"/>
          <w:color w:val="000000"/>
          <w:szCs w:val="21"/>
        </w:rPr>
        <w:t>线</w:t>
      </w:r>
      <w:r>
        <w:rPr>
          <w:rFonts w:hint="eastAsia" w:ascii="宋体" w:hAnsi="宋体"/>
          <w:color w:val="000000"/>
          <w:szCs w:val="21"/>
        </w:rPr>
        <w:t>0</w:t>
      </w:r>
      <w:r>
        <w:rPr>
          <w:rFonts w:ascii="宋体" w:hAnsi="宋体"/>
          <w:color w:val="000000"/>
          <w:szCs w:val="21"/>
        </w:rPr>
        <w:t>cm</w:t>
      </w:r>
      <w:r>
        <w:rPr>
          <w:rFonts w:hint="eastAsia" w:ascii="宋体" w:hAnsi="宋体"/>
          <w:color w:val="000000"/>
          <w:szCs w:val="21"/>
        </w:rPr>
        <w:t>；</w:t>
      </w:r>
    </w:p>
    <w:p>
      <w:pPr>
        <w:tabs>
          <w:tab w:val="left" w:pos="826"/>
        </w:tabs>
        <w:snapToGrid w:val="0"/>
        <w:spacing w:line="360" w:lineRule="auto"/>
        <w:ind w:firstLine="315" w:firstLineChars="150"/>
        <w:rPr>
          <w:rFonts w:hint="eastAsia" w:ascii="宋体" w:hAnsi="宋体"/>
          <w:color w:val="000000"/>
          <w:szCs w:val="21"/>
        </w:rPr>
      </w:pPr>
      <w:r>
        <w:rPr>
          <w:rFonts w:hint="eastAsia" w:ascii="宋体" w:hAnsi="宋体"/>
          <w:color w:val="000000"/>
          <w:szCs w:val="21"/>
        </w:rPr>
        <w:t>页眉页脚：页眉页脚距</w:t>
      </w:r>
      <w:r>
        <w:rPr>
          <w:rFonts w:ascii="宋体" w:hAnsi="宋体"/>
          <w:color w:val="000000"/>
          <w:szCs w:val="21"/>
        </w:rPr>
        <w:t>边</w:t>
      </w:r>
      <w:r>
        <w:rPr>
          <w:rFonts w:hint="eastAsia" w:ascii="宋体" w:hAnsi="宋体"/>
          <w:color w:val="000000"/>
          <w:szCs w:val="21"/>
        </w:rPr>
        <w:t>界1.5</w:t>
      </w:r>
      <w:r>
        <w:rPr>
          <w:rFonts w:ascii="宋体" w:hAnsi="宋体"/>
          <w:color w:val="000000"/>
          <w:szCs w:val="21"/>
        </w:rPr>
        <w:t>cm,</w:t>
      </w:r>
      <w:r>
        <w:rPr>
          <w:rFonts w:hint="eastAsia" w:ascii="宋体" w:hAnsi="宋体"/>
          <w:color w:val="000000"/>
          <w:szCs w:val="21"/>
        </w:rPr>
        <w:t>不允许有页眉，页脚只允许有页码，页码采用阿拉伯数字，宋体五号，居中布置，页码应当连续，不得分章或节单独编码；</w:t>
      </w:r>
    </w:p>
    <w:p>
      <w:pPr>
        <w:tabs>
          <w:tab w:val="left" w:pos="826"/>
        </w:tabs>
        <w:snapToGrid w:val="0"/>
        <w:spacing w:line="360" w:lineRule="auto"/>
        <w:ind w:firstLine="315" w:firstLineChars="150"/>
        <w:rPr>
          <w:rFonts w:ascii="宋体" w:hAnsi="宋体"/>
          <w:color w:val="000000"/>
          <w:szCs w:val="21"/>
        </w:rPr>
      </w:pPr>
      <w:r>
        <w:rPr>
          <w:rFonts w:hint="eastAsia" w:ascii="宋体" w:hAnsi="宋体"/>
          <w:color w:val="000000"/>
          <w:szCs w:val="21"/>
        </w:rPr>
        <w:t>1）表格内文字、字体及颜色要求：宋体，黑色，小四号字</w:t>
      </w:r>
    </w:p>
    <w:p>
      <w:pPr>
        <w:tabs>
          <w:tab w:val="left" w:pos="826"/>
        </w:tabs>
        <w:snapToGrid w:val="0"/>
        <w:spacing w:line="360" w:lineRule="auto"/>
        <w:ind w:firstLine="315" w:firstLineChars="150"/>
        <w:rPr>
          <w:rFonts w:hint="eastAsia" w:ascii="宋体" w:hAnsi="宋体"/>
          <w:color w:val="000000"/>
          <w:szCs w:val="21"/>
        </w:rPr>
      </w:pPr>
      <w:r>
        <w:rPr>
          <w:rFonts w:hint="eastAsia" w:ascii="宋体" w:hAnsi="宋体"/>
          <w:color w:val="000000"/>
          <w:szCs w:val="21"/>
        </w:rPr>
        <w:t>2）图片：颜色不做限制</w:t>
      </w:r>
    </w:p>
    <w:p>
      <w:pPr>
        <w:tabs>
          <w:tab w:val="left" w:pos="826"/>
        </w:tabs>
        <w:snapToGrid w:val="0"/>
        <w:spacing w:line="360" w:lineRule="auto"/>
        <w:ind w:firstLine="315" w:firstLineChars="150"/>
        <w:rPr>
          <w:rFonts w:ascii="宋体" w:hAnsi="宋体"/>
          <w:color w:val="000000"/>
          <w:szCs w:val="21"/>
        </w:rPr>
      </w:pPr>
      <w:r>
        <w:rPr>
          <w:rFonts w:hint="eastAsia" w:ascii="宋体" w:hAnsi="宋体"/>
          <w:color w:val="000000"/>
          <w:szCs w:val="21"/>
        </w:rPr>
        <w:t>3）图纸：A3幅面</w:t>
      </w:r>
    </w:p>
    <w:p>
      <w:pPr>
        <w:tabs>
          <w:tab w:val="left" w:pos="826"/>
        </w:tabs>
        <w:snapToGrid w:val="0"/>
        <w:spacing w:line="360" w:lineRule="auto"/>
        <w:ind w:firstLine="315" w:firstLineChars="150"/>
        <w:rPr>
          <w:rFonts w:hint="eastAsia" w:ascii="宋体" w:hAnsi="宋体"/>
          <w:color w:val="000000"/>
          <w:szCs w:val="21"/>
        </w:rPr>
      </w:pPr>
      <w:r>
        <w:rPr>
          <w:rFonts w:hint="eastAsia" w:ascii="宋体" w:hAnsi="宋体"/>
          <w:color w:val="000000"/>
          <w:szCs w:val="21"/>
        </w:rPr>
        <w:t>5、</w:t>
      </w:r>
      <w:r>
        <w:rPr>
          <w:rFonts w:ascii="宋体" w:hAnsi="宋体"/>
          <w:color w:val="000000"/>
          <w:szCs w:val="21"/>
        </w:rPr>
        <w:t>编写软件及版本要求：Microsoft Word</w:t>
      </w:r>
      <w:r>
        <w:rPr>
          <w:rFonts w:hint="eastAsia" w:ascii="宋体" w:hAnsi="宋体"/>
          <w:color w:val="000000"/>
          <w:szCs w:val="21"/>
        </w:rPr>
        <w:t>；Computer Aided Drafting；</w:t>
      </w:r>
    </w:p>
    <w:p>
      <w:pPr>
        <w:tabs>
          <w:tab w:val="left" w:pos="826"/>
        </w:tabs>
        <w:snapToGrid w:val="0"/>
        <w:spacing w:line="360" w:lineRule="auto"/>
        <w:ind w:firstLine="315" w:firstLineChars="150"/>
        <w:rPr>
          <w:rFonts w:ascii="宋体" w:hAnsi="宋体"/>
          <w:color w:val="000000"/>
          <w:szCs w:val="21"/>
        </w:rPr>
      </w:pPr>
      <w:r>
        <w:rPr>
          <w:rFonts w:hint="eastAsia" w:ascii="宋体" w:hAnsi="宋体"/>
          <w:color w:val="000000"/>
          <w:szCs w:val="21"/>
        </w:rPr>
        <w:t>6、</w:t>
      </w:r>
      <w:r>
        <w:rPr>
          <w:rFonts w:ascii="宋体" w:hAnsi="宋体"/>
          <w:color w:val="000000"/>
          <w:szCs w:val="21"/>
        </w:rPr>
        <w:t>“</w:t>
      </w:r>
      <w:r>
        <w:rPr>
          <w:rFonts w:hint="eastAsia" w:ascii="宋体" w:hAnsi="宋体"/>
          <w:color w:val="000000"/>
          <w:szCs w:val="21"/>
        </w:rPr>
        <w:t>设计标</w:t>
      </w:r>
      <w:r>
        <w:rPr>
          <w:rFonts w:ascii="宋体" w:hAnsi="宋体"/>
          <w:color w:val="000000"/>
          <w:szCs w:val="21"/>
        </w:rPr>
        <w:t>”的正文</w:t>
      </w:r>
      <w:r>
        <w:rPr>
          <w:rFonts w:hint="eastAsia" w:ascii="宋体" w:hAnsi="宋体"/>
          <w:color w:val="000000"/>
          <w:szCs w:val="21"/>
        </w:rPr>
        <w:t>部分及图纸部分</w:t>
      </w:r>
      <w:r>
        <w:rPr>
          <w:rFonts w:ascii="宋体" w:hAnsi="宋体"/>
          <w:color w:val="000000"/>
          <w:szCs w:val="21"/>
        </w:rPr>
        <w:t>不得出现投标人的名称和其他可识别投标人身份的字符</w:t>
      </w:r>
      <w:r>
        <w:rPr>
          <w:rFonts w:hint="eastAsia" w:ascii="宋体" w:hAnsi="宋体"/>
          <w:color w:val="000000"/>
          <w:szCs w:val="21"/>
        </w:rPr>
        <w:t>（图表）</w:t>
      </w:r>
      <w:r>
        <w:rPr>
          <w:rFonts w:ascii="宋体" w:hAnsi="宋体"/>
          <w:color w:val="000000"/>
          <w:szCs w:val="21"/>
        </w:rPr>
        <w:t>、徽标、</w:t>
      </w:r>
      <w:r>
        <w:rPr>
          <w:rFonts w:hint="eastAsia" w:ascii="宋体" w:hAnsi="宋体"/>
          <w:color w:val="000000"/>
          <w:szCs w:val="21"/>
        </w:rPr>
        <w:t>业绩</w:t>
      </w:r>
      <w:r>
        <w:rPr>
          <w:rFonts w:ascii="宋体" w:hAnsi="宋体"/>
          <w:color w:val="000000"/>
          <w:szCs w:val="21"/>
        </w:rPr>
        <w:t>、荣誉或人员</w:t>
      </w:r>
      <w:r>
        <w:rPr>
          <w:rFonts w:hint="eastAsia" w:ascii="宋体" w:hAnsi="宋体"/>
          <w:color w:val="000000"/>
          <w:szCs w:val="21"/>
        </w:rPr>
        <w:t>姓名</w:t>
      </w:r>
      <w:r>
        <w:rPr>
          <w:rFonts w:ascii="宋体" w:hAnsi="宋体"/>
          <w:color w:val="000000"/>
          <w:szCs w:val="21"/>
        </w:rPr>
        <w:t>以及其他特殊标记等。</w:t>
      </w:r>
    </w:p>
    <w:p>
      <w:pPr>
        <w:rPr>
          <w:color w:val="000000"/>
          <w:szCs w:val="21"/>
        </w:rPr>
        <w:sectPr>
          <w:pgSz w:w="11906" w:h="16838"/>
          <w:pgMar w:top="1440" w:right="1440" w:bottom="1440" w:left="1797" w:header="851" w:footer="851" w:gutter="0"/>
          <w:cols w:space="720" w:num="1"/>
          <w:docGrid w:linePitch="312" w:charSpace="0"/>
        </w:sectPr>
      </w:pPr>
    </w:p>
    <w:p>
      <w:pPr>
        <w:jc w:val="center"/>
        <w:rPr>
          <w:color w:val="000000"/>
          <w:sz w:val="28"/>
          <w:szCs w:val="28"/>
          <w:highlight w:val="yellow"/>
        </w:rPr>
      </w:pPr>
      <w:r>
        <w:rPr>
          <w:color w:val="000000"/>
          <w:sz w:val="32"/>
          <w:szCs w:val="32"/>
          <w:u w:val="single"/>
        </w:rPr>
        <w:t xml:space="preserve">             </w:t>
      </w:r>
      <w:r>
        <w:rPr>
          <w:color w:val="000000"/>
          <w:sz w:val="28"/>
          <w:szCs w:val="28"/>
        </w:rPr>
        <w:t>（项目名称）</w:t>
      </w:r>
      <w:r>
        <w:rPr>
          <w:rFonts w:hint="eastAsia"/>
          <w:color w:val="000000"/>
          <w:sz w:val="28"/>
          <w:szCs w:val="28"/>
        </w:rPr>
        <w:t>总承包招标</w:t>
      </w:r>
    </w:p>
    <w:p>
      <w:pPr>
        <w:jc w:val="center"/>
        <w:rPr>
          <w:color w:val="000000"/>
          <w:sz w:val="28"/>
          <w:szCs w:val="28"/>
        </w:rPr>
      </w:pPr>
    </w:p>
    <w:p>
      <w:pPr>
        <w:spacing w:before="240" w:beforeLines="100"/>
        <w:jc w:val="center"/>
        <w:rPr>
          <w:color w:val="000000"/>
          <w:sz w:val="52"/>
          <w:szCs w:val="52"/>
        </w:rPr>
      </w:pPr>
      <w:r>
        <w:rPr>
          <w:color w:val="000000"/>
          <w:sz w:val="52"/>
          <w:szCs w:val="52"/>
        </w:rPr>
        <w:t>投  标  文  件</w:t>
      </w:r>
    </w:p>
    <w:p>
      <w:pPr>
        <w:jc w:val="center"/>
        <w:rPr>
          <w:color w:val="000000"/>
          <w:sz w:val="32"/>
          <w:szCs w:val="32"/>
        </w:rPr>
      </w:pPr>
    </w:p>
    <w:p>
      <w:pPr>
        <w:rPr>
          <w:rFonts w:hint="eastAsia"/>
          <w:color w:val="000000"/>
          <w:sz w:val="32"/>
          <w:szCs w:val="32"/>
        </w:rPr>
      </w:pPr>
    </w:p>
    <w:p>
      <w:pPr>
        <w:jc w:val="center"/>
        <w:rPr>
          <w:color w:val="000000"/>
          <w:sz w:val="32"/>
          <w:szCs w:val="32"/>
        </w:rPr>
      </w:pPr>
    </w:p>
    <w:p>
      <w:pPr>
        <w:spacing w:line="360" w:lineRule="auto"/>
        <w:ind w:firstLine="2380" w:firstLineChars="850"/>
        <w:rPr>
          <w:color w:val="000000"/>
          <w:sz w:val="28"/>
          <w:szCs w:val="28"/>
          <w:u w:val="single"/>
        </w:rPr>
      </w:pPr>
      <w:r>
        <w:rPr>
          <w:color w:val="000000"/>
          <w:sz w:val="28"/>
          <w:szCs w:val="28"/>
        </w:rPr>
        <w:t>项目</w:t>
      </w:r>
      <w:r>
        <w:rPr>
          <w:rFonts w:hint="eastAsia"/>
          <w:color w:val="000000"/>
          <w:sz w:val="28"/>
          <w:szCs w:val="28"/>
        </w:rPr>
        <w:t>招标</w:t>
      </w:r>
      <w:r>
        <w:rPr>
          <w:color w:val="000000"/>
          <w:sz w:val="28"/>
          <w:szCs w:val="28"/>
        </w:rPr>
        <w:t>编号：</w:t>
      </w:r>
      <w:r>
        <w:rPr>
          <w:color w:val="000000"/>
          <w:sz w:val="28"/>
          <w:szCs w:val="28"/>
          <w:u w:val="single"/>
        </w:rPr>
        <w:t xml:space="preserve">                   </w:t>
      </w:r>
    </w:p>
    <w:p>
      <w:pPr>
        <w:jc w:val="center"/>
        <w:rPr>
          <w:color w:val="000000"/>
          <w:sz w:val="32"/>
          <w:szCs w:val="32"/>
        </w:rPr>
      </w:pPr>
    </w:p>
    <w:p>
      <w:pPr>
        <w:rPr>
          <w:rFonts w:hint="eastAsia"/>
          <w:color w:val="000000"/>
          <w:sz w:val="32"/>
          <w:szCs w:val="32"/>
        </w:rPr>
      </w:pPr>
    </w:p>
    <w:p>
      <w:pPr>
        <w:jc w:val="center"/>
        <w:rPr>
          <w:color w:val="000000"/>
          <w:sz w:val="32"/>
          <w:szCs w:val="32"/>
        </w:rPr>
      </w:pPr>
    </w:p>
    <w:p>
      <w:pPr>
        <w:rPr>
          <w:rFonts w:hint="eastAsia"/>
          <w:color w:val="000000"/>
          <w:sz w:val="32"/>
          <w:szCs w:val="32"/>
        </w:rPr>
      </w:pPr>
    </w:p>
    <w:p>
      <w:pPr>
        <w:jc w:val="center"/>
        <w:rPr>
          <w:color w:val="000000"/>
          <w:sz w:val="32"/>
          <w:szCs w:val="32"/>
        </w:rPr>
      </w:pPr>
    </w:p>
    <w:p>
      <w:pPr>
        <w:jc w:val="center"/>
        <w:rPr>
          <w:color w:val="000000"/>
          <w:sz w:val="32"/>
          <w:szCs w:val="32"/>
        </w:rPr>
      </w:pPr>
    </w:p>
    <w:p>
      <w:pPr>
        <w:spacing w:line="360" w:lineRule="auto"/>
        <w:ind w:firstLine="1120" w:firstLineChars="400"/>
        <w:rPr>
          <w:rFonts w:ascii="宋体" w:hAnsi="宋体"/>
          <w:color w:val="000000"/>
          <w:sz w:val="28"/>
          <w:szCs w:val="28"/>
          <w:u w:val="single"/>
        </w:rPr>
      </w:pPr>
      <w:r>
        <w:rPr>
          <w:rFonts w:ascii="宋体" w:hAnsi="宋体"/>
          <w:color w:val="000000"/>
          <w:sz w:val="28"/>
          <w:szCs w:val="28"/>
        </w:rPr>
        <w:t>投标内容：</w:t>
      </w:r>
      <w:r>
        <w:rPr>
          <w:rFonts w:ascii="宋体" w:hAnsi="宋体"/>
          <w:color w:val="000000"/>
          <w:sz w:val="28"/>
          <w:szCs w:val="28"/>
          <w:u w:val="single"/>
        </w:rPr>
        <w:t xml:space="preserve">            </w:t>
      </w:r>
      <w:r>
        <w:rPr>
          <w:rFonts w:hint="eastAsia" w:ascii="宋体" w:hAnsi="宋体"/>
          <w:color w:val="000000"/>
          <w:sz w:val="28"/>
          <w:szCs w:val="28"/>
          <w:u w:val="single"/>
        </w:rPr>
        <w:t xml:space="preserve">  资信业绩</w:t>
      </w:r>
      <w:r>
        <w:rPr>
          <w:rFonts w:ascii="宋体" w:hAnsi="宋体"/>
          <w:color w:val="000000"/>
          <w:sz w:val="28"/>
          <w:szCs w:val="28"/>
          <w:u w:val="single"/>
        </w:rPr>
        <w:t xml:space="preserve">         </w:t>
      </w:r>
    </w:p>
    <w:p>
      <w:pPr>
        <w:spacing w:line="360" w:lineRule="auto"/>
        <w:ind w:firstLine="1120" w:firstLineChars="400"/>
        <w:rPr>
          <w:rFonts w:ascii="宋体" w:hAnsi="宋体"/>
          <w:color w:val="000000"/>
          <w:sz w:val="28"/>
          <w:szCs w:val="28"/>
          <w:u w:val="single"/>
        </w:rPr>
      </w:pPr>
    </w:p>
    <w:p>
      <w:pPr>
        <w:spacing w:line="360" w:lineRule="auto"/>
        <w:ind w:firstLine="1120" w:firstLineChars="400"/>
        <w:rPr>
          <w:color w:val="000000"/>
          <w:sz w:val="28"/>
          <w:szCs w:val="28"/>
        </w:rPr>
      </w:pPr>
      <w:r>
        <w:rPr>
          <w:color w:val="000000"/>
          <w:sz w:val="28"/>
          <w:szCs w:val="28"/>
        </w:rPr>
        <w:t>投标人：</w:t>
      </w:r>
      <w:r>
        <w:rPr>
          <w:color w:val="000000"/>
          <w:sz w:val="28"/>
          <w:szCs w:val="28"/>
          <w:u w:val="single"/>
        </w:rPr>
        <w:t xml:space="preserve">                                </w:t>
      </w:r>
      <w:r>
        <w:rPr>
          <w:color w:val="000000"/>
          <w:sz w:val="28"/>
          <w:szCs w:val="28"/>
        </w:rPr>
        <w:t>（盖单位章）</w:t>
      </w:r>
    </w:p>
    <w:p>
      <w:pPr>
        <w:spacing w:line="360" w:lineRule="auto"/>
        <w:ind w:firstLine="1120" w:firstLineChars="400"/>
        <w:rPr>
          <w:color w:val="000000"/>
          <w:sz w:val="28"/>
          <w:szCs w:val="28"/>
        </w:rPr>
      </w:pPr>
    </w:p>
    <w:p>
      <w:pPr>
        <w:spacing w:line="360" w:lineRule="auto"/>
        <w:ind w:firstLine="1120" w:firstLineChars="400"/>
        <w:rPr>
          <w:rFonts w:hint="eastAsia"/>
          <w:color w:val="000000"/>
          <w:sz w:val="28"/>
          <w:szCs w:val="28"/>
        </w:rPr>
      </w:pPr>
    </w:p>
    <w:p>
      <w:pPr>
        <w:spacing w:line="360" w:lineRule="auto"/>
        <w:ind w:firstLine="4200" w:firstLineChars="1500"/>
        <w:rPr>
          <w:color w:val="000000"/>
          <w:sz w:val="28"/>
          <w:szCs w:val="28"/>
        </w:rPr>
      </w:pPr>
      <w:r>
        <w:rPr>
          <w:color w:val="000000"/>
          <w:sz w:val="28"/>
          <w:szCs w:val="28"/>
          <w:u w:val="single"/>
        </w:rPr>
        <w:t xml:space="preserve">         </w:t>
      </w:r>
      <w:r>
        <w:rPr>
          <w:color w:val="000000"/>
          <w:sz w:val="28"/>
          <w:szCs w:val="28"/>
        </w:rPr>
        <w:t>年</w:t>
      </w:r>
      <w:r>
        <w:rPr>
          <w:color w:val="000000"/>
          <w:sz w:val="28"/>
          <w:szCs w:val="28"/>
          <w:u w:val="single"/>
        </w:rPr>
        <w:t xml:space="preserve">      </w:t>
      </w:r>
      <w:r>
        <w:rPr>
          <w:color w:val="000000"/>
          <w:sz w:val="28"/>
          <w:szCs w:val="28"/>
        </w:rPr>
        <w:t>月</w:t>
      </w:r>
      <w:r>
        <w:rPr>
          <w:color w:val="000000"/>
          <w:sz w:val="28"/>
          <w:szCs w:val="28"/>
          <w:u w:val="single"/>
        </w:rPr>
        <w:t xml:space="preserve">     </w:t>
      </w:r>
      <w:r>
        <w:rPr>
          <w:color w:val="000000"/>
          <w:sz w:val="28"/>
          <w:szCs w:val="28"/>
        </w:rPr>
        <w:t>日</w:t>
      </w:r>
    </w:p>
    <w:p>
      <w:pPr>
        <w:spacing w:line="360" w:lineRule="auto"/>
        <w:ind w:firstLine="420"/>
        <w:rPr>
          <w:rFonts w:hint="eastAsia"/>
          <w:color w:val="000000"/>
          <w:sz w:val="28"/>
          <w:szCs w:val="28"/>
        </w:rPr>
      </w:pPr>
      <w:r>
        <w:rPr>
          <w:color w:val="000000"/>
        </w:rPr>
        <w:br w:type="page"/>
      </w:r>
    </w:p>
    <w:p>
      <w:pPr>
        <w:pStyle w:val="4"/>
        <w:jc w:val="center"/>
        <w:rPr>
          <w:rFonts w:hint="eastAsia"/>
          <w:color w:val="000000"/>
          <w:sz w:val="30"/>
          <w:szCs w:val="30"/>
        </w:rPr>
      </w:pPr>
      <w:bookmarkStart w:id="1775" w:name="_Toc59203275"/>
      <w:r>
        <w:rPr>
          <w:rFonts w:hint="eastAsia"/>
          <w:color w:val="000000"/>
          <w:sz w:val="30"/>
          <w:szCs w:val="30"/>
        </w:rPr>
        <w:t>资</w:t>
      </w:r>
      <w:r>
        <w:rPr>
          <w:color w:val="000000"/>
          <w:sz w:val="30"/>
          <w:szCs w:val="30"/>
        </w:rPr>
        <w:t>信业绩</w:t>
      </w:r>
      <w:bookmarkEnd w:id="1775"/>
    </w:p>
    <w:p>
      <w:pPr>
        <w:jc w:val="center"/>
        <w:rPr>
          <w:rFonts w:ascii="宋体" w:hAnsi="宋体"/>
          <w:color w:val="000000"/>
          <w:sz w:val="24"/>
        </w:rPr>
      </w:pPr>
      <w:r>
        <w:rPr>
          <w:rFonts w:hint="eastAsia" w:ascii="宋体" w:hAnsi="宋体"/>
          <w:color w:val="000000"/>
          <w:sz w:val="24"/>
        </w:rPr>
        <w:t>（格式自拟）</w:t>
      </w:r>
    </w:p>
    <w:p>
      <w:pPr>
        <w:jc w:val="center"/>
        <w:rPr>
          <w:rFonts w:hint="eastAsia" w:ascii="宋体" w:hAnsi="宋体"/>
          <w:color w:val="000000"/>
          <w:sz w:val="24"/>
        </w:rPr>
      </w:pPr>
    </w:p>
    <w:p>
      <w:pPr>
        <w:spacing w:line="360" w:lineRule="auto"/>
        <w:rPr>
          <w:rFonts w:hint="eastAsia"/>
          <w:b/>
          <w:color w:val="000000"/>
          <w:sz w:val="28"/>
          <w:szCs w:val="28"/>
        </w:rPr>
      </w:pPr>
      <w:r>
        <w:rPr>
          <w:b/>
          <w:color w:val="000000"/>
          <w:sz w:val="28"/>
          <w:szCs w:val="28"/>
        </w:rPr>
        <w:t>1</w:t>
      </w:r>
      <w:r>
        <w:rPr>
          <w:rFonts w:hint="eastAsia"/>
          <w:b/>
          <w:color w:val="000000"/>
          <w:sz w:val="28"/>
          <w:szCs w:val="28"/>
        </w:rPr>
        <w:t>、拟投入本项目管理人员配备情况（设计及施工）</w:t>
      </w:r>
    </w:p>
    <w:p>
      <w:pPr>
        <w:rPr>
          <w:rFonts w:hint="eastAsia" w:ascii="宋体" w:hAnsi="宋体"/>
          <w:b/>
          <w:color w:val="000000"/>
          <w:sz w:val="24"/>
        </w:rPr>
      </w:pPr>
      <w:r>
        <w:rPr>
          <w:rFonts w:ascii="宋体" w:hAnsi="宋体"/>
          <w:b/>
          <w:color w:val="000000"/>
          <w:sz w:val="24"/>
        </w:rPr>
        <w:t>1</w:t>
      </w:r>
      <w:r>
        <w:rPr>
          <w:rFonts w:hint="eastAsia" w:ascii="宋体" w:hAnsi="宋体"/>
          <w:b/>
          <w:color w:val="000000"/>
          <w:sz w:val="24"/>
        </w:rPr>
        <w:t>.1总承包</w:t>
      </w:r>
      <w:r>
        <w:rPr>
          <w:rFonts w:ascii="宋体" w:hAnsi="宋体"/>
          <w:b/>
          <w:color w:val="000000"/>
          <w:sz w:val="24"/>
        </w:rPr>
        <w:t>管理机构配备情况表</w:t>
      </w:r>
    </w:p>
    <w:p>
      <w:pPr>
        <w:pStyle w:val="358"/>
        <w:rPr>
          <w:color w:val="000000"/>
        </w:rPr>
      </w:pP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9"/>
        <w:gridCol w:w="816"/>
        <w:gridCol w:w="1148"/>
        <w:gridCol w:w="1148"/>
        <w:gridCol w:w="1148"/>
        <w:gridCol w:w="1148"/>
        <w:gridCol w:w="850"/>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467" w:hRule="atLeast"/>
          <w:jc w:val="center"/>
        </w:trPr>
        <w:tc>
          <w:tcPr>
            <w:tcW w:w="993" w:type="dxa"/>
            <w:vMerge w:val="restart"/>
            <w:noWrap w:val="0"/>
            <w:vAlign w:val="center"/>
          </w:tcPr>
          <w:p>
            <w:pPr>
              <w:ind w:left="223" w:hanging="222" w:hangingChars="106"/>
              <w:jc w:val="center"/>
              <w:rPr>
                <w:color w:val="000000"/>
              </w:rPr>
            </w:pPr>
            <w:r>
              <w:rPr>
                <w:color w:val="000000"/>
              </w:rPr>
              <w:t>岗位</w:t>
            </w:r>
          </w:p>
        </w:tc>
        <w:tc>
          <w:tcPr>
            <w:tcW w:w="829" w:type="dxa"/>
            <w:vMerge w:val="restart"/>
            <w:noWrap w:val="0"/>
            <w:vAlign w:val="center"/>
          </w:tcPr>
          <w:p>
            <w:pPr>
              <w:ind w:left="223" w:hanging="222" w:hangingChars="106"/>
              <w:jc w:val="center"/>
              <w:rPr>
                <w:color w:val="000000"/>
              </w:rPr>
            </w:pPr>
            <w:r>
              <w:rPr>
                <w:color w:val="000000"/>
              </w:rPr>
              <w:t>姓名</w:t>
            </w:r>
          </w:p>
        </w:tc>
        <w:tc>
          <w:tcPr>
            <w:tcW w:w="816" w:type="dxa"/>
            <w:vMerge w:val="restart"/>
            <w:noWrap w:val="0"/>
            <w:vAlign w:val="center"/>
          </w:tcPr>
          <w:p>
            <w:pPr>
              <w:ind w:left="223" w:hanging="222" w:hangingChars="106"/>
              <w:jc w:val="center"/>
              <w:rPr>
                <w:color w:val="000000"/>
              </w:rPr>
            </w:pPr>
            <w:r>
              <w:rPr>
                <w:color w:val="000000"/>
              </w:rPr>
              <w:t>职称</w:t>
            </w:r>
          </w:p>
        </w:tc>
        <w:tc>
          <w:tcPr>
            <w:tcW w:w="4592" w:type="dxa"/>
            <w:gridSpan w:val="4"/>
            <w:noWrap w:val="0"/>
            <w:vAlign w:val="center"/>
          </w:tcPr>
          <w:p>
            <w:pPr>
              <w:ind w:left="223" w:hanging="222" w:hangingChars="106"/>
              <w:jc w:val="center"/>
              <w:rPr>
                <w:color w:val="000000"/>
              </w:rPr>
            </w:pPr>
            <w:r>
              <w:rPr>
                <w:color w:val="000000"/>
              </w:rPr>
              <w:t>执业或职业资格证明</w:t>
            </w:r>
          </w:p>
        </w:tc>
        <w:tc>
          <w:tcPr>
            <w:tcW w:w="2529" w:type="dxa"/>
            <w:gridSpan w:val="2"/>
            <w:noWrap w:val="0"/>
            <w:vAlign w:val="center"/>
          </w:tcPr>
          <w:p>
            <w:pPr>
              <w:ind w:left="223" w:hanging="222" w:hangingChars="106"/>
              <w:jc w:val="center"/>
              <w:rPr>
                <w:color w:val="000000"/>
              </w:rPr>
            </w:pPr>
            <w:r>
              <w:rPr>
                <w:color w:val="000000"/>
              </w:rPr>
              <w:t>承担完工工程情况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444" w:hRule="atLeast"/>
          <w:jc w:val="center"/>
        </w:trPr>
        <w:tc>
          <w:tcPr>
            <w:tcW w:w="993" w:type="dxa"/>
            <w:vMerge w:val="continue"/>
            <w:noWrap w:val="0"/>
            <w:vAlign w:val="center"/>
          </w:tcPr>
          <w:p>
            <w:pPr>
              <w:ind w:left="223" w:hanging="222" w:hangingChars="106"/>
              <w:jc w:val="center"/>
              <w:rPr>
                <w:color w:val="000000"/>
              </w:rPr>
            </w:pPr>
          </w:p>
        </w:tc>
        <w:tc>
          <w:tcPr>
            <w:tcW w:w="829" w:type="dxa"/>
            <w:vMerge w:val="continue"/>
            <w:noWrap w:val="0"/>
            <w:vAlign w:val="center"/>
          </w:tcPr>
          <w:p>
            <w:pPr>
              <w:ind w:left="223" w:hanging="222" w:hangingChars="106"/>
              <w:jc w:val="center"/>
              <w:rPr>
                <w:color w:val="000000"/>
              </w:rPr>
            </w:pPr>
          </w:p>
        </w:tc>
        <w:tc>
          <w:tcPr>
            <w:tcW w:w="816" w:type="dxa"/>
            <w:vMerge w:val="continue"/>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r>
              <w:rPr>
                <w:color w:val="000000"/>
              </w:rPr>
              <w:t>证书名称</w:t>
            </w:r>
          </w:p>
        </w:tc>
        <w:tc>
          <w:tcPr>
            <w:tcW w:w="1148" w:type="dxa"/>
            <w:noWrap w:val="0"/>
            <w:vAlign w:val="center"/>
          </w:tcPr>
          <w:p>
            <w:pPr>
              <w:ind w:left="223" w:hanging="222" w:hangingChars="106"/>
              <w:jc w:val="center"/>
              <w:rPr>
                <w:color w:val="000000"/>
              </w:rPr>
            </w:pPr>
            <w:r>
              <w:rPr>
                <w:color w:val="000000"/>
              </w:rPr>
              <w:t>级别</w:t>
            </w:r>
          </w:p>
        </w:tc>
        <w:tc>
          <w:tcPr>
            <w:tcW w:w="1148" w:type="dxa"/>
            <w:noWrap w:val="0"/>
            <w:vAlign w:val="center"/>
          </w:tcPr>
          <w:p>
            <w:pPr>
              <w:ind w:left="223" w:hanging="222" w:hangingChars="106"/>
              <w:jc w:val="center"/>
              <w:rPr>
                <w:color w:val="000000"/>
              </w:rPr>
            </w:pPr>
            <w:r>
              <w:rPr>
                <w:color w:val="000000"/>
              </w:rPr>
              <w:t>证号</w:t>
            </w:r>
          </w:p>
        </w:tc>
        <w:tc>
          <w:tcPr>
            <w:tcW w:w="1148" w:type="dxa"/>
            <w:noWrap w:val="0"/>
            <w:vAlign w:val="center"/>
          </w:tcPr>
          <w:p>
            <w:pPr>
              <w:ind w:left="223" w:hanging="222" w:hangingChars="106"/>
              <w:jc w:val="center"/>
              <w:rPr>
                <w:color w:val="000000"/>
              </w:rPr>
            </w:pPr>
            <w:r>
              <w:rPr>
                <w:color w:val="000000"/>
              </w:rPr>
              <w:t>专业</w:t>
            </w:r>
          </w:p>
        </w:tc>
        <w:tc>
          <w:tcPr>
            <w:tcW w:w="850" w:type="dxa"/>
            <w:noWrap w:val="0"/>
            <w:vAlign w:val="center"/>
          </w:tcPr>
          <w:p>
            <w:pPr>
              <w:ind w:left="223" w:hanging="222" w:hangingChars="106"/>
              <w:jc w:val="center"/>
              <w:rPr>
                <w:color w:val="000000"/>
              </w:rPr>
            </w:pPr>
            <w:r>
              <w:rPr>
                <w:color w:val="000000"/>
              </w:rPr>
              <w:t>项目数</w:t>
            </w:r>
          </w:p>
        </w:tc>
        <w:tc>
          <w:tcPr>
            <w:tcW w:w="1679" w:type="dxa"/>
            <w:noWrap w:val="0"/>
            <w:vAlign w:val="center"/>
          </w:tcPr>
          <w:p>
            <w:pPr>
              <w:ind w:left="223" w:hanging="222" w:hangingChars="106"/>
              <w:jc w:val="center"/>
              <w:rPr>
                <w:color w:val="000000"/>
              </w:rPr>
            </w:pPr>
            <w:r>
              <w:rPr>
                <w:color w:val="000000"/>
              </w:rPr>
              <w:t>主要项目</w:t>
            </w:r>
          </w:p>
          <w:p>
            <w:pPr>
              <w:ind w:left="223" w:hanging="222" w:hangingChars="106"/>
              <w:jc w:val="center"/>
              <w:rPr>
                <w:color w:val="000000"/>
              </w:rPr>
            </w:pPr>
            <w:r>
              <w:rPr>
                <w:color w:val="000000"/>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979" w:hRule="atLeast"/>
          <w:jc w:val="center"/>
        </w:trPr>
        <w:tc>
          <w:tcPr>
            <w:tcW w:w="9759" w:type="dxa"/>
            <w:gridSpan w:val="9"/>
            <w:noWrap w:val="0"/>
            <w:vAlign w:val="top"/>
          </w:tcPr>
          <w:p>
            <w:pPr>
              <w:spacing w:before="120" w:beforeLines="50" w:after="120" w:afterLines="50" w:line="360" w:lineRule="auto"/>
              <w:rPr>
                <w:color w:val="000000"/>
                <w:szCs w:val="21"/>
              </w:rPr>
            </w:pPr>
            <w:r>
              <w:rPr>
                <w:color w:val="000000"/>
                <w:szCs w:val="21"/>
              </w:rPr>
              <w:t>一旦我单位中标，将实行</w:t>
            </w:r>
            <w:r>
              <w:rPr>
                <w:rFonts w:hint="eastAsia"/>
                <w:color w:val="000000"/>
                <w:szCs w:val="21"/>
              </w:rPr>
              <w:t>工程总承包项目经理</w:t>
            </w:r>
            <w:r>
              <w:rPr>
                <w:color w:val="000000"/>
                <w:szCs w:val="21"/>
              </w:rPr>
              <w:t>负责制，我方保证并配备上述项目管理机构。上述填报内容真实，若不真实，愿按有关规定接受处理。项目管理班子机构设置、职责分工等情况另附资料说明。</w:t>
            </w:r>
          </w:p>
        </w:tc>
      </w:tr>
    </w:tbl>
    <w:p>
      <w:pPr>
        <w:tabs>
          <w:tab w:val="left" w:pos="0"/>
        </w:tabs>
        <w:spacing w:line="360" w:lineRule="auto"/>
        <w:ind w:right="-210"/>
        <w:rPr>
          <w:color w:val="000000"/>
        </w:rPr>
      </w:pPr>
    </w:p>
    <w:p>
      <w:pPr>
        <w:tabs>
          <w:tab w:val="left" w:pos="826"/>
        </w:tabs>
        <w:snapToGrid w:val="0"/>
        <w:spacing w:line="420" w:lineRule="exact"/>
        <w:rPr>
          <w:rFonts w:hint="eastAsia"/>
          <w:b/>
          <w:color w:val="000000"/>
          <w:szCs w:val="21"/>
        </w:rPr>
      </w:pPr>
      <w:r>
        <w:rPr>
          <w:color w:val="000000"/>
        </w:rPr>
        <w:br w:type="page"/>
      </w:r>
      <w:r>
        <w:rPr>
          <w:b/>
          <w:color w:val="000000"/>
          <w:szCs w:val="21"/>
        </w:rPr>
        <w:t>1</w:t>
      </w:r>
      <w:r>
        <w:rPr>
          <w:rFonts w:hint="eastAsia"/>
          <w:b/>
          <w:color w:val="000000"/>
          <w:szCs w:val="21"/>
        </w:rPr>
        <w:t>.2设计</w:t>
      </w:r>
      <w:r>
        <w:rPr>
          <w:b/>
          <w:color w:val="000000"/>
          <w:szCs w:val="21"/>
        </w:rPr>
        <w:t>管理机构配备情况表</w:t>
      </w:r>
    </w:p>
    <w:p>
      <w:pPr>
        <w:pStyle w:val="358"/>
        <w:rPr>
          <w:color w:val="000000"/>
        </w:rPr>
      </w:pP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9"/>
        <w:gridCol w:w="816"/>
        <w:gridCol w:w="1148"/>
        <w:gridCol w:w="1148"/>
        <w:gridCol w:w="1148"/>
        <w:gridCol w:w="1148"/>
        <w:gridCol w:w="850"/>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467" w:hRule="atLeast"/>
          <w:jc w:val="center"/>
        </w:trPr>
        <w:tc>
          <w:tcPr>
            <w:tcW w:w="993" w:type="dxa"/>
            <w:vMerge w:val="restart"/>
            <w:noWrap w:val="0"/>
            <w:vAlign w:val="center"/>
          </w:tcPr>
          <w:p>
            <w:pPr>
              <w:ind w:left="223" w:hanging="222" w:hangingChars="106"/>
              <w:jc w:val="center"/>
              <w:rPr>
                <w:color w:val="000000"/>
              </w:rPr>
            </w:pPr>
            <w:r>
              <w:rPr>
                <w:color w:val="000000"/>
              </w:rPr>
              <w:t>岗位</w:t>
            </w:r>
          </w:p>
        </w:tc>
        <w:tc>
          <w:tcPr>
            <w:tcW w:w="829" w:type="dxa"/>
            <w:vMerge w:val="restart"/>
            <w:noWrap w:val="0"/>
            <w:vAlign w:val="center"/>
          </w:tcPr>
          <w:p>
            <w:pPr>
              <w:ind w:left="223" w:hanging="222" w:hangingChars="106"/>
              <w:jc w:val="center"/>
              <w:rPr>
                <w:color w:val="000000"/>
              </w:rPr>
            </w:pPr>
            <w:r>
              <w:rPr>
                <w:color w:val="000000"/>
              </w:rPr>
              <w:t>姓名</w:t>
            </w:r>
          </w:p>
        </w:tc>
        <w:tc>
          <w:tcPr>
            <w:tcW w:w="816" w:type="dxa"/>
            <w:vMerge w:val="restart"/>
            <w:noWrap w:val="0"/>
            <w:vAlign w:val="center"/>
          </w:tcPr>
          <w:p>
            <w:pPr>
              <w:ind w:left="223" w:hanging="222" w:hangingChars="106"/>
              <w:jc w:val="center"/>
              <w:rPr>
                <w:color w:val="000000"/>
              </w:rPr>
            </w:pPr>
            <w:r>
              <w:rPr>
                <w:color w:val="000000"/>
              </w:rPr>
              <w:t>职称</w:t>
            </w:r>
          </w:p>
        </w:tc>
        <w:tc>
          <w:tcPr>
            <w:tcW w:w="4592" w:type="dxa"/>
            <w:gridSpan w:val="4"/>
            <w:noWrap w:val="0"/>
            <w:vAlign w:val="center"/>
          </w:tcPr>
          <w:p>
            <w:pPr>
              <w:ind w:left="223" w:hanging="222" w:hangingChars="106"/>
              <w:jc w:val="center"/>
              <w:rPr>
                <w:color w:val="000000"/>
              </w:rPr>
            </w:pPr>
            <w:r>
              <w:rPr>
                <w:color w:val="000000"/>
              </w:rPr>
              <w:t>执业或职业资格证明</w:t>
            </w:r>
          </w:p>
        </w:tc>
        <w:tc>
          <w:tcPr>
            <w:tcW w:w="2529" w:type="dxa"/>
            <w:gridSpan w:val="2"/>
            <w:noWrap w:val="0"/>
            <w:vAlign w:val="center"/>
          </w:tcPr>
          <w:p>
            <w:pPr>
              <w:ind w:left="223" w:hanging="222" w:hangingChars="106"/>
              <w:jc w:val="center"/>
              <w:rPr>
                <w:color w:val="000000"/>
              </w:rPr>
            </w:pPr>
            <w:r>
              <w:rPr>
                <w:color w:val="000000"/>
              </w:rPr>
              <w:t>承担完工工程情况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444" w:hRule="atLeast"/>
          <w:jc w:val="center"/>
        </w:trPr>
        <w:tc>
          <w:tcPr>
            <w:tcW w:w="993" w:type="dxa"/>
            <w:vMerge w:val="continue"/>
            <w:noWrap w:val="0"/>
            <w:vAlign w:val="center"/>
          </w:tcPr>
          <w:p>
            <w:pPr>
              <w:ind w:left="223" w:hanging="222" w:hangingChars="106"/>
              <w:jc w:val="center"/>
              <w:rPr>
                <w:color w:val="000000"/>
              </w:rPr>
            </w:pPr>
          </w:p>
        </w:tc>
        <w:tc>
          <w:tcPr>
            <w:tcW w:w="829" w:type="dxa"/>
            <w:vMerge w:val="continue"/>
            <w:noWrap w:val="0"/>
            <w:vAlign w:val="center"/>
          </w:tcPr>
          <w:p>
            <w:pPr>
              <w:ind w:left="223" w:hanging="222" w:hangingChars="106"/>
              <w:jc w:val="center"/>
              <w:rPr>
                <w:color w:val="000000"/>
              </w:rPr>
            </w:pPr>
          </w:p>
        </w:tc>
        <w:tc>
          <w:tcPr>
            <w:tcW w:w="816" w:type="dxa"/>
            <w:vMerge w:val="continue"/>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r>
              <w:rPr>
                <w:color w:val="000000"/>
              </w:rPr>
              <w:t>证书名称</w:t>
            </w:r>
          </w:p>
        </w:tc>
        <w:tc>
          <w:tcPr>
            <w:tcW w:w="1148" w:type="dxa"/>
            <w:noWrap w:val="0"/>
            <w:vAlign w:val="center"/>
          </w:tcPr>
          <w:p>
            <w:pPr>
              <w:ind w:left="223" w:hanging="222" w:hangingChars="106"/>
              <w:jc w:val="center"/>
              <w:rPr>
                <w:color w:val="000000"/>
              </w:rPr>
            </w:pPr>
            <w:r>
              <w:rPr>
                <w:color w:val="000000"/>
              </w:rPr>
              <w:t>级别</w:t>
            </w:r>
          </w:p>
        </w:tc>
        <w:tc>
          <w:tcPr>
            <w:tcW w:w="1148" w:type="dxa"/>
            <w:noWrap w:val="0"/>
            <w:vAlign w:val="center"/>
          </w:tcPr>
          <w:p>
            <w:pPr>
              <w:ind w:left="223" w:hanging="222" w:hangingChars="106"/>
              <w:jc w:val="center"/>
              <w:rPr>
                <w:color w:val="000000"/>
              </w:rPr>
            </w:pPr>
            <w:r>
              <w:rPr>
                <w:color w:val="000000"/>
              </w:rPr>
              <w:t>证号</w:t>
            </w:r>
          </w:p>
        </w:tc>
        <w:tc>
          <w:tcPr>
            <w:tcW w:w="1148" w:type="dxa"/>
            <w:noWrap w:val="0"/>
            <w:vAlign w:val="center"/>
          </w:tcPr>
          <w:p>
            <w:pPr>
              <w:ind w:left="223" w:hanging="222" w:hangingChars="106"/>
              <w:jc w:val="center"/>
              <w:rPr>
                <w:color w:val="000000"/>
              </w:rPr>
            </w:pPr>
            <w:r>
              <w:rPr>
                <w:color w:val="000000"/>
              </w:rPr>
              <w:t>专业</w:t>
            </w:r>
          </w:p>
        </w:tc>
        <w:tc>
          <w:tcPr>
            <w:tcW w:w="850" w:type="dxa"/>
            <w:noWrap w:val="0"/>
            <w:vAlign w:val="center"/>
          </w:tcPr>
          <w:p>
            <w:pPr>
              <w:ind w:left="223" w:hanging="222" w:hangingChars="106"/>
              <w:jc w:val="center"/>
              <w:rPr>
                <w:color w:val="000000"/>
              </w:rPr>
            </w:pPr>
            <w:r>
              <w:rPr>
                <w:color w:val="000000"/>
              </w:rPr>
              <w:t>项目数</w:t>
            </w:r>
          </w:p>
        </w:tc>
        <w:tc>
          <w:tcPr>
            <w:tcW w:w="1679" w:type="dxa"/>
            <w:noWrap w:val="0"/>
            <w:vAlign w:val="center"/>
          </w:tcPr>
          <w:p>
            <w:pPr>
              <w:ind w:left="223" w:hanging="222" w:hangingChars="106"/>
              <w:jc w:val="center"/>
              <w:rPr>
                <w:color w:val="000000"/>
              </w:rPr>
            </w:pPr>
            <w:r>
              <w:rPr>
                <w:color w:val="000000"/>
              </w:rPr>
              <w:t>主要项目</w:t>
            </w:r>
          </w:p>
          <w:p>
            <w:pPr>
              <w:ind w:left="223" w:hanging="222" w:hangingChars="106"/>
              <w:jc w:val="center"/>
              <w:rPr>
                <w:color w:val="000000"/>
              </w:rPr>
            </w:pPr>
            <w:r>
              <w:rPr>
                <w:color w:val="000000"/>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979" w:hRule="atLeast"/>
          <w:jc w:val="center"/>
        </w:trPr>
        <w:tc>
          <w:tcPr>
            <w:tcW w:w="9759" w:type="dxa"/>
            <w:gridSpan w:val="9"/>
            <w:noWrap w:val="0"/>
            <w:vAlign w:val="top"/>
          </w:tcPr>
          <w:p>
            <w:pPr>
              <w:spacing w:before="120" w:beforeLines="50" w:after="120" w:afterLines="50" w:line="360" w:lineRule="auto"/>
              <w:rPr>
                <w:color w:val="000000"/>
                <w:szCs w:val="21"/>
              </w:rPr>
            </w:pPr>
            <w:r>
              <w:rPr>
                <w:color w:val="000000"/>
                <w:szCs w:val="21"/>
              </w:rPr>
              <w:t>一旦我单位中标，将实行</w:t>
            </w:r>
            <w:r>
              <w:rPr>
                <w:rFonts w:hint="eastAsia"/>
                <w:color w:val="000000"/>
                <w:szCs w:val="21"/>
              </w:rPr>
              <w:t>设计负责人</w:t>
            </w:r>
            <w:r>
              <w:rPr>
                <w:color w:val="000000"/>
                <w:szCs w:val="21"/>
              </w:rPr>
              <w:t>负责制，我方保证并配备上述项目管理机构。上述填报内容真实，若不真实，愿按有关规定接受处理。项目管理班子机构设置、职责分工等情况另附资料说明。</w:t>
            </w:r>
          </w:p>
        </w:tc>
      </w:tr>
    </w:tbl>
    <w:p>
      <w:pPr>
        <w:tabs>
          <w:tab w:val="left" w:pos="0"/>
        </w:tabs>
        <w:spacing w:line="360" w:lineRule="auto"/>
        <w:ind w:right="-210"/>
        <w:rPr>
          <w:color w:val="000000"/>
        </w:rPr>
      </w:pPr>
    </w:p>
    <w:p>
      <w:pPr>
        <w:tabs>
          <w:tab w:val="left" w:pos="826"/>
        </w:tabs>
        <w:snapToGrid w:val="0"/>
        <w:spacing w:line="420" w:lineRule="exact"/>
        <w:rPr>
          <w:rFonts w:hint="eastAsia"/>
          <w:b/>
          <w:color w:val="000000"/>
          <w:szCs w:val="21"/>
        </w:rPr>
      </w:pPr>
      <w:r>
        <w:rPr>
          <w:color w:val="000000"/>
        </w:rPr>
        <w:br w:type="page"/>
      </w:r>
      <w:r>
        <w:rPr>
          <w:b/>
          <w:color w:val="000000"/>
          <w:szCs w:val="21"/>
        </w:rPr>
        <w:t>1</w:t>
      </w:r>
      <w:r>
        <w:rPr>
          <w:rFonts w:hint="eastAsia"/>
          <w:b/>
          <w:color w:val="000000"/>
          <w:szCs w:val="21"/>
        </w:rPr>
        <w:t>.3施工</w:t>
      </w:r>
      <w:r>
        <w:rPr>
          <w:b/>
          <w:color w:val="000000"/>
          <w:szCs w:val="21"/>
        </w:rPr>
        <w:t>管理机构配备情况表</w:t>
      </w:r>
    </w:p>
    <w:p>
      <w:pPr>
        <w:pStyle w:val="358"/>
        <w:rPr>
          <w:color w:val="000000"/>
        </w:rPr>
      </w:pPr>
      <w:r>
        <w:rPr>
          <w:color w:val="000000"/>
          <w:u w:val="single"/>
        </w:rPr>
        <w:t xml:space="preserve">           </w:t>
      </w:r>
      <w:r>
        <w:rPr>
          <w:rFonts w:hint="eastAsia"/>
          <w:color w:val="000000"/>
          <w:u w:val="single"/>
        </w:rPr>
        <w:t xml:space="preserve">  </w:t>
      </w:r>
      <w:r>
        <w:rPr>
          <w:color w:val="000000"/>
          <w:u w:val="single"/>
        </w:rPr>
        <w:t xml:space="preserve">        </w:t>
      </w:r>
      <w:r>
        <w:rPr>
          <w:color w:val="000000"/>
        </w:rPr>
        <w:t xml:space="preserve"> 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9"/>
        <w:gridCol w:w="816"/>
        <w:gridCol w:w="1148"/>
        <w:gridCol w:w="1148"/>
        <w:gridCol w:w="1148"/>
        <w:gridCol w:w="1148"/>
        <w:gridCol w:w="850"/>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467" w:hRule="atLeast"/>
          <w:jc w:val="center"/>
        </w:trPr>
        <w:tc>
          <w:tcPr>
            <w:tcW w:w="993" w:type="dxa"/>
            <w:vMerge w:val="restart"/>
            <w:noWrap w:val="0"/>
            <w:vAlign w:val="center"/>
          </w:tcPr>
          <w:p>
            <w:pPr>
              <w:ind w:left="223" w:hanging="222" w:hangingChars="106"/>
              <w:jc w:val="center"/>
              <w:rPr>
                <w:color w:val="000000"/>
              </w:rPr>
            </w:pPr>
            <w:r>
              <w:rPr>
                <w:color w:val="000000"/>
              </w:rPr>
              <w:t>岗位</w:t>
            </w:r>
          </w:p>
        </w:tc>
        <w:tc>
          <w:tcPr>
            <w:tcW w:w="829" w:type="dxa"/>
            <w:vMerge w:val="restart"/>
            <w:noWrap w:val="0"/>
            <w:vAlign w:val="center"/>
          </w:tcPr>
          <w:p>
            <w:pPr>
              <w:ind w:left="223" w:hanging="222" w:hangingChars="106"/>
              <w:jc w:val="center"/>
              <w:rPr>
                <w:color w:val="000000"/>
              </w:rPr>
            </w:pPr>
            <w:r>
              <w:rPr>
                <w:color w:val="000000"/>
              </w:rPr>
              <w:t>姓名</w:t>
            </w:r>
          </w:p>
        </w:tc>
        <w:tc>
          <w:tcPr>
            <w:tcW w:w="816" w:type="dxa"/>
            <w:vMerge w:val="restart"/>
            <w:noWrap w:val="0"/>
            <w:vAlign w:val="center"/>
          </w:tcPr>
          <w:p>
            <w:pPr>
              <w:ind w:left="223" w:hanging="222" w:hangingChars="106"/>
              <w:jc w:val="center"/>
              <w:rPr>
                <w:color w:val="000000"/>
              </w:rPr>
            </w:pPr>
            <w:r>
              <w:rPr>
                <w:color w:val="000000"/>
              </w:rPr>
              <w:t>职称</w:t>
            </w:r>
          </w:p>
        </w:tc>
        <w:tc>
          <w:tcPr>
            <w:tcW w:w="4592" w:type="dxa"/>
            <w:gridSpan w:val="4"/>
            <w:noWrap w:val="0"/>
            <w:vAlign w:val="center"/>
          </w:tcPr>
          <w:p>
            <w:pPr>
              <w:ind w:left="223" w:hanging="222" w:hangingChars="106"/>
              <w:jc w:val="center"/>
              <w:rPr>
                <w:color w:val="000000"/>
              </w:rPr>
            </w:pPr>
            <w:r>
              <w:rPr>
                <w:color w:val="000000"/>
              </w:rPr>
              <w:t>执业或职业资格证明</w:t>
            </w:r>
          </w:p>
        </w:tc>
        <w:tc>
          <w:tcPr>
            <w:tcW w:w="2529" w:type="dxa"/>
            <w:gridSpan w:val="2"/>
            <w:noWrap w:val="0"/>
            <w:vAlign w:val="center"/>
          </w:tcPr>
          <w:p>
            <w:pPr>
              <w:ind w:left="223" w:hanging="222" w:hangingChars="106"/>
              <w:jc w:val="center"/>
              <w:rPr>
                <w:color w:val="000000"/>
              </w:rPr>
            </w:pPr>
            <w:r>
              <w:rPr>
                <w:color w:val="000000"/>
              </w:rPr>
              <w:t>承担完工工程情况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444" w:hRule="atLeast"/>
          <w:jc w:val="center"/>
        </w:trPr>
        <w:tc>
          <w:tcPr>
            <w:tcW w:w="993" w:type="dxa"/>
            <w:vMerge w:val="continue"/>
            <w:noWrap w:val="0"/>
            <w:vAlign w:val="center"/>
          </w:tcPr>
          <w:p>
            <w:pPr>
              <w:ind w:left="223" w:hanging="222" w:hangingChars="106"/>
              <w:jc w:val="center"/>
              <w:rPr>
                <w:color w:val="000000"/>
              </w:rPr>
            </w:pPr>
          </w:p>
        </w:tc>
        <w:tc>
          <w:tcPr>
            <w:tcW w:w="829" w:type="dxa"/>
            <w:vMerge w:val="continue"/>
            <w:noWrap w:val="0"/>
            <w:vAlign w:val="center"/>
          </w:tcPr>
          <w:p>
            <w:pPr>
              <w:ind w:left="223" w:hanging="222" w:hangingChars="106"/>
              <w:jc w:val="center"/>
              <w:rPr>
                <w:color w:val="000000"/>
              </w:rPr>
            </w:pPr>
          </w:p>
        </w:tc>
        <w:tc>
          <w:tcPr>
            <w:tcW w:w="816" w:type="dxa"/>
            <w:vMerge w:val="continue"/>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r>
              <w:rPr>
                <w:color w:val="000000"/>
              </w:rPr>
              <w:t>证书名称</w:t>
            </w:r>
          </w:p>
        </w:tc>
        <w:tc>
          <w:tcPr>
            <w:tcW w:w="1148" w:type="dxa"/>
            <w:noWrap w:val="0"/>
            <w:vAlign w:val="center"/>
          </w:tcPr>
          <w:p>
            <w:pPr>
              <w:ind w:left="223" w:hanging="222" w:hangingChars="106"/>
              <w:jc w:val="center"/>
              <w:rPr>
                <w:color w:val="000000"/>
              </w:rPr>
            </w:pPr>
            <w:r>
              <w:rPr>
                <w:color w:val="000000"/>
              </w:rPr>
              <w:t>级别</w:t>
            </w:r>
          </w:p>
        </w:tc>
        <w:tc>
          <w:tcPr>
            <w:tcW w:w="1148" w:type="dxa"/>
            <w:noWrap w:val="0"/>
            <w:vAlign w:val="center"/>
          </w:tcPr>
          <w:p>
            <w:pPr>
              <w:ind w:left="223" w:hanging="222" w:hangingChars="106"/>
              <w:jc w:val="center"/>
              <w:rPr>
                <w:color w:val="000000"/>
              </w:rPr>
            </w:pPr>
            <w:r>
              <w:rPr>
                <w:color w:val="000000"/>
              </w:rPr>
              <w:t>证号</w:t>
            </w:r>
          </w:p>
        </w:tc>
        <w:tc>
          <w:tcPr>
            <w:tcW w:w="1148" w:type="dxa"/>
            <w:noWrap w:val="0"/>
            <w:vAlign w:val="center"/>
          </w:tcPr>
          <w:p>
            <w:pPr>
              <w:ind w:left="223" w:hanging="222" w:hangingChars="106"/>
              <w:jc w:val="center"/>
              <w:rPr>
                <w:color w:val="000000"/>
              </w:rPr>
            </w:pPr>
            <w:r>
              <w:rPr>
                <w:color w:val="000000"/>
              </w:rPr>
              <w:t>专业</w:t>
            </w:r>
          </w:p>
        </w:tc>
        <w:tc>
          <w:tcPr>
            <w:tcW w:w="850" w:type="dxa"/>
            <w:noWrap w:val="0"/>
            <w:vAlign w:val="center"/>
          </w:tcPr>
          <w:p>
            <w:pPr>
              <w:ind w:left="223" w:hanging="222" w:hangingChars="106"/>
              <w:jc w:val="center"/>
              <w:rPr>
                <w:color w:val="000000"/>
              </w:rPr>
            </w:pPr>
            <w:r>
              <w:rPr>
                <w:color w:val="000000"/>
              </w:rPr>
              <w:t>项目数</w:t>
            </w:r>
          </w:p>
        </w:tc>
        <w:tc>
          <w:tcPr>
            <w:tcW w:w="1679" w:type="dxa"/>
            <w:noWrap w:val="0"/>
            <w:vAlign w:val="center"/>
          </w:tcPr>
          <w:p>
            <w:pPr>
              <w:ind w:left="223" w:hanging="222" w:hangingChars="106"/>
              <w:jc w:val="center"/>
              <w:rPr>
                <w:color w:val="000000"/>
              </w:rPr>
            </w:pPr>
            <w:r>
              <w:rPr>
                <w:color w:val="000000"/>
              </w:rPr>
              <w:t>主要项目</w:t>
            </w:r>
          </w:p>
          <w:p>
            <w:pPr>
              <w:ind w:left="223" w:hanging="222" w:hangingChars="106"/>
              <w:jc w:val="center"/>
              <w:rPr>
                <w:color w:val="000000"/>
              </w:rPr>
            </w:pPr>
            <w:r>
              <w:rPr>
                <w:color w:val="000000"/>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60" w:hRule="atLeast"/>
          <w:jc w:val="center"/>
        </w:trPr>
        <w:tc>
          <w:tcPr>
            <w:tcW w:w="993" w:type="dxa"/>
            <w:noWrap w:val="0"/>
            <w:vAlign w:val="center"/>
          </w:tcPr>
          <w:p>
            <w:pPr>
              <w:ind w:left="223" w:hanging="222" w:hangingChars="106"/>
              <w:jc w:val="center"/>
              <w:rPr>
                <w:color w:val="000000"/>
                <w:szCs w:val="21"/>
              </w:rPr>
            </w:pPr>
          </w:p>
        </w:tc>
        <w:tc>
          <w:tcPr>
            <w:tcW w:w="829" w:type="dxa"/>
            <w:noWrap w:val="0"/>
            <w:vAlign w:val="center"/>
          </w:tcPr>
          <w:p>
            <w:pPr>
              <w:ind w:left="223" w:hanging="222" w:hangingChars="106"/>
              <w:jc w:val="center"/>
              <w:rPr>
                <w:color w:val="000000"/>
              </w:rPr>
            </w:pPr>
          </w:p>
        </w:tc>
        <w:tc>
          <w:tcPr>
            <w:tcW w:w="816"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1148" w:type="dxa"/>
            <w:noWrap w:val="0"/>
            <w:vAlign w:val="center"/>
          </w:tcPr>
          <w:p>
            <w:pPr>
              <w:ind w:left="223" w:hanging="222" w:hangingChars="106"/>
              <w:jc w:val="center"/>
              <w:rPr>
                <w:color w:val="000000"/>
              </w:rPr>
            </w:pPr>
          </w:p>
        </w:tc>
        <w:tc>
          <w:tcPr>
            <w:tcW w:w="850" w:type="dxa"/>
            <w:noWrap w:val="0"/>
            <w:vAlign w:val="center"/>
          </w:tcPr>
          <w:p>
            <w:pPr>
              <w:ind w:left="223" w:hanging="222" w:hangingChars="106"/>
              <w:jc w:val="center"/>
              <w:rPr>
                <w:color w:val="000000"/>
              </w:rPr>
            </w:pPr>
          </w:p>
        </w:tc>
        <w:tc>
          <w:tcPr>
            <w:tcW w:w="1679" w:type="dxa"/>
            <w:noWrap w:val="0"/>
            <w:vAlign w:val="center"/>
          </w:tcPr>
          <w:p>
            <w:pPr>
              <w:ind w:left="223" w:hanging="222" w:hangingChars="106"/>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979" w:hRule="atLeast"/>
          <w:jc w:val="center"/>
        </w:trPr>
        <w:tc>
          <w:tcPr>
            <w:tcW w:w="9759" w:type="dxa"/>
            <w:gridSpan w:val="9"/>
            <w:noWrap w:val="0"/>
            <w:vAlign w:val="top"/>
          </w:tcPr>
          <w:p>
            <w:pPr>
              <w:spacing w:before="120" w:beforeLines="50" w:after="120" w:afterLines="50" w:line="360" w:lineRule="auto"/>
              <w:rPr>
                <w:color w:val="000000"/>
                <w:szCs w:val="21"/>
              </w:rPr>
            </w:pPr>
            <w:r>
              <w:rPr>
                <w:color w:val="000000"/>
                <w:szCs w:val="21"/>
              </w:rPr>
              <w:t>一旦我单位中标，将实行项目经理负责制，我方保证并配备上述项目管理机构。上述填报内容真实，若不真实，愿按有关规定接受处理。项目管理班子机构设置、职责分工等情况另附资料说明。</w:t>
            </w:r>
          </w:p>
        </w:tc>
      </w:tr>
    </w:tbl>
    <w:p>
      <w:pPr>
        <w:tabs>
          <w:tab w:val="left" w:pos="0"/>
        </w:tabs>
        <w:spacing w:line="360" w:lineRule="auto"/>
        <w:ind w:right="-210"/>
        <w:rPr>
          <w:rFonts w:hint="eastAsia" w:ascii="宋体" w:hAnsi="宋体"/>
          <w:color w:val="000000"/>
          <w:szCs w:val="21"/>
        </w:rPr>
      </w:pPr>
    </w:p>
    <w:p>
      <w:pPr>
        <w:tabs>
          <w:tab w:val="left" w:pos="0"/>
        </w:tabs>
        <w:spacing w:line="360" w:lineRule="auto"/>
        <w:ind w:right="-210"/>
        <w:rPr>
          <w:rFonts w:hint="eastAsia" w:ascii="宋体" w:hAnsi="宋体"/>
          <w:color w:val="000000"/>
          <w:szCs w:val="21"/>
        </w:rPr>
      </w:pPr>
      <w:r>
        <w:rPr>
          <w:rFonts w:ascii="宋体" w:hAnsi="宋体"/>
          <w:color w:val="000000"/>
          <w:szCs w:val="21"/>
        </w:rPr>
        <w:t>备注：</w:t>
      </w:r>
    </w:p>
    <w:p>
      <w:pPr>
        <w:tabs>
          <w:tab w:val="left" w:pos="0"/>
        </w:tabs>
        <w:spacing w:line="360" w:lineRule="auto"/>
        <w:ind w:right="-210" w:firstLine="420" w:firstLineChars="200"/>
        <w:rPr>
          <w:rFonts w:hint="eastAsia" w:ascii="宋体" w:hAnsi="宋体"/>
          <w:color w:val="000000"/>
          <w:szCs w:val="21"/>
        </w:rPr>
      </w:pPr>
      <w:r>
        <w:rPr>
          <w:rFonts w:hint="eastAsia" w:ascii="宋体" w:hAnsi="宋体"/>
          <w:color w:val="000000"/>
          <w:szCs w:val="21"/>
        </w:rPr>
        <w:t>1、必须包含拟派工程总承包项目经理、项目设计负责人、施工项目经理、项目施工专职安全生产管理人员基本情况（附其相应注册证书，建造师安全生产考核合格证书（B类），项目施工专职安全生产管理人员安全生产考核合格证书（C类），身份证、职称证（如有）等材料的原件扫描件）。工程总承包项目经理、施工项目经理注册建造师等</w:t>
      </w:r>
      <w:r>
        <w:rPr>
          <w:rFonts w:ascii="宋体" w:hAnsi="宋体"/>
          <w:color w:val="000000"/>
          <w:szCs w:val="21"/>
        </w:rPr>
        <w:t>注册类</w:t>
      </w:r>
      <w:r>
        <w:rPr>
          <w:rFonts w:hint="eastAsia" w:ascii="宋体" w:hAnsi="宋体"/>
          <w:color w:val="000000"/>
          <w:szCs w:val="21"/>
        </w:rPr>
        <w:t>证书和安全生产考核合格证书（B类）、项目施工专职安全生产管理人员安全生产考核合格证书（C类）以诚信库链接</w:t>
      </w:r>
      <w:r>
        <w:rPr>
          <w:rFonts w:ascii="宋体" w:hAnsi="宋体"/>
          <w:color w:val="000000"/>
          <w:szCs w:val="21"/>
        </w:rPr>
        <w:t>为准</w:t>
      </w:r>
      <w:r>
        <w:rPr>
          <w:rFonts w:hint="eastAsia" w:ascii="宋体" w:hAnsi="宋体"/>
          <w:color w:val="000000"/>
          <w:szCs w:val="21"/>
        </w:rPr>
        <w:t>(设计</w:t>
      </w:r>
      <w:r>
        <w:rPr>
          <w:rFonts w:ascii="宋体" w:hAnsi="宋体"/>
          <w:color w:val="000000"/>
          <w:szCs w:val="21"/>
        </w:rPr>
        <w:t>单位工程总承包项目经理</w:t>
      </w:r>
      <w:r>
        <w:rPr>
          <w:rFonts w:hint="eastAsia" w:ascii="宋体" w:hAnsi="宋体"/>
          <w:color w:val="000000"/>
          <w:szCs w:val="21"/>
        </w:rPr>
        <w:t>证件只</w:t>
      </w:r>
      <w:r>
        <w:rPr>
          <w:rFonts w:ascii="宋体" w:hAnsi="宋体"/>
          <w:color w:val="000000"/>
          <w:szCs w:val="21"/>
        </w:rPr>
        <w:t>需附</w:t>
      </w:r>
      <w:r>
        <w:rPr>
          <w:rFonts w:hint="eastAsia" w:ascii="宋体" w:hAnsi="宋体"/>
          <w:color w:val="000000"/>
          <w:szCs w:val="21"/>
        </w:rPr>
        <w:t>原件</w:t>
      </w:r>
      <w:r>
        <w:rPr>
          <w:rFonts w:ascii="宋体" w:hAnsi="宋体"/>
          <w:color w:val="000000"/>
          <w:szCs w:val="21"/>
        </w:rPr>
        <w:t>扫描件</w:t>
      </w:r>
      <w:r>
        <w:rPr>
          <w:rFonts w:hint="eastAsia" w:ascii="宋体" w:hAnsi="宋体"/>
          <w:color w:val="000000"/>
          <w:szCs w:val="21"/>
        </w:rPr>
        <w:t>即</w:t>
      </w:r>
      <w:r>
        <w:rPr>
          <w:rFonts w:ascii="宋体" w:hAnsi="宋体"/>
          <w:color w:val="000000"/>
          <w:szCs w:val="21"/>
        </w:rPr>
        <w:t>可</w:t>
      </w:r>
      <w:r>
        <w:rPr>
          <w:rFonts w:hint="eastAsia" w:ascii="宋体" w:hAnsi="宋体"/>
          <w:color w:val="000000"/>
          <w:szCs w:val="21"/>
        </w:rPr>
        <w:t>)。</w:t>
      </w:r>
    </w:p>
    <w:p>
      <w:pPr>
        <w:tabs>
          <w:tab w:val="left" w:pos="0"/>
        </w:tabs>
        <w:spacing w:line="360" w:lineRule="auto"/>
        <w:ind w:right="-210" w:firstLine="420" w:firstLineChars="200"/>
        <w:rPr>
          <w:rFonts w:ascii="宋体" w:hAnsi="宋体"/>
          <w:color w:val="000000"/>
          <w:szCs w:val="21"/>
        </w:rPr>
      </w:pPr>
      <w:r>
        <w:rPr>
          <w:rFonts w:hint="eastAsia" w:ascii="宋体" w:hAnsi="宋体"/>
          <w:color w:val="000000"/>
          <w:szCs w:val="21"/>
        </w:rPr>
        <w:t>2、附其他</w:t>
      </w:r>
      <w:r>
        <w:rPr>
          <w:rFonts w:ascii="宋体" w:hAnsi="宋体"/>
          <w:color w:val="000000"/>
          <w:szCs w:val="21"/>
        </w:rPr>
        <w:t>各岗位人员资格证件</w:t>
      </w:r>
      <w:r>
        <w:rPr>
          <w:rFonts w:hint="eastAsia" w:ascii="宋体" w:hAnsi="宋体"/>
          <w:color w:val="000000"/>
          <w:szCs w:val="21"/>
        </w:rPr>
        <w:t>或职称证</w:t>
      </w:r>
      <w:r>
        <w:rPr>
          <w:rFonts w:ascii="宋体" w:hAnsi="宋体"/>
          <w:color w:val="000000"/>
          <w:szCs w:val="21"/>
        </w:rPr>
        <w:t>原件扫描件</w:t>
      </w:r>
      <w:r>
        <w:rPr>
          <w:rFonts w:hint="eastAsia" w:ascii="宋体" w:hAnsi="宋体"/>
          <w:color w:val="000000"/>
          <w:szCs w:val="21"/>
        </w:rPr>
        <w:t>。</w:t>
      </w:r>
    </w:p>
    <w:sectPr>
      <w:pgSz w:w="11906" w:h="16838"/>
      <w:pgMar w:top="1440" w:right="1440" w:bottom="1440" w:left="1797"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4F6AB31-AA4C-4976-87B1-E0B5F2CD56C3}"/>
  </w:font>
  <w:font w:name="Arial">
    <w:panose1 w:val="020B0604020202020204"/>
    <w:charset w:val="01"/>
    <w:family w:val="swiss"/>
    <w:pitch w:val="default"/>
    <w:sig w:usb0="E0002EFF" w:usb1="C000785B" w:usb2="00000009" w:usb3="00000000" w:csb0="400001FF" w:csb1="FFFF0000"/>
    <w:embedRegular r:id="rId2" w:fontKey="{E37FE18D-DC39-49F5-94C1-B131767CA6BA}"/>
  </w:font>
  <w:font w:name="黑体">
    <w:panose1 w:val="02010609060101010101"/>
    <w:charset w:val="86"/>
    <w:family w:val="auto"/>
    <w:pitch w:val="default"/>
    <w:sig w:usb0="800002BF" w:usb1="38CF7CFA" w:usb2="00000016" w:usb3="00000000" w:csb0="00040001" w:csb1="00000000"/>
    <w:embedRegular r:id="rId3" w:fontKey="{A503E6E2-FAEE-4E2B-BED2-C8C0BE25564E}"/>
  </w:font>
  <w:font w:name="Courier New">
    <w:panose1 w:val="02070309020205020404"/>
    <w:charset w:val="01"/>
    <w:family w:val="modern"/>
    <w:pitch w:val="default"/>
    <w:sig w:usb0="E0002EFF" w:usb1="C0007843" w:usb2="00000009" w:usb3="00000000" w:csb0="400001FF" w:csb1="FFFF0000"/>
    <w:embedRegular r:id="rId4" w:fontKey="{1B031DF6-C9B8-4342-B03F-FCFA882BA7A4}"/>
  </w:font>
  <w:font w:name="Symbol">
    <w:panose1 w:val="05050102010706020507"/>
    <w:charset w:val="02"/>
    <w:family w:val="roman"/>
    <w:pitch w:val="default"/>
    <w:sig w:usb0="00000000" w:usb1="00000000" w:usb2="00000000" w:usb3="00000000" w:csb0="80000000" w:csb1="00000000"/>
    <w:embedRegular r:id="rId5" w:fontKey="{26D3E289-1720-4C7A-BBD5-C44955D6B40D}"/>
  </w:font>
  <w:font w:name="Calibri">
    <w:panose1 w:val="020F0502020204030204"/>
    <w:charset w:val="00"/>
    <w:family w:val="swiss"/>
    <w:pitch w:val="default"/>
    <w:sig w:usb0="E4002EFF" w:usb1="C000247B" w:usb2="00000009" w:usb3="00000000" w:csb0="200001FF" w:csb1="00000000"/>
    <w:embedRegular r:id="rId6" w:fontKey="{64E879AC-A8CB-45D4-85CE-EDFE3F11685E}"/>
  </w:font>
  <w:font w:name="Arial">
    <w:panose1 w:val="020B0604020202020204"/>
    <w:charset w:val="00"/>
    <w:family w:val="swiss"/>
    <w:pitch w:val="default"/>
    <w:sig w:usb0="E0002EFF" w:usb1="C000785B" w:usb2="00000009" w:usb3="00000000" w:csb0="400001FF" w:csb1="FFFF0000"/>
    <w:embedRegular r:id="rId7" w:fontKey="{04B10AB0-81CB-46B0-B93B-D7A5DC8811EC}"/>
  </w:font>
  <w:font w:name="Cambria">
    <w:panose1 w:val="02040503050406030204"/>
    <w:charset w:val="00"/>
    <w:family w:val="roman"/>
    <w:pitch w:val="default"/>
    <w:sig w:usb0="E00006FF" w:usb1="420024FF" w:usb2="02000000" w:usb3="00000000" w:csb0="2000019F" w:csb1="00000000"/>
    <w:embedRegular r:id="rId8" w:fontKey="{D50C0B48-E3A4-4F32-8353-45094B31665E}"/>
  </w:font>
  <w:font w:name="仿宋_GB2312">
    <w:panose1 w:val="02010609030101010101"/>
    <w:charset w:val="86"/>
    <w:family w:val="modern"/>
    <w:pitch w:val="default"/>
    <w:sig w:usb0="00000000" w:usb1="00000000" w:usb2="00000000" w:usb3="00000000" w:csb0="00000000" w:csb1="00000000"/>
    <w:embedRegular r:id="rId9" w:fontKey="{63199478-D324-4E58-9D80-EB5621B896D2}"/>
  </w:font>
  <w:font w:name="Courier New">
    <w:panose1 w:val="02070309020205020404"/>
    <w:charset w:val="00"/>
    <w:family w:val="modern"/>
    <w:pitch w:val="default"/>
    <w:sig w:usb0="E0002EFF" w:usb1="C0007843" w:usb2="00000009" w:usb3="00000000" w:csb0="400001FF" w:csb1="FFFF0000"/>
    <w:embedRegular r:id="rId10" w:fontKey="{389E8525-8ECC-4E4F-A9B9-E008443EB518}"/>
  </w:font>
  <w:font w:name="Verdana">
    <w:panose1 w:val="020B0604030504040204"/>
    <w:charset w:val="00"/>
    <w:family w:val="swiss"/>
    <w:pitch w:val="default"/>
    <w:sig w:usb0="A00006FF" w:usb1="4000205B" w:usb2="00000010" w:usb3="00000000" w:csb0="2000019F" w:csb1="00000000"/>
    <w:embedRegular r:id="rId11" w:fontKey="{1CDE16A6-6D6A-45CC-8A14-37F5B0AE2684}"/>
  </w:font>
  <w:font w:name="Plotter">
    <w:altName w:val="Arial"/>
    <w:panose1 w:val="00000000000000000000"/>
    <w:charset w:val="00"/>
    <w:family w:val="roman"/>
    <w:pitch w:val="default"/>
    <w:sig w:usb0="00000003" w:usb1="00000000" w:usb2="00000000" w:usb3="00000000" w:csb0="00000001" w:csb1="00000000"/>
  </w:font>
  <w:font w:name="楷体_GB2312">
    <w:panose1 w:val="02010609030101010101"/>
    <w:charset w:val="86"/>
    <w:family w:val="modern"/>
    <w:pitch w:val="default"/>
    <w:sig w:usb0="00000000" w:usb1="00000000" w:usb2="00000000" w:usb3="00000000" w:csb0="00000000" w:csb1="00000000"/>
    <w:embedRegular r:id="rId12" w:fontKey="{422E308F-154F-4545-8664-8E6A28B6148D}"/>
  </w:font>
  <w:font w:name="华文中宋">
    <w:altName w:val="宋体"/>
    <w:panose1 w:val="02010600040101010101"/>
    <w:charset w:val="86"/>
    <w:family w:val="auto"/>
    <w:pitch w:val="default"/>
    <w:sig w:usb0="00000287" w:usb1="080F0000" w:usb2="00000010" w:usb3="00000000" w:csb0="0004009F" w:csb1="00000000"/>
  </w:font>
  <w:font w:name="新宋体">
    <w:panose1 w:val="02010609030101010101"/>
    <w:charset w:val="86"/>
    <w:family w:val="modern"/>
    <w:pitch w:val="default"/>
    <w:sig w:usb0="00000283" w:usb1="288F0000" w:usb2="00000006" w:usb3="00000000" w:csb0="00040001" w:csb1="00000000"/>
  </w:font>
  <w:font w:name="Tms Rmn">
    <w:altName w:val="Segoe Print"/>
    <w:panose1 w:val="02020603040505020304"/>
    <w:charset w:val="00"/>
    <w:family w:val="roman"/>
    <w:pitch w:val="default"/>
    <w:sig w:usb0="00000003" w:usb1="00000000" w:usb2="00000000" w:usb3="00000000" w:csb0="00000001" w:csb1="00000000"/>
  </w:font>
  <w:font w:name="Segoe Print">
    <w:panose1 w:val="02000600000000000000"/>
    <w:charset w:val="00"/>
    <w:family w:val="auto"/>
    <w:pitch w:val="default"/>
    <w:sig w:usb0="0000028F" w:usb1="00000000" w:usb2="00000000" w:usb3="00000000" w:csb0="2000009F" w:csb1="47010000"/>
    <w:embedRegular r:id="rId13" w:fontKey="{C72CFA62-3439-4EF9-BB8A-862599B65BE6}"/>
  </w:font>
  <w:font w:name="Arial Black">
    <w:panose1 w:val="020B0A04020102020204"/>
    <w:charset w:val="00"/>
    <w:family w:val="swiss"/>
    <w:pitch w:val="default"/>
    <w:sig w:usb0="A00002AF" w:usb1="400078FB" w:usb2="00000000" w:usb3="00000000" w:csb0="6000009F" w:csb1="DFD70000"/>
    <w:embedRegular r:id="rId14" w:fontKey="{3F0327F1-7E6D-44F1-945A-D5FF015FDD4F}"/>
  </w:font>
  <w:font w:name="方正书宋简体">
    <w:altName w:val="宋体"/>
    <w:panose1 w:val="00000000000000000000"/>
    <w:charset w:val="86"/>
    <w:family w:val="script"/>
    <w:pitch w:val="default"/>
    <w:sig w:usb0="00000000" w:usb1="00000000" w:usb2="00000010" w:usb3="00000000" w:csb0="00040000" w:csb1="00000000"/>
    <w:embedRegular r:id="rId15" w:fontKey="{9240FA28-FE43-4DE2-A87B-C83A1A6E7D40}"/>
  </w:font>
  <w:font w:name="仿宋体">
    <w:altName w:val="宋体"/>
    <w:panose1 w:val="00000000000000000000"/>
    <w:charset w:val="86"/>
    <w:family w:val="roman"/>
    <w:pitch w:val="default"/>
    <w:sig w:usb0="00000001" w:usb1="080E0000" w:usb2="00000010" w:usb3="00000000" w:csb0="00040000" w:csb1="00000000"/>
  </w:font>
  <w:font w:name="Arial Unicode MS">
    <w:altName w:val="宋体"/>
    <w:panose1 w:val="020B0604020202020204"/>
    <w:charset w:val="86"/>
    <w:family w:val="swiss"/>
    <w:pitch w:val="default"/>
    <w:sig w:usb0="F7FFAFFF" w:usb1="E9DFFFFF" w:usb2="0000003F" w:usb3="00000000" w:csb0="003F01FF" w:csb1="00000000"/>
  </w:font>
  <w:font w:name="方正仿宋简体">
    <w:altName w:val="微软雅黑"/>
    <w:panose1 w:val="00000000000000000000"/>
    <w:charset w:val="86"/>
    <w:family w:val="auto"/>
    <w:pitch w:val="default"/>
    <w:sig w:usb0="00000000"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rial Narrow">
    <w:panose1 w:val="020B0606020202030204"/>
    <w:charset w:val="00"/>
    <w:family w:val="swiss"/>
    <w:pitch w:val="default"/>
    <w:sig w:usb0="00000000" w:usb1="00000000" w:usb2="00000000" w:usb3="00000000" w:csb0="00000000" w:csb1="00000000"/>
    <w:embedRegular r:id="rId16" w:fontKey="{F2127848-1984-44AE-896D-E6F8D8CDC37D}"/>
  </w:font>
  <w:font w:name="Garamond">
    <w:panose1 w:val="02020404030301010803"/>
    <w:charset w:val="00"/>
    <w:family w:val="roman"/>
    <w:pitch w:val="default"/>
    <w:sig w:usb0="00000000" w:usb1="00000000" w:usb2="00000000" w:usb3="00000000" w:csb0="00000000" w:csb1="00000000"/>
    <w:embedRegular r:id="rId17" w:fontKey="{2F5B5C6D-11FC-43A6-A64F-0949F3B40AC9}"/>
  </w:font>
  <w:font w:name="隶书">
    <w:altName w:val="微软雅黑"/>
    <w:panose1 w:val="02010509060101010101"/>
    <w:charset w:val="86"/>
    <w:family w:val="modern"/>
    <w:pitch w:val="default"/>
    <w:sig w:usb0="00000001" w:usb1="080E0000" w:usb2="00000010" w:usb3="00000000" w:csb0="00040000" w:csb1="00000000"/>
  </w:font>
  <w:font w:name="方正隶变简体">
    <w:altName w:val="宋体"/>
    <w:panose1 w:val="03000509000000000000"/>
    <w:charset w:val="86"/>
    <w:family w:val="script"/>
    <w:pitch w:val="default"/>
    <w:sig w:usb0="00000001" w:usb1="080E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文鼎大标宋简">
    <w:altName w:val="微软雅黑"/>
    <w:panose1 w:val="02010609010001010101"/>
    <w:charset w:val="86"/>
    <w:family w:val="modern"/>
    <w:pitch w:val="default"/>
    <w:sig w:usb0="00000001" w:usb1="080E0000" w:usb2="00000010" w:usb3="00000000" w:csb0="00040000" w:csb1="00000000"/>
  </w:font>
  <w:font w:name="汉仪中黑简">
    <w:altName w:val="宋体"/>
    <w:panose1 w:val="00000000000000000000"/>
    <w:charset w:val="86"/>
    <w:family w:val="modern"/>
    <w:pitch w:val="default"/>
    <w:sig w:usb0="00000001" w:usb1="080E0800" w:usb2="00000012" w:usb3="00000000" w:csb0="00040000" w:csb1="00000000"/>
  </w:font>
  <w:font w:name="方正小标宋简体">
    <w:altName w:val="仿宋_GB2312"/>
    <w:panose1 w:val="03000509000000000000"/>
    <w:charset w:val="86"/>
    <w:family w:val="script"/>
    <w:pitch w:val="default"/>
    <w:sig w:usb0="00000000" w:usb1="080E0000" w:usb2="00000000" w:usb3="00000000" w:csb0="00040000" w:csb1="00000000"/>
  </w:font>
  <w:font w:name="仿宋_GB2312">
    <w:panose1 w:val="02010609030101010101"/>
    <w:charset w:val="00"/>
    <w:family w:val="auto"/>
    <w:pitch w:val="default"/>
    <w:sig w:usb0="00000000" w:usb1="00000000" w:usb2="00000000" w:usb3="00000000" w:csb0="00000000" w:csb1="00000000"/>
  </w:font>
  <w:font w:name="方正综艺简体">
    <w:altName w:val="微软雅黑"/>
    <w:panose1 w:val="03000509000000000000"/>
    <w:charset w:val="86"/>
    <w:family w:val="script"/>
    <w:pitch w:val="default"/>
    <w:sig w:usb0="00000001" w:usb1="080E0000" w:usb2="00000010" w:usb3="00000000" w:csb0="00040000" w:csb1="00000000"/>
  </w:font>
  <w:font w:name="Tahoma">
    <w:panose1 w:val="020B0604030504040204"/>
    <w:charset w:val="00"/>
    <w:family w:val="swiss"/>
    <w:pitch w:val="default"/>
    <w:sig w:usb0="E1002EFF" w:usb1="C000605B" w:usb2="00000029" w:usb3="00000000" w:csb0="200101FF" w:csb1="20280000"/>
    <w:embedRegular r:id="rId18" w:fontKey="{8230814E-F230-48ED-AE90-763F4262084F}"/>
  </w:font>
  <w:font w:name="Times">
    <w:altName w:val="Times New Roman"/>
    <w:panose1 w:val="02020603050405020304"/>
    <w:charset w:val="00"/>
    <w:family w:val="roman"/>
    <w:pitch w:val="default"/>
    <w:sig w:usb0="E0002AFF" w:usb1="C0007841" w:usb2="00000009" w:usb3="00000000" w:csb0="000001FF" w:csb1="00000000"/>
    <w:embedRegular r:id="rId19" w:fontKey="{FE99CAF7-E814-4F31-A704-0B141717A6FF}"/>
  </w:font>
  <w:font w:name="方正仿宋_GBK">
    <w:panose1 w:val="03000509000000000000"/>
    <w:charset w:val="86"/>
    <w:family w:val="script"/>
    <w:pitch w:val="default"/>
    <w:sig w:usb0="00000000" w:usb1="00000000" w:usb2="00000000" w:usb3="00000000" w:csb0="00000000" w:csb1="00000000"/>
    <w:embedRegular r:id="rId20" w:fontKey="{BAD3BB08-37ED-4D66-84DD-4A320E2C993A}"/>
  </w:font>
  <w:font w:name="TimesNewRomanPSMT">
    <w:altName w:val="宋体"/>
    <w:panose1 w:val="00000000000000000000"/>
    <w:charset w:val="00"/>
    <w:family w:val="roman"/>
    <w:pitch w:val="default"/>
    <w:sig w:usb0="00000000" w:usb1="00000000" w:usb2="00000010" w:usb3="00000000" w:csb0="00040001" w:csb1="00000000"/>
    <w:embedRegular r:id="rId21" w:fontKey="{2D70F740-DCBC-4844-B2A0-D83312613E53}"/>
  </w:font>
  <w:font w:name="Wingdings 2">
    <w:panose1 w:val="05020102010507070707"/>
    <w:charset w:val="02"/>
    <w:family w:val="roman"/>
    <w:pitch w:val="default"/>
    <w:sig w:usb0="00000000" w:usb1="00000000" w:usb2="00000000" w:usb3="00000000" w:csb0="00000000" w:csb1="00000000"/>
    <w:embedRegular r:id="rId22" w:fontKey="{5E6F5767-F785-4CCA-AF23-492F8F1314E8}"/>
  </w:font>
  <w:font w:name="方正小标宋_GBK">
    <w:altName w:val="微软雅黑"/>
    <w:panose1 w:val="03000509000000000000"/>
    <w:charset w:val="86"/>
    <w:family w:val="script"/>
    <w:pitch w:val="default"/>
    <w:sig w:usb0="00000001" w:usb1="080E0000" w:usb2="00000010" w:usb3="00000000" w:csb0="00040000" w:csb1="00000000"/>
    <w:embedRegular r:id="rId23" w:fontKey="{EC33C16E-323B-48F5-8614-2CDCD157BB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framePr w:wrap="around" w:vAnchor="text" w:hAnchor="margin" w:xAlign="center" w:y="1"/>
      <w:rPr>
        <w:rStyle w:val="94"/>
      </w:rPr>
    </w:pPr>
    <w:r>
      <w:fldChar w:fldCharType="begin"/>
    </w:r>
    <w:r>
      <w:rPr>
        <w:rStyle w:val="94"/>
      </w:rPr>
      <w:instrText xml:space="preserve">PAGE  </w:instrText>
    </w:r>
    <w:r>
      <w:fldChar w:fldCharType="separate"/>
    </w:r>
    <w:r>
      <w:rPr>
        <w:rStyle w:val="94"/>
        <w:lang/>
      </w:rPr>
      <w:t>VII</w:t>
    </w:r>
    <w:r>
      <w:fldChar w:fldCharType="end"/>
    </w:r>
  </w:p>
  <w:p>
    <w:pPr>
      <w:pStyle w:val="5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framePr w:wrap="around" w:vAnchor="text" w:hAnchor="margin" w:xAlign="center" w:y="1"/>
      <w:rPr>
        <w:rStyle w:val="94"/>
      </w:rPr>
    </w:pPr>
    <w:r>
      <w:fldChar w:fldCharType="begin"/>
    </w:r>
    <w:r>
      <w:rPr>
        <w:rStyle w:val="94"/>
      </w:rPr>
      <w:instrText xml:space="preserve">PAGE  </w:instrText>
    </w:r>
    <w:r>
      <w:fldChar w:fldCharType="separate"/>
    </w:r>
    <w:r>
      <w:rPr>
        <w:rStyle w:val="94"/>
        <w:lang/>
      </w:rPr>
      <w:t>23</w:t>
    </w:r>
    <w:r>
      <w:fldChar w:fldCharType="end"/>
    </w:r>
  </w:p>
  <w:p>
    <w:pPr>
      <w:pStyle w:val="5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framePr w:wrap="around" w:vAnchor="text" w:hAnchor="margin" w:xAlign="center" w:y="1"/>
      <w:rPr>
        <w:rStyle w:val="94"/>
      </w:rPr>
    </w:pPr>
    <w:r>
      <w:fldChar w:fldCharType="begin"/>
    </w:r>
    <w:r>
      <w:rPr>
        <w:rStyle w:val="94"/>
      </w:rPr>
      <w:instrText xml:space="preserve">PAGE  </w:instrText>
    </w:r>
    <w:r>
      <w:fldChar w:fldCharType="separate"/>
    </w:r>
    <w:r>
      <w:rPr>
        <w:rStyle w:val="94"/>
        <w:lang/>
      </w:rPr>
      <w:t>119</w:t>
    </w:r>
    <w:r>
      <w:fldChar w:fldCharType="end"/>
    </w:r>
  </w:p>
  <w:p>
    <w:pPr>
      <w:pStyle w:val="5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tabs>
        <w:tab w:val="center" w:pos="4153"/>
        <w:tab w:val="right" w:pos="8306"/>
        <w:tab w:val="clear" w:pos="4140"/>
        <w:tab w:val="clear" w:pos="8300"/>
      </w:tabs>
      <w:rPr>
        <w:rFonts w:hint="eastAsia" w:cs="宋体"/>
      </w:rPr>
    </w:pPr>
    <w:r>
      <w:rPr>
        <w:rFonts w:hint="eastAsia" w:cs="宋体"/>
      </w:rPr>
      <w:fldChar w:fldCharType="begin"/>
    </w:r>
    <w:r>
      <w:rPr>
        <w:rFonts w:hint="eastAsia" w:cs="宋体"/>
      </w:rPr>
      <w:instrText xml:space="preserve"> PAGE   \* MERGEFORMAT </w:instrText>
    </w:r>
    <w:r>
      <w:rPr>
        <w:rFonts w:hint="eastAsia" w:cs="宋体"/>
      </w:rPr>
      <w:fldChar w:fldCharType="separate"/>
    </w:r>
    <w:r>
      <w:rPr>
        <w:rFonts w:cs="宋体"/>
        <w:lang/>
      </w:rPr>
      <w:t>8</w:t>
    </w:r>
    <w:r>
      <w:rPr>
        <w:rFonts w:hint="eastAsia" w:cs="宋体"/>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framePr w:wrap="around" w:vAnchor="text" w:hAnchor="margin" w:xAlign="center" w:y="1"/>
      <w:rPr>
        <w:rStyle w:val="94"/>
      </w:rPr>
    </w:pPr>
    <w:r>
      <w:fldChar w:fldCharType="begin"/>
    </w:r>
    <w:r>
      <w:rPr>
        <w:rStyle w:val="94"/>
      </w:rPr>
      <w:instrText xml:space="preserve">PAGE  </w:instrText>
    </w:r>
    <w:r>
      <w:fldChar w:fldCharType="separate"/>
    </w:r>
    <w:r>
      <w:rPr>
        <w:rStyle w:val="94"/>
        <w:lang/>
      </w:rPr>
      <w:t>178</w:t>
    </w:r>
    <w:r>
      <w:fldChar w:fldCharType="end"/>
    </w:r>
  </w:p>
  <w:p>
    <w:pPr>
      <w:pStyle w:val="5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tabs>
        <w:tab w:val="center" w:pos="4153"/>
        <w:tab w:val="right" w:pos="8306"/>
        <w:tab w:val="clear" w:pos="4140"/>
        <w:tab w:val="clear" w:pos="83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07BF3E"/>
    <w:multiLevelType w:val="singleLevel"/>
    <w:tmpl w:val="B707BF3E"/>
    <w:lvl w:ilvl="0" w:tentative="0">
      <w:start w:val="2"/>
      <w:numFmt w:val="decimal"/>
      <w:pStyle w:val="691"/>
      <w:lvlText w:val="%1."/>
      <w:lvlJc w:val="left"/>
      <w:pPr>
        <w:tabs>
          <w:tab w:val="left" w:pos="312"/>
        </w:tabs>
        <w:ind w:left="720" w:firstLine="0"/>
      </w:pPr>
    </w:lvl>
  </w:abstractNum>
  <w:abstractNum w:abstractNumId="1">
    <w:nsid w:val="00000001"/>
    <w:multiLevelType w:val="multilevel"/>
    <w:tmpl w:val="00000001"/>
    <w:lvl w:ilvl="0" w:tentative="0">
      <w:start w:val="1"/>
      <w:numFmt w:val="none"/>
      <w:suff w:val="nothing"/>
      <w:lvlText w:val=""/>
      <w:lvlJc w:val="left"/>
      <w:pPr>
        <w:ind w:left="0" w:firstLine="0"/>
      </w:pPr>
      <w:rPr>
        <w:rFonts w:hint="eastAsia" w:ascii="黑体" w:hAnsi="Times New Roman" w:eastAsia="黑体"/>
        <w:b w:val="0"/>
        <w:i w:val="0"/>
        <w:sz w:val="21"/>
      </w:rPr>
    </w:lvl>
    <w:lvl w:ilvl="1" w:tentative="0">
      <w:start w:val="1"/>
      <w:numFmt w:val="decimal"/>
      <w:pStyle w:val="685"/>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686"/>
      <w:suff w:val="nothing"/>
      <w:lvlText w:val="%1%2.%3　"/>
      <w:lvlJc w:val="left"/>
      <w:pPr>
        <w:ind w:left="0" w:firstLine="0"/>
      </w:pPr>
      <w:rPr>
        <w:rFonts w:hint="eastAsia" w:ascii="黑体" w:hAnsi="Times New Roman" w:eastAsia="黑体"/>
        <w:b w:val="0"/>
        <w:i w:val="0"/>
        <w:sz w:val="21"/>
      </w:rPr>
    </w:lvl>
    <w:lvl w:ilvl="3" w:tentative="0">
      <w:start w:val="1"/>
      <w:numFmt w:val="decimal"/>
      <w:pStyle w:val="687"/>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4"/>
    <w:multiLevelType w:val="multilevel"/>
    <w:tmpl w:val="00000004"/>
    <w:lvl w:ilvl="0" w:tentative="0">
      <w:start w:val="5"/>
      <w:numFmt w:val="bullet"/>
      <w:pStyle w:val="684"/>
      <w:lvlText w:val="□"/>
      <w:lvlJc w:val="left"/>
      <w:pPr>
        <w:ind w:left="840" w:hanging="360"/>
      </w:pPr>
      <w:rPr>
        <w:rFonts w:hint="eastAsia" w:ascii="宋体" w:hAnsi="宋体" w:eastAsia="宋体"/>
        <w:u w:val="none"/>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00000006"/>
    <w:multiLevelType w:val="singleLevel"/>
    <w:tmpl w:val="00000006"/>
    <w:lvl w:ilvl="0" w:tentative="0">
      <w:start w:val="1"/>
      <w:numFmt w:val="decimal"/>
      <w:suff w:val="space"/>
      <w:lvlText w:val="%1."/>
      <w:lvlJc w:val="left"/>
    </w:lvl>
  </w:abstractNum>
  <w:abstractNum w:abstractNumId="4">
    <w:nsid w:val="62687BB6"/>
    <w:multiLevelType w:val="multilevel"/>
    <w:tmpl w:val="62687BB6"/>
    <w:lvl w:ilvl="0" w:tentative="0">
      <w:start w:val="1"/>
      <w:numFmt w:val="decimal"/>
      <w:pStyle w:val="683"/>
      <w:lvlText w:val="附件%1"/>
      <w:lvlJc w:val="left"/>
      <w:pPr>
        <w:ind w:left="3681" w:hanging="420"/>
      </w:pPr>
      <w:rPr>
        <w:sz w:val="30"/>
        <w:szCs w:val="30"/>
      </w:rPr>
    </w:lvl>
    <w:lvl w:ilvl="1" w:tentative="0">
      <w:start w:val="1"/>
      <w:numFmt w:val="lowerLetter"/>
      <w:lvlText w:val="%2)"/>
      <w:lvlJc w:val="left"/>
      <w:pPr>
        <w:ind w:left="983" w:hanging="420"/>
      </w:pPr>
    </w:lvl>
    <w:lvl w:ilvl="2" w:tentative="0">
      <w:start w:val="1"/>
      <w:numFmt w:val="lowerRoman"/>
      <w:lvlText w:val="%3."/>
      <w:lvlJc w:val="right"/>
      <w:pPr>
        <w:ind w:left="1403" w:hanging="420"/>
      </w:pPr>
    </w:lvl>
    <w:lvl w:ilvl="3" w:tentative="0">
      <w:start w:val="1"/>
      <w:numFmt w:val="decimal"/>
      <w:lvlText w:val="%4."/>
      <w:lvlJc w:val="left"/>
      <w:pPr>
        <w:ind w:left="1823" w:hanging="420"/>
      </w:pPr>
    </w:lvl>
    <w:lvl w:ilvl="4" w:tentative="0">
      <w:start w:val="1"/>
      <w:numFmt w:val="lowerLetter"/>
      <w:lvlText w:val="%5)"/>
      <w:lvlJc w:val="left"/>
      <w:pPr>
        <w:ind w:left="2243" w:hanging="420"/>
      </w:pPr>
    </w:lvl>
    <w:lvl w:ilvl="5" w:tentative="0">
      <w:start w:val="1"/>
      <w:numFmt w:val="lowerRoman"/>
      <w:lvlText w:val="%6."/>
      <w:lvlJc w:val="right"/>
      <w:pPr>
        <w:ind w:left="2663" w:hanging="420"/>
      </w:pPr>
    </w:lvl>
    <w:lvl w:ilvl="6" w:tentative="0">
      <w:start w:val="1"/>
      <w:numFmt w:val="decimal"/>
      <w:lvlText w:val="%7."/>
      <w:lvlJc w:val="left"/>
      <w:pPr>
        <w:ind w:left="3083" w:hanging="420"/>
      </w:pPr>
    </w:lvl>
    <w:lvl w:ilvl="7" w:tentative="0">
      <w:start w:val="1"/>
      <w:numFmt w:val="lowerLetter"/>
      <w:lvlText w:val="%8)"/>
      <w:lvlJc w:val="left"/>
      <w:pPr>
        <w:ind w:left="3503" w:hanging="420"/>
      </w:pPr>
    </w:lvl>
    <w:lvl w:ilvl="8" w:tentative="0">
      <w:start w:val="1"/>
      <w:numFmt w:val="lowerRoman"/>
      <w:lvlText w:val="%9."/>
      <w:lvlJc w:val="right"/>
      <w:pPr>
        <w:ind w:left="3923" w:hanging="420"/>
      </w:pPr>
    </w:lvl>
  </w:abstractNum>
  <w:abstractNum w:abstractNumId="5">
    <w:nsid w:val="67A67A4B"/>
    <w:multiLevelType w:val="singleLevel"/>
    <w:tmpl w:val="67A67A4B"/>
    <w:lvl w:ilvl="0" w:tentative="0">
      <w:start w:val="5"/>
      <w:numFmt w:val="chineseCounting"/>
      <w:suff w:val="space"/>
      <w:lvlText w:val="第%1章"/>
      <w:lvlJc w:val="left"/>
      <w:rPr>
        <w:rFonts w:hint="eastAsia"/>
      </w:rPr>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849"/>
    <w:rsid w:val="000009DE"/>
    <w:rsid w:val="0000123D"/>
    <w:rsid w:val="00001C91"/>
    <w:rsid w:val="000025D6"/>
    <w:rsid w:val="0000325E"/>
    <w:rsid w:val="00003F4A"/>
    <w:rsid w:val="0000426C"/>
    <w:rsid w:val="00004CA6"/>
    <w:rsid w:val="0000604D"/>
    <w:rsid w:val="00007B97"/>
    <w:rsid w:val="00007DCE"/>
    <w:rsid w:val="00007DDB"/>
    <w:rsid w:val="0001087D"/>
    <w:rsid w:val="00010B0A"/>
    <w:rsid w:val="000110B1"/>
    <w:rsid w:val="000127D0"/>
    <w:rsid w:val="000139B4"/>
    <w:rsid w:val="00013B53"/>
    <w:rsid w:val="00014A18"/>
    <w:rsid w:val="000170B5"/>
    <w:rsid w:val="000171F4"/>
    <w:rsid w:val="0001766C"/>
    <w:rsid w:val="00017869"/>
    <w:rsid w:val="000245F5"/>
    <w:rsid w:val="000248BE"/>
    <w:rsid w:val="00025384"/>
    <w:rsid w:val="00026734"/>
    <w:rsid w:val="0002731A"/>
    <w:rsid w:val="0002780A"/>
    <w:rsid w:val="00027A68"/>
    <w:rsid w:val="00030987"/>
    <w:rsid w:val="000311ED"/>
    <w:rsid w:val="00032A4F"/>
    <w:rsid w:val="00032EAA"/>
    <w:rsid w:val="00032ED1"/>
    <w:rsid w:val="00033CA4"/>
    <w:rsid w:val="00033FB8"/>
    <w:rsid w:val="000353D2"/>
    <w:rsid w:val="00036500"/>
    <w:rsid w:val="00036BAD"/>
    <w:rsid w:val="00036FCA"/>
    <w:rsid w:val="00037067"/>
    <w:rsid w:val="00037666"/>
    <w:rsid w:val="0003779C"/>
    <w:rsid w:val="00040D1E"/>
    <w:rsid w:val="00043007"/>
    <w:rsid w:val="0004472C"/>
    <w:rsid w:val="00044AAD"/>
    <w:rsid w:val="00044AEF"/>
    <w:rsid w:val="00044DED"/>
    <w:rsid w:val="000458C4"/>
    <w:rsid w:val="000468F6"/>
    <w:rsid w:val="00047354"/>
    <w:rsid w:val="00047E11"/>
    <w:rsid w:val="00050692"/>
    <w:rsid w:val="000512D7"/>
    <w:rsid w:val="000518FF"/>
    <w:rsid w:val="00052C4E"/>
    <w:rsid w:val="00053461"/>
    <w:rsid w:val="00053ACB"/>
    <w:rsid w:val="000540F3"/>
    <w:rsid w:val="00054456"/>
    <w:rsid w:val="00054AA9"/>
    <w:rsid w:val="000554DC"/>
    <w:rsid w:val="0005777A"/>
    <w:rsid w:val="00057E67"/>
    <w:rsid w:val="00061E97"/>
    <w:rsid w:val="00061ED0"/>
    <w:rsid w:val="000629A3"/>
    <w:rsid w:val="0006371F"/>
    <w:rsid w:val="00063720"/>
    <w:rsid w:val="00064798"/>
    <w:rsid w:val="00065200"/>
    <w:rsid w:val="0006558C"/>
    <w:rsid w:val="000662F9"/>
    <w:rsid w:val="00067911"/>
    <w:rsid w:val="000700C9"/>
    <w:rsid w:val="00070F18"/>
    <w:rsid w:val="00071067"/>
    <w:rsid w:val="0007116F"/>
    <w:rsid w:val="00071BBE"/>
    <w:rsid w:val="00072139"/>
    <w:rsid w:val="00072C96"/>
    <w:rsid w:val="000730C7"/>
    <w:rsid w:val="00073818"/>
    <w:rsid w:val="0007610E"/>
    <w:rsid w:val="000765F0"/>
    <w:rsid w:val="00076730"/>
    <w:rsid w:val="00077BD9"/>
    <w:rsid w:val="0008016F"/>
    <w:rsid w:val="00080420"/>
    <w:rsid w:val="000807F1"/>
    <w:rsid w:val="000808D7"/>
    <w:rsid w:val="0008263C"/>
    <w:rsid w:val="0008293C"/>
    <w:rsid w:val="00082D77"/>
    <w:rsid w:val="00083695"/>
    <w:rsid w:val="00083CFE"/>
    <w:rsid w:val="000842F6"/>
    <w:rsid w:val="00084332"/>
    <w:rsid w:val="00084A94"/>
    <w:rsid w:val="000853E2"/>
    <w:rsid w:val="000855DF"/>
    <w:rsid w:val="000862E0"/>
    <w:rsid w:val="00086444"/>
    <w:rsid w:val="000865AF"/>
    <w:rsid w:val="00086ADE"/>
    <w:rsid w:val="00086F45"/>
    <w:rsid w:val="000878D6"/>
    <w:rsid w:val="0009035F"/>
    <w:rsid w:val="00090529"/>
    <w:rsid w:val="00091369"/>
    <w:rsid w:val="00093DB0"/>
    <w:rsid w:val="00094077"/>
    <w:rsid w:val="00094A32"/>
    <w:rsid w:val="00096695"/>
    <w:rsid w:val="00096FA3"/>
    <w:rsid w:val="00097A60"/>
    <w:rsid w:val="000A099B"/>
    <w:rsid w:val="000A1EA4"/>
    <w:rsid w:val="000A22FA"/>
    <w:rsid w:val="000A2F96"/>
    <w:rsid w:val="000A3446"/>
    <w:rsid w:val="000A34E7"/>
    <w:rsid w:val="000A3DD7"/>
    <w:rsid w:val="000A514A"/>
    <w:rsid w:val="000A652A"/>
    <w:rsid w:val="000A7661"/>
    <w:rsid w:val="000A7921"/>
    <w:rsid w:val="000B0143"/>
    <w:rsid w:val="000B025C"/>
    <w:rsid w:val="000B039F"/>
    <w:rsid w:val="000B0A30"/>
    <w:rsid w:val="000B1B78"/>
    <w:rsid w:val="000B22F5"/>
    <w:rsid w:val="000B23C9"/>
    <w:rsid w:val="000B3BC6"/>
    <w:rsid w:val="000B4B0C"/>
    <w:rsid w:val="000B5FDB"/>
    <w:rsid w:val="000B6771"/>
    <w:rsid w:val="000B70F9"/>
    <w:rsid w:val="000B7593"/>
    <w:rsid w:val="000B78FE"/>
    <w:rsid w:val="000C1263"/>
    <w:rsid w:val="000C14DF"/>
    <w:rsid w:val="000C171D"/>
    <w:rsid w:val="000C1953"/>
    <w:rsid w:val="000C375B"/>
    <w:rsid w:val="000C37DC"/>
    <w:rsid w:val="000C5D2B"/>
    <w:rsid w:val="000C5F7F"/>
    <w:rsid w:val="000C6211"/>
    <w:rsid w:val="000C6371"/>
    <w:rsid w:val="000C6387"/>
    <w:rsid w:val="000C66E5"/>
    <w:rsid w:val="000C6DB7"/>
    <w:rsid w:val="000D021C"/>
    <w:rsid w:val="000D1779"/>
    <w:rsid w:val="000D1CA2"/>
    <w:rsid w:val="000D1DD5"/>
    <w:rsid w:val="000D279E"/>
    <w:rsid w:val="000D3075"/>
    <w:rsid w:val="000D30E3"/>
    <w:rsid w:val="000D32F7"/>
    <w:rsid w:val="000D3517"/>
    <w:rsid w:val="000D5341"/>
    <w:rsid w:val="000D544B"/>
    <w:rsid w:val="000D6F11"/>
    <w:rsid w:val="000D7C41"/>
    <w:rsid w:val="000E0304"/>
    <w:rsid w:val="000E0F18"/>
    <w:rsid w:val="000E107D"/>
    <w:rsid w:val="000E12A0"/>
    <w:rsid w:val="000E1BA5"/>
    <w:rsid w:val="000E3540"/>
    <w:rsid w:val="000E412D"/>
    <w:rsid w:val="000E4B6F"/>
    <w:rsid w:val="000E4CCD"/>
    <w:rsid w:val="000E5351"/>
    <w:rsid w:val="000E55AB"/>
    <w:rsid w:val="000E64EA"/>
    <w:rsid w:val="000E7157"/>
    <w:rsid w:val="000E7329"/>
    <w:rsid w:val="000F06B9"/>
    <w:rsid w:val="000F10D0"/>
    <w:rsid w:val="000F24BA"/>
    <w:rsid w:val="000F32CF"/>
    <w:rsid w:val="000F340C"/>
    <w:rsid w:val="000F3D4B"/>
    <w:rsid w:val="001014CA"/>
    <w:rsid w:val="001027C1"/>
    <w:rsid w:val="001033B3"/>
    <w:rsid w:val="00103DC1"/>
    <w:rsid w:val="00104FF1"/>
    <w:rsid w:val="00106800"/>
    <w:rsid w:val="00106CE2"/>
    <w:rsid w:val="00107395"/>
    <w:rsid w:val="00107AF9"/>
    <w:rsid w:val="00110F00"/>
    <w:rsid w:val="00111180"/>
    <w:rsid w:val="00111A3E"/>
    <w:rsid w:val="00112856"/>
    <w:rsid w:val="00113221"/>
    <w:rsid w:val="00113D9D"/>
    <w:rsid w:val="001146BF"/>
    <w:rsid w:val="00115391"/>
    <w:rsid w:val="001165AF"/>
    <w:rsid w:val="00116B9F"/>
    <w:rsid w:val="00120E02"/>
    <w:rsid w:val="00120F0A"/>
    <w:rsid w:val="001219FB"/>
    <w:rsid w:val="00121AE1"/>
    <w:rsid w:val="00121F75"/>
    <w:rsid w:val="001233E7"/>
    <w:rsid w:val="00123F8F"/>
    <w:rsid w:val="001245AC"/>
    <w:rsid w:val="00125075"/>
    <w:rsid w:val="00125D5B"/>
    <w:rsid w:val="00126C6B"/>
    <w:rsid w:val="00127033"/>
    <w:rsid w:val="001273B8"/>
    <w:rsid w:val="001302C1"/>
    <w:rsid w:val="001319B0"/>
    <w:rsid w:val="00131E15"/>
    <w:rsid w:val="00132C91"/>
    <w:rsid w:val="001332A1"/>
    <w:rsid w:val="00134323"/>
    <w:rsid w:val="00134930"/>
    <w:rsid w:val="00134AD7"/>
    <w:rsid w:val="00134C32"/>
    <w:rsid w:val="001352D4"/>
    <w:rsid w:val="0013540E"/>
    <w:rsid w:val="00135CEA"/>
    <w:rsid w:val="00136483"/>
    <w:rsid w:val="00136E27"/>
    <w:rsid w:val="00137400"/>
    <w:rsid w:val="00137748"/>
    <w:rsid w:val="00137B33"/>
    <w:rsid w:val="0014010C"/>
    <w:rsid w:val="00141D11"/>
    <w:rsid w:val="0014229F"/>
    <w:rsid w:val="00142687"/>
    <w:rsid w:val="0014357C"/>
    <w:rsid w:val="00143B96"/>
    <w:rsid w:val="00145D6D"/>
    <w:rsid w:val="00147493"/>
    <w:rsid w:val="00147596"/>
    <w:rsid w:val="001508C3"/>
    <w:rsid w:val="00150D91"/>
    <w:rsid w:val="00150F65"/>
    <w:rsid w:val="001518D8"/>
    <w:rsid w:val="00151BF0"/>
    <w:rsid w:val="00151DE7"/>
    <w:rsid w:val="00152459"/>
    <w:rsid w:val="0015482B"/>
    <w:rsid w:val="00154AF2"/>
    <w:rsid w:val="001576D5"/>
    <w:rsid w:val="00160143"/>
    <w:rsid w:val="0016029A"/>
    <w:rsid w:val="001612C1"/>
    <w:rsid w:val="00162BCB"/>
    <w:rsid w:val="00163305"/>
    <w:rsid w:val="001638C6"/>
    <w:rsid w:val="00163F9B"/>
    <w:rsid w:val="00164989"/>
    <w:rsid w:val="00165313"/>
    <w:rsid w:val="001653E9"/>
    <w:rsid w:val="00165495"/>
    <w:rsid w:val="001662CC"/>
    <w:rsid w:val="001668C7"/>
    <w:rsid w:val="0016764A"/>
    <w:rsid w:val="00171C05"/>
    <w:rsid w:val="001724EC"/>
    <w:rsid w:val="00176CE9"/>
    <w:rsid w:val="00177E94"/>
    <w:rsid w:val="00177FED"/>
    <w:rsid w:val="00181E7A"/>
    <w:rsid w:val="00183430"/>
    <w:rsid w:val="001845C7"/>
    <w:rsid w:val="00185127"/>
    <w:rsid w:val="00185E9C"/>
    <w:rsid w:val="00186201"/>
    <w:rsid w:val="001868E0"/>
    <w:rsid w:val="00186C9B"/>
    <w:rsid w:val="001875BF"/>
    <w:rsid w:val="00187F1A"/>
    <w:rsid w:val="001910CF"/>
    <w:rsid w:val="00192509"/>
    <w:rsid w:val="00192C99"/>
    <w:rsid w:val="00194078"/>
    <w:rsid w:val="00194146"/>
    <w:rsid w:val="00194299"/>
    <w:rsid w:val="00195533"/>
    <w:rsid w:val="00195577"/>
    <w:rsid w:val="00196CDB"/>
    <w:rsid w:val="001974AA"/>
    <w:rsid w:val="001A05DD"/>
    <w:rsid w:val="001A0A26"/>
    <w:rsid w:val="001A0E06"/>
    <w:rsid w:val="001A1010"/>
    <w:rsid w:val="001A117D"/>
    <w:rsid w:val="001A174C"/>
    <w:rsid w:val="001A1F21"/>
    <w:rsid w:val="001A2501"/>
    <w:rsid w:val="001A2D3B"/>
    <w:rsid w:val="001A5868"/>
    <w:rsid w:val="001A6391"/>
    <w:rsid w:val="001A73AA"/>
    <w:rsid w:val="001B0049"/>
    <w:rsid w:val="001B01BD"/>
    <w:rsid w:val="001B0266"/>
    <w:rsid w:val="001B109B"/>
    <w:rsid w:val="001B117E"/>
    <w:rsid w:val="001B1475"/>
    <w:rsid w:val="001B177B"/>
    <w:rsid w:val="001B2AAE"/>
    <w:rsid w:val="001B3449"/>
    <w:rsid w:val="001B527F"/>
    <w:rsid w:val="001B5298"/>
    <w:rsid w:val="001B5587"/>
    <w:rsid w:val="001B67B7"/>
    <w:rsid w:val="001B73EE"/>
    <w:rsid w:val="001B745C"/>
    <w:rsid w:val="001B7B7A"/>
    <w:rsid w:val="001B7C33"/>
    <w:rsid w:val="001C069F"/>
    <w:rsid w:val="001C0C7F"/>
    <w:rsid w:val="001C4380"/>
    <w:rsid w:val="001C4556"/>
    <w:rsid w:val="001C4A55"/>
    <w:rsid w:val="001C559F"/>
    <w:rsid w:val="001C5865"/>
    <w:rsid w:val="001C5ECF"/>
    <w:rsid w:val="001C631B"/>
    <w:rsid w:val="001C65B1"/>
    <w:rsid w:val="001C6DEA"/>
    <w:rsid w:val="001D003B"/>
    <w:rsid w:val="001D0550"/>
    <w:rsid w:val="001D0E36"/>
    <w:rsid w:val="001D0E45"/>
    <w:rsid w:val="001D1ED7"/>
    <w:rsid w:val="001D200D"/>
    <w:rsid w:val="001D2464"/>
    <w:rsid w:val="001D24EA"/>
    <w:rsid w:val="001D2D6B"/>
    <w:rsid w:val="001D3696"/>
    <w:rsid w:val="001D36D1"/>
    <w:rsid w:val="001D3C88"/>
    <w:rsid w:val="001D3F17"/>
    <w:rsid w:val="001D43EB"/>
    <w:rsid w:val="001D61FE"/>
    <w:rsid w:val="001E0DAE"/>
    <w:rsid w:val="001E1C92"/>
    <w:rsid w:val="001E25EA"/>
    <w:rsid w:val="001E2B17"/>
    <w:rsid w:val="001E3E11"/>
    <w:rsid w:val="001E5033"/>
    <w:rsid w:val="001E515D"/>
    <w:rsid w:val="001E66ED"/>
    <w:rsid w:val="001E7679"/>
    <w:rsid w:val="001E7B31"/>
    <w:rsid w:val="001F190A"/>
    <w:rsid w:val="001F1B05"/>
    <w:rsid w:val="001F2990"/>
    <w:rsid w:val="001F47B6"/>
    <w:rsid w:val="001F4C5F"/>
    <w:rsid w:val="001F51AB"/>
    <w:rsid w:val="001F561B"/>
    <w:rsid w:val="001F59F3"/>
    <w:rsid w:val="001F685C"/>
    <w:rsid w:val="001F72F0"/>
    <w:rsid w:val="00200087"/>
    <w:rsid w:val="00200630"/>
    <w:rsid w:val="00201021"/>
    <w:rsid w:val="00202B92"/>
    <w:rsid w:val="00202BFB"/>
    <w:rsid w:val="00202D2B"/>
    <w:rsid w:val="0020316E"/>
    <w:rsid w:val="0020322D"/>
    <w:rsid w:val="002035D5"/>
    <w:rsid w:val="002036B0"/>
    <w:rsid w:val="00203B12"/>
    <w:rsid w:val="00203E01"/>
    <w:rsid w:val="00204C75"/>
    <w:rsid w:val="00205A4B"/>
    <w:rsid w:val="00206D73"/>
    <w:rsid w:val="00207B64"/>
    <w:rsid w:val="00211211"/>
    <w:rsid w:val="00211403"/>
    <w:rsid w:val="00211872"/>
    <w:rsid w:val="00211BAF"/>
    <w:rsid w:val="00212F3F"/>
    <w:rsid w:val="002134D1"/>
    <w:rsid w:val="002139C3"/>
    <w:rsid w:val="00213AD3"/>
    <w:rsid w:val="0021480A"/>
    <w:rsid w:val="00214C7E"/>
    <w:rsid w:val="00214FCA"/>
    <w:rsid w:val="00215A38"/>
    <w:rsid w:val="00216155"/>
    <w:rsid w:val="0021757F"/>
    <w:rsid w:val="00217C21"/>
    <w:rsid w:val="00217EA6"/>
    <w:rsid w:val="0022070E"/>
    <w:rsid w:val="00220796"/>
    <w:rsid w:val="00220A6D"/>
    <w:rsid w:val="002210D1"/>
    <w:rsid w:val="00221F59"/>
    <w:rsid w:val="00222586"/>
    <w:rsid w:val="00222A56"/>
    <w:rsid w:val="002230DA"/>
    <w:rsid w:val="00223181"/>
    <w:rsid w:val="00224216"/>
    <w:rsid w:val="00225158"/>
    <w:rsid w:val="00225BFC"/>
    <w:rsid w:val="002273F9"/>
    <w:rsid w:val="002304A3"/>
    <w:rsid w:val="002307F5"/>
    <w:rsid w:val="0023170D"/>
    <w:rsid w:val="00232364"/>
    <w:rsid w:val="00232D8C"/>
    <w:rsid w:val="002340B7"/>
    <w:rsid w:val="002340CD"/>
    <w:rsid w:val="00234773"/>
    <w:rsid w:val="00234CE4"/>
    <w:rsid w:val="0023508D"/>
    <w:rsid w:val="002354EC"/>
    <w:rsid w:val="00235C20"/>
    <w:rsid w:val="00236744"/>
    <w:rsid w:val="002420B7"/>
    <w:rsid w:val="0024221C"/>
    <w:rsid w:val="002427D9"/>
    <w:rsid w:val="00242B8A"/>
    <w:rsid w:val="002432EC"/>
    <w:rsid w:val="00243FB9"/>
    <w:rsid w:val="0024421D"/>
    <w:rsid w:val="002442F4"/>
    <w:rsid w:val="00246210"/>
    <w:rsid w:val="00247C9C"/>
    <w:rsid w:val="00250229"/>
    <w:rsid w:val="002510F7"/>
    <w:rsid w:val="002515A3"/>
    <w:rsid w:val="00251AC3"/>
    <w:rsid w:val="002521BD"/>
    <w:rsid w:val="00252D23"/>
    <w:rsid w:val="00253269"/>
    <w:rsid w:val="00253D93"/>
    <w:rsid w:val="00254242"/>
    <w:rsid w:val="00256736"/>
    <w:rsid w:val="002573E1"/>
    <w:rsid w:val="0025777F"/>
    <w:rsid w:val="00257D4A"/>
    <w:rsid w:val="00257E57"/>
    <w:rsid w:val="002601DA"/>
    <w:rsid w:val="00260AFE"/>
    <w:rsid w:val="00260DDF"/>
    <w:rsid w:val="00261192"/>
    <w:rsid w:val="00261F94"/>
    <w:rsid w:val="0026219F"/>
    <w:rsid w:val="0026339C"/>
    <w:rsid w:val="00263EB4"/>
    <w:rsid w:val="00264E04"/>
    <w:rsid w:val="00265A6D"/>
    <w:rsid w:val="00266318"/>
    <w:rsid w:val="0026682D"/>
    <w:rsid w:val="00267CDD"/>
    <w:rsid w:val="002701EB"/>
    <w:rsid w:val="0027090A"/>
    <w:rsid w:val="00270A13"/>
    <w:rsid w:val="00270F4C"/>
    <w:rsid w:val="00271245"/>
    <w:rsid w:val="002717B1"/>
    <w:rsid w:val="002717BC"/>
    <w:rsid w:val="00271A2D"/>
    <w:rsid w:val="0027268A"/>
    <w:rsid w:val="00272DD0"/>
    <w:rsid w:val="0027351D"/>
    <w:rsid w:val="00273868"/>
    <w:rsid w:val="00273D0D"/>
    <w:rsid w:val="00274CB6"/>
    <w:rsid w:val="0027545A"/>
    <w:rsid w:val="00275FF6"/>
    <w:rsid w:val="00276D53"/>
    <w:rsid w:val="0027778B"/>
    <w:rsid w:val="002795DA"/>
    <w:rsid w:val="00282419"/>
    <w:rsid w:val="002842C3"/>
    <w:rsid w:val="00286309"/>
    <w:rsid w:val="00286957"/>
    <w:rsid w:val="00286CC4"/>
    <w:rsid w:val="00287E38"/>
    <w:rsid w:val="002900E9"/>
    <w:rsid w:val="0029243D"/>
    <w:rsid w:val="00292E49"/>
    <w:rsid w:val="00292ED1"/>
    <w:rsid w:val="002937B7"/>
    <w:rsid w:val="00293823"/>
    <w:rsid w:val="0029444E"/>
    <w:rsid w:val="0029449E"/>
    <w:rsid w:val="00295533"/>
    <w:rsid w:val="0029594B"/>
    <w:rsid w:val="00295F84"/>
    <w:rsid w:val="00297D24"/>
    <w:rsid w:val="002A04B9"/>
    <w:rsid w:val="002A234E"/>
    <w:rsid w:val="002A2B79"/>
    <w:rsid w:val="002A3767"/>
    <w:rsid w:val="002A48FE"/>
    <w:rsid w:val="002A4A68"/>
    <w:rsid w:val="002A5DDA"/>
    <w:rsid w:val="002A7BB5"/>
    <w:rsid w:val="002B0A0F"/>
    <w:rsid w:val="002B1995"/>
    <w:rsid w:val="002B2006"/>
    <w:rsid w:val="002B2530"/>
    <w:rsid w:val="002B289C"/>
    <w:rsid w:val="002B3159"/>
    <w:rsid w:val="002B32D2"/>
    <w:rsid w:val="002B3495"/>
    <w:rsid w:val="002B49D5"/>
    <w:rsid w:val="002B5556"/>
    <w:rsid w:val="002B6A67"/>
    <w:rsid w:val="002B6F04"/>
    <w:rsid w:val="002B7064"/>
    <w:rsid w:val="002B7A72"/>
    <w:rsid w:val="002B7CB3"/>
    <w:rsid w:val="002C179E"/>
    <w:rsid w:val="002C1CE5"/>
    <w:rsid w:val="002C220A"/>
    <w:rsid w:val="002C2DB5"/>
    <w:rsid w:val="002C2E1F"/>
    <w:rsid w:val="002C481B"/>
    <w:rsid w:val="002C485B"/>
    <w:rsid w:val="002C513E"/>
    <w:rsid w:val="002C55BE"/>
    <w:rsid w:val="002C5854"/>
    <w:rsid w:val="002C7125"/>
    <w:rsid w:val="002D1AFE"/>
    <w:rsid w:val="002D2683"/>
    <w:rsid w:val="002D2D1A"/>
    <w:rsid w:val="002D3014"/>
    <w:rsid w:val="002D3EB5"/>
    <w:rsid w:val="002D3FA1"/>
    <w:rsid w:val="002D4913"/>
    <w:rsid w:val="002D493D"/>
    <w:rsid w:val="002D514E"/>
    <w:rsid w:val="002D6698"/>
    <w:rsid w:val="002E1682"/>
    <w:rsid w:val="002E2FE4"/>
    <w:rsid w:val="002E320E"/>
    <w:rsid w:val="002E42EF"/>
    <w:rsid w:val="002E46F3"/>
    <w:rsid w:val="002E5182"/>
    <w:rsid w:val="002E53D9"/>
    <w:rsid w:val="002E6A39"/>
    <w:rsid w:val="002E6B24"/>
    <w:rsid w:val="002E7CAF"/>
    <w:rsid w:val="002F063D"/>
    <w:rsid w:val="002F1718"/>
    <w:rsid w:val="002F3922"/>
    <w:rsid w:val="002F3C74"/>
    <w:rsid w:val="002F3F52"/>
    <w:rsid w:val="002F44FE"/>
    <w:rsid w:val="002F4505"/>
    <w:rsid w:val="002F5294"/>
    <w:rsid w:val="002F5D48"/>
    <w:rsid w:val="002F7A38"/>
    <w:rsid w:val="0030019B"/>
    <w:rsid w:val="00300ADC"/>
    <w:rsid w:val="00300D6E"/>
    <w:rsid w:val="00300E28"/>
    <w:rsid w:val="003013AD"/>
    <w:rsid w:val="00301933"/>
    <w:rsid w:val="00301BF3"/>
    <w:rsid w:val="00302C03"/>
    <w:rsid w:val="003036E5"/>
    <w:rsid w:val="00304355"/>
    <w:rsid w:val="003048CC"/>
    <w:rsid w:val="00304F30"/>
    <w:rsid w:val="003053C6"/>
    <w:rsid w:val="0030794E"/>
    <w:rsid w:val="003100BD"/>
    <w:rsid w:val="0031081B"/>
    <w:rsid w:val="00310AA6"/>
    <w:rsid w:val="003134A1"/>
    <w:rsid w:val="00313AC6"/>
    <w:rsid w:val="00313F22"/>
    <w:rsid w:val="00314BAE"/>
    <w:rsid w:val="00314D9A"/>
    <w:rsid w:val="0031696F"/>
    <w:rsid w:val="003201C9"/>
    <w:rsid w:val="0032061A"/>
    <w:rsid w:val="003209BD"/>
    <w:rsid w:val="00320CFF"/>
    <w:rsid w:val="00321C78"/>
    <w:rsid w:val="003226D1"/>
    <w:rsid w:val="003235A7"/>
    <w:rsid w:val="00324CC7"/>
    <w:rsid w:val="00325C1A"/>
    <w:rsid w:val="00326030"/>
    <w:rsid w:val="003265B0"/>
    <w:rsid w:val="0032744A"/>
    <w:rsid w:val="003305B5"/>
    <w:rsid w:val="00330947"/>
    <w:rsid w:val="00331B77"/>
    <w:rsid w:val="00331EF1"/>
    <w:rsid w:val="00332FA1"/>
    <w:rsid w:val="0033316B"/>
    <w:rsid w:val="0033348A"/>
    <w:rsid w:val="00334DA5"/>
    <w:rsid w:val="00335713"/>
    <w:rsid w:val="00335DC7"/>
    <w:rsid w:val="00336A55"/>
    <w:rsid w:val="00337A11"/>
    <w:rsid w:val="00337B6D"/>
    <w:rsid w:val="00340984"/>
    <w:rsid w:val="00341664"/>
    <w:rsid w:val="003418E6"/>
    <w:rsid w:val="00342028"/>
    <w:rsid w:val="00342BF6"/>
    <w:rsid w:val="00343387"/>
    <w:rsid w:val="0034376B"/>
    <w:rsid w:val="00343E9B"/>
    <w:rsid w:val="003448D8"/>
    <w:rsid w:val="00344B6A"/>
    <w:rsid w:val="003459A6"/>
    <w:rsid w:val="003464E8"/>
    <w:rsid w:val="00346B6A"/>
    <w:rsid w:val="00347CE5"/>
    <w:rsid w:val="00350379"/>
    <w:rsid w:val="003522B3"/>
    <w:rsid w:val="003525BF"/>
    <w:rsid w:val="003530A7"/>
    <w:rsid w:val="003542E7"/>
    <w:rsid w:val="003561A8"/>
    <w:rsid w:val="0035644F"/>
    <w:rsid w:val="00357230"/>
    <w:rsid w:val="00357CAE"/>
    <w:rsid w:val="003606A1"/>
    <w:rsid w:val="00360828"/>
    <w:rsid w:val="00360959"/>
    <w:rsid w:val="003610FB"/>
    <w:rsid w:val="0036211D"/>
    <w:rsid w:val="00362444"/>
    <w:rsid w:val="00362538"/>
    <w:rsid w:val="00363A60"/>
    <w:rsid w:val="00364DC2"/>
    <w:rsid w:val="003656D9"/>
    <w:rsid w:val="003660ED"/>
    <w:rsid w:val="00366B4B"/>
    <w:rsid w:val="003725C1"/>
    <w:rsid w:val="00373245"/>
    <w:rsid w:val="00374F9B"/>
    <w:rsid w:val="003757A8"/>
    <w:rsid w:val="0037694E"/>
    <w:rsid w:val="00376A70"/>
    <w:rsid w:val="00377068"/>
    <w:rsid w:val="003808B4"/>
    <w:rsid w:val="00380EFD"/>
    <w:rsid w:val="00381478"/>
    <w:rsid w:val="00381704"/>
    <w:rsid w:val="00381A0C"/>
    <w:rsid w:val="0038204D"/>
    <w:rsid w:val="00382143"/>
    <w:rsid w:val="00386844"/>
    <w:rsid w:val="00387F19"/>
    <w:rsid w:val="00390A29"/>
    <w:rsid w:val="003917A0"/>
    <w:rsid w:val="003923EC"/>
    <w:rsid w:val="003925A1"/>
    <w:rsid w:val="003929EE"/>
    <w:rsid w:val="00392AB6"/>
    <w:rsid w:val="00394732"/>
    <w:rsid w:val="0039545D"/>
    <w:rsid w:val="00396FD5"/>
    <w:rsid w:val="003A0A07"/>
    <w:rsid w:val="003A0EC3"/>
    <w:rsid w:val="003A1890"/>
    <w:rsid w:val="003A2251"/>
    <w:rsid w:val="003A34FA"/>
    <w:rsid w:val="003A3C15"/>
    <w:rsid w:val="003A4FBB"/>
    <w:rsid w:val="003A515B"/>
    <w:rsid w:val="003A5376"/>
    <w:rsid w:val="003A55EE"/>
    <w:rsid w:val="003A5E4B"/>
    <w:rsid w:val="003A5F73"/>
    <w:rsid w:val="003A630E"/>
    <w:rsid w:val="003A6769"/>
    <w:rsid w:val="003B011B"/>
    <w:rsid w:val="003B0FD4"/>
    <w:rsid w:val="003B13B9"/>
    <w:rsid w:val="003B1A0B"/>
    <w:rsid w:val="003B1E5F"/>
    <w:rsid w:val="003B3487"/>
    <w:rsid w:val="003B4666"/>
    <w:rsid w:val="003B6770"/>
    <w:rsid w:val="003B791A"/>
    <w:rsid w:val="003B7CBD"/>
    <w:rsid w:val="003C0ED0"/>
    <w:rsid w:val="003C1610"/>
    <w:rsid w:val="003C163B"/>
    <w:rsid w:val="003C21BC"/>
    <w:rsid w:val="003C27CB"/>
    <w:rsid w:val="003C41BC"/>
    <w:rsid w:val="003C5033"/>
    <w:rsid w:val="003C5081"/>
    <w:rsid w:val="003C518B"/>
    <w:rsid w:val="003C56AE"/>
    <w:rsid w:val="003C5A5F"/>
    <w:rsid w:val="003C5EB7"/>
    <w:rsid w:val="003C612D"/>
    <w:rsid w:val="003C618B"/>
    <w:rsid w:val="003C6A0E"/>
    <w:rsid w:val="003C6F18"/>
    <w:rsid w:val="003D0892"/>
    <w:rsid w:val="003D4CBD"/>
    <w:rsid w:val="003D4CFB"/>
    <w:rsid w:val="003D5656"/>
    <w:rsid w:val="003D5A34"/>
    <w:rsid w:val="003D6423"/>
    <w:rsid w:val="003D67C3"/>
    <w:rsid w:val="003E0B95"/>
    <w:rsid w:val="003E0FDA"/>
    <w:rsid w:val="003E1C94"/>
    <w:rsid w:val="003E1F76"/>
    <w:rsid w:val="003E27E5"/>
    <w:rsid w:val="003E2998"/>
    <w:rsid w:val="003E2A4F"/>
    <w:rsid w:val="003E2C2C"/>
    <w:rsid w:val="003E3041"/>
    <w:rsid w:val="003E3A88"/>
    <w:rsid w:val="003E4BFB"/>
    <w:rsid w:val="003E4CC3"/>
    <w:rsid w:val="003E4E3B"/>
    <w:rsid w:val="003E5381"/>
    <w:rsid w:val="003E54BC"/>
    <w:rsid w:val="003E6A0F"/>
    <w:rsid w:val="003E7F3C"/>
    <w:rsid w:val="003F0E23"/>
    <w:rsid w:val="003F195E"/>
    <w:rsid w:val="003F1DBF"/>
    <w:rsid w:val="003F4807"/>
    <w:rsid w:val="00400EE4"/>
    <w:rsid w:val="00401236"/>
    <w:rsid w:val="004026C8"/>
    <w:rsid w:val="00402D06"/>
    <w:rsid w:val="004032A1"/>
    <w:rsid w:val="00403942"/>
    <w:rsid w:val="004043D9"/>
    <w:rsid w:val="00404830"/>
    <w:rsid w:val="00404869"/>
    <w:rsid w:val="00405E3F"/>
    <w:rsid w:val="00405E4E"/>
    <w:rsid w:val="004064C5"/>
    <w:rsid w:val="004067A2"/>
    <w:rsid w:val="00406B95"/>
    <w:rsid w:val="00406D35"/>
    <w:rsid w:val="00406DD4"/>
    <w:rsid w:val="004073A9"/>
    <w:rsid w:val="004074DB"/>
    <w:rsid w:val="0041032C"/>
    <w:rsid w:val="004108F3"/>
    <w:rsid w:val="00411486"/>
    <w:rsid w:val="004116E3"/>
    <w:rsid w:val="0041201F"/>
    <w:rsid w:val="0041269C"/>
    <w:rsid w:val="004135AF"/>
    <w:rsid w:val="00414239"/>
    <w:rsid w:val="004149A6"/>
    <w:rsid w:val="00414FBB"/>
    <w:rsid w:val="00415FB3"/>
    <w:rsid w:val="00416398"/>
    <w:rsid w:val="00416678"/>
    <w:rsid w:val="004166A6"/>
    <w:rsid w:val="00417CBE"/>
    <w:rsid w:val="00417DED"/>
    <w:rsid w:val="00420493"/>
    <w:rsid w:val="004207A4"/>
    <w:rsid w:val="00421447"/>
    <w:rsid w:val="00421A3B"/>
    <w:rsid w:val="00421ECD"/>
    <w:rsid w:val="00421F1B"/>
    <w:rsid w:val="00422BBB"/>
    <w:rsid w:val="00424850"/>
    <w:rsid w:val="00424D70"/>
    <w:rsid w:val="0042749C"/>
    <w:rsid w:val="00427517"/>
    <w:rsid w:val="0042792B"/>
    <w:rsid w:val="00427C45"/>
    <w:rsid w:val="00430F53"/>
    <w:rsid w:val="00431211"/>
    <w:rsid w:val="00434A62"/>
    <w:rsid w:val="00435A54"/>
    <w:rsid w:val="00435BA1"/>
    <w:rsid w:val="004364E0"/>
    <w:rsid w:val="00436DAA"/>
    <w:rsid w:val="00436E2E"/>
    <w:rsid w:val="004373AC"/>
    <w:rsid w:val="00440565"/>
    <w:rsid w:val="004415BE"/>
    <w:rsid w:val="004422C6"/>
    <w:rsid w:val="00443E99"/>
    <w:rsid w:val="004440AA"/>
    <w:rsid w:val="004443E7"/>
    <w:rsid w:val="00445F9A"/>
    <w:rsid w:val="00446137"/>
    <w:rsid w:val="00446A73"/>
    <w:rsid w:val="00447F12"/>
    <w:rsid w:val="00447F87"/>
    <w:rsid w:val="00447FAF"/>
    <w:rsid w:val="004501CC"/>
    <w:rsid w:val="0045039D"/>
    <w:rsid w:val="0045068E"/>
    <w:rsid w:val="00450CBE"/>
    <w:rsid w:val="00450E19"/>
    <w:rsid w:val="004512E8"/>
    <w:rsid w:val="00452101"/>
    <w:rsid w:val="00452AAA"/>
    <w:rsid w:val="00452F11"/>
    <w:rsid w:val="004531DB"/>
    <w:rsid w:val="00453676"/>
    <w:rsid w:val="004558D6"/>
    <w:rsid w:val="00457369"/>
    <w:rsid w:val="00457441"/>
    <w:rsid w:val="00457B5C"/>
    <w:rsid w:val="00457C8B"/>
    <w:rsid w:val="00457D22"/>
    <w:rsid w:val="0046020E"/>
    <w:rsid w:val="0046049A"/>
    <w:rsid w:val="004604E5"/>
    <w:rsid w:val="00460EEE"/>
    <w:rsid w:val="0046114C"/>
    <w:rsid w:val="00461B1F"/>
    <w:rsid w:val="00462649"/>
    <w:rsid w:val="00462C78"/>
    <w:rsid w:val="00463584"/>
    <w:rsid w:val="00463AB2"/>
    <w:rsid w:val="00463C43"/>
    <w:rsid w:val="004643DC"/>
    <w:rsid w:val="00464935"/>
    <w:rsid w:val="004655C6"/>
    <w:rsid w:val="004657E7"/>
    <w:rsid w:val="00466564"/>
    <w:rsid w:val="00467388"/>
    <w:rsid w:val="00467D9F"/>
    <w:rsid w:val="004706CF"/>
    <w:rsid w:val="00470A44"/>
    <w:rsid w:val="00470E87"/>
    <w:rsid w:val="00472027"/>
    <w:rsid w:val="00472373"/>
    <w:rsid w:val="0047249D"/>
    <w:rsid w:val="00472657"/>
    <w:rsid w:val="004730FF"/>
    <w:rsid w:val="00473216"/>
    <w:rsid w:val="00475663"/>
    <w:rsid w:val="004769BA"/>
    <w:rsid w:val="00476D8D"/>
    <w:rsid w:val="004808D1"/>
    <w:rsid w:val="00482664"/>
    <w:rsid w:val="00482979"/>
    <w:rsid w:val="00483407"/>
    <w:rsid w:val="004839E5"/>
    <w:rsid w:val="00483DA1"/>
    <w:rsid w:val="004842C4"/>
    <w:rsid w:val="004847BF"/>
    <w:rsid w:val="00484F6E"/>
    <w:rsid w:val="00485571"/>
    <w:rsid w:val="00485905"/>
    <w:rsid w:val="004860D7"/>
    <w:rsid w:val="00486894"/>
    <w:rsid w:val="00486C73"/>
    <w:rsid w:val="00486F7D"/>
    <w:rsid w:val="00487038"/>
    <w:rsid w:val="004874D7"/>
    <w:rsid w:val="004924AA"/>
    <w:rsid w:val="0049395F"/>
    <w:rsid w:val="004945C6"/>
    <w:rsid w:val="004946D5"/>
    <w:rsid w:val="00494968"/>
    <w:rsid w:val="00494A4C"/>
    <w:rsid w:val="00494DB1"/>
    <w:rsid w:val="00495F18"/>
    <w:rsid w:val="004965EE"/>
    <w:rsid w:val="00497192"/>
    <w:rsid w:val="004978FA"/>
    <w:rsid w:val="00497AEA"/>
    <w:rsid w:val="00497D0A"/>
    <w:rsid w:val="004A0D7C"/>
    <w:rsid w:val="004A1046"/>
    <w:rsid w:val="004A1D7E"/>
    <w:rsid w:val="004A2389"/>
    <w:rsid w:val="004A2A6C"/>
    <w:rsid w:val="004A355F"/>
    <w:rsid w:val="004A45A2"/>
    <w:rsid w:val="004A6AEB"/>
    <w:rsid w:val="004A6C4F"/>
    <w:rsid w:val="004A6EE5"/>
    <w:rsid w:val="004A7039"/>
    <w:rsid w:val="004A726D"/>
    <w:rsid w:val="004B0C20"/>
    <w:rsid w:val="004B0F65"/>
    <w:rsid w:val="004B1366"/>
    <w:rsid w:val="004B16A6"/>
    <w:rsid w:val="004B1E96"/>
    <w:rsid w:val="004B206D"/>
    <w:rsid w:val="004B25DC"/>
    <w:rsid w:val="004B31B9"/>
    <w:rsid w:val="004B5887"/>
    <w:rsid w:val="004B5AEB"/>
    <w:rsid w:val="004B5B3A"/>
    <w:rsid w:val="004B5B65"/>
    <w:rsid w:val="004B5BD2"/>
    <w:rsid w:val="004B5CF3"/>
    <w:rsid w:val="004B5E0E"/>
    <w:rsid w:val="004B684C"/>
    <w:rsid w:val="004B7079"/>
    <w:rsid w:val="004B7309"/>
    <w:rsid w:val="004C29A6"/>
    <w:rsid w:val="004C39AF"/>
    <w:rsid w:val="004C5A8A"/>
    <w:rsid w:val="004C6B28"/>
    <w:rsid w:val="004C738C"/>
    <w:rsid w:val="004D0EFE"/>
    <w:rsid w:val="004D2655"/>
    <w:rsid w:val="004D3AD4"/>
    <w:rsid w:val="004D4247"/>
    <w:rsid w:val="004D53F9"/>
    <w:rsid w:val="004D631C"/>
    <w:rsid w:val="004D636F"/>
    <w:rsid w:val="004D72FB"/>
    <w:rsid w:val="004D74E5"/>
    <w:rsid w:val="004D7831"/>
    <w:rsid w:val="004E134B"/>
    <w:rsid w:val="004E2ECE"/>
    <w:rsid w:val="004E5FAD"/>
    <w:rsid w:val="004E61FC"/>
    <w:rsid w:val="004E6EF1"/>
    <w:rsid w:val="004E73E3"/>
    <w:rsid w:val="004E7A6F"/>
    <w:rsid w:val="004F0AC4"/>
    <w:rsid w:val="004F171A"/>
    <w:rsid w:val="004F1F2D"/>
    <w:rsid w:val="004F254F"/>
    <w:rsid w:val="004F3133"/>
    <w:rsid w:val="004F358E"/>
    <w:rsid w:val="004F39E7"/>
    <w:rsid w:val="004F4101"/>
    <w:rsid w:val="004F4EF3"/>
    <w:rsid w:val="004F4EFE"/>
    <w:rsid w:val="004F4FEE"/>
    <w:rsid w:val="004F5073"/>
    <w:rsid w:val="004F5522"/>
    <w:rsid w:val="004F61C4"/>
    <w:rsid w:val="004F6AA4"/>
    <w:rsid w:val="004F733A"/>
    <w:rsid w:val="004F7572"/>
    <w:rsid w:val="004F77FE"/>
    <w:rsid w:val="004F7CE7"/>
    <w:rsid w:val="004F7E3E"/>
    <w:rsid w:val="005001BB"/>
    <w:rsid w:val="0050069F"/>
    <w:rsid w:val="005012C4"/>
    <w:rsid w:val="00502476"/>
    <w:rsid w:val="00503679"/>
    <w:rsid w:val="005036D7"/>
    <w:rsid w:val="00505084"/>
    <w:rsid w:val="005052BD"/>
    <w:rsid w:val="0050767E"/>
    <w:rsid w:val="0050782B"/>
    <w:rsid w:val="00507CAC"/>
    <w:rsid w:val="00507D0D"/>
    <w:rsid w:val="00507F8C"/>
    <w:rsid w:val="00507FBF"/>
    <w:rsid w:val="00510E7A"/>
    <w:rsid w:val="0051165B"/>
    <w:rsid w:val="00511698"/>
    <w:rsid w:val="00512A41"/>
    <w:rsid w:val="00512B04"/>
    <w:rsid w:val="00512FE8"/>
    <w:rsid w:val="0051323A"/>
    <w:rsid w:val="00513CB3"/>
    <w:rsid w:val="005151E9"/>
    <w:rsid w:val="00516AD9"/>
    <w:rsid w:val="005171E7"/>
    <w:rsid w:val="00520BE6"/>
    <w:rsid w:val="00522001"/>
    <w:rsid w:val="00522360"/>
    <w:rsid w:val="00522534"/>
    <w:rsid w:val="005225BE"/>
    <w:rsid w:val="00522E7C"/>
    <w:rsid w:val="005233AF"/>
    <w:rsid w:val="005238F3"/>
    <w:rsid w:val="00525251"/>
    <w:rsid w:val="00525294"/>
    <w:rsid w:val="00525BAB"/>
    <w:rsid w:val="00526FB5"/>
    <w:rsid w:val="005303BB"/>
    <w:rsid w:val="00531091"/>
    <w:rsid w:val="0053122A"/>
    <w:rsid w:val="00531439"/>
    <w:rsid w:val="005348B6"/>
    <w:rsid w:val="00534C14"/>
    <w:rsid w:val="00534DE4"/>
    <w:rsid w:val="0053516D"/>
    <w:rsid w:val="005354B7"/>
    <w:rsid w:val="005367D6"/>
    <w:rsid w:val="00536D35"/>
    <w:rsid w:val="00537055"/>
    <w:rsid w:val="00537B29"/>
    <w:rsid w:val="00537D1C"/>
    <w:rsid w:val="00540A84"/>
    <w:rsid w:val="00541257"/>
    <w:rsid w:val="00541451"/>
    <w:rsid w:val="005418B1"/>
    <w:rsid w:val="00541F20"/>
    <w:rsid w:val="0054209A"/>
    <w:rsid w:val="00543418"/>
    <w:rsid w:val="005440BF"/>
    <w:rsid w:val="00544C80"/>
    <w:rsid w:val="0054585A"/>
    <w:rsid w:val="00545C7F"/>
    <w:rsid w:val="005466BA"/>
    <w:rsid w:val="005471DF"/>
    <w:rsid w:val="00550BC0"/>
    <w:rsid w:val="0055213B"/>
    <w:rsid w:val="00552486"/>
    <w:rsid w:val="00553949"/>
    <w:rsid w:val="00553F59"/>
    <w:rsid w:val="005540BB"/>
    <w:rsid w:val="0055541B"/>
    <w:rsid w:val="005556E4"/>
    <w:rsid w:val="005562F0"/>
    <w:rsid w:val="00556400"/>
    <w:rsid w:val="00556BF7"/>
    <w:rsid w:val="005578BB"/>
    <w:rsid w:val="00557F60"/>
    <w:rsid w:val="00557FAB"/>
    <w:rsid w:val="00560381"/>
    <w:rsid w:val="005603DA"/>
    <w:rsid w:val="0056089A"/>
    <w:rsid w:val="00560AF0"/>
    <w:rsid w:val="00561498"/>
    <w:rsid w:val="00561B56"/>
    <w:rsid w:val="00561CDA"/>
    <w:rsid w:val="00562187"/>
    <w:rsid w:val="005628EB"/>
    <w:rsid w:val="00563D31"/>
    <w:rsid w:val="0056403A"/>
    <w:rsid w:val="00565CA7"/>
    <w:rsid w:val="005665E6"/>
    <w:rsid w:val="00567392"/>
    <w:rsid w:val="00567618"/>
    <w:rsid w:val="005710E9"/>
    <w:rsid w:val="005711EF"/>
    <w:rsid w:val="00571441"/>
    <w:rsid w:val="00573042"/>
    <w:rsid w:val="005736E8"/>
    <w:rsid w:val="005736FB"/>
    <w:rsid w:val="00573ED3"/>
    <w:rsid w:val="00574DC6"/>
    <w:rsid w:val="005750A8"/>
    <w:rsid w:val="0057585F"/>
    <w:rsid w:val="00575FCA"/>
    <w:rsid w:val="005770C5"/>
    <w:rsid w:val="00577C3A"/>
    <w:rsid w:val="00580CE7"/>
    <w:rsid w:val="0058148B"/>
    <w:rsid w:val="00581BE5"/>
    <w:rsid w:val="00581F8E"/>
    <w:rsid w:val="00582C7B"/>
    <w:rsid w:val="00582CCD"/>
    <w:rsid w:val="00582D54"/>
    <w:rsid w:val="0058346C"/>
    <w:rsid w:val="005836A8"/>
    <w:rsid w:val="00584B83"/>
    <w:rsid w:val="00585C78"/>
    <w:rsid w:val="00585C84"/>
    <w:rsid w:val="00585F76"/>
    <w:rsid w:val="0058692B"/>
    <w:rsid w:val="00586B81"/>
    <w:rsid w:val="00587856"/>
    <w:rsid w:val="005911E7"/>
    <w:rsid w:val="005916D0"/>
    <w:rsid w:val="00591FD1"/>
    <w:rsid w:val="00592707"/>
    <w:rsid w:val="00593225"/>
    <w:rsid w:val="00594026"/>
    <w:rsid w:val="00594C45"/>
    <w:rsid w:val="00595BFA"/>
    <w:rsid w:val="0059652E"/>
    <w:rsid w:val="00596A39"/>
    <w:rsid w:val="00597D00"/>
    <w:rsid w:val="005A1125"/>
    <w:rsid w:val="005A15CB"/>
    <w:rsid w:val="005A314A"/>
    <w:rsid w:val="005A3CB6"/>
    <w:rsid w:val="005A4825"/>
    <w:rsid w:val="005A6B3E"/>
    <w:rsid w:val="005A6BF7"/>
    <w:rsid w:val="005AB127"/>
    <w:rsid w:val="005B02C2"/>
    <w:rsid w:val="005B0455"/>
    <w:rsid w:val="005B0F5A"/>
    <w:rsid w:val="005B1215"/>
    <w:rsid w:val="005B200A"/>
    <w:rsid w:val="005B28FD"/>
    <w:rsid w:val="005B3398"/>
    <w:rsid w:val="005B3B74"/>
    <w:rsid w:val="005B4DD8"/>
    <w:rsid w:val="005B4E2F"/>
    <w:rsid w:val="005C05BC"/>
    <w:rsid w:val="005C0990"/>
    <w:rsid w:val="005C127E"/>
    <w:rsid w:val="005C1E4A"/>
    <w:rsid w:val="005C1F1E"/>
    <w:rsid w:val="005C20BE"/>
    <w:rsid w:val="005C2C32"/>
    <w:rsid w:val="005C3004"/>
    <w:rsid w:val="005C31E6"/>
    <w:rsid w:val="005C40E1"/>
    <w:rsid w:val="005C455A"/>
    <w:rsid w:val="005C46D1"/>
    <w:rsid w:val="005C4FE2"/>
    <w:rsid w:val="005C536E"/>
    <w:rsid w:val="005C5AA8"/>
    <w:rsid w:val="005C5F64"/>
    <w:rsid w:val="005C6653"/>
    <w:rsid w:val="005C7BB1"/>
    <w:rsid w:val="005C7DDF"/>
    <w:rsid w:val="005C7FB3"/>
    <w:rsid w:val="005D2E6E"/>
    <w:rsid w:val="005D413C"/>
    <w:rsid w:val="005D4A3D"/>
    <w:rsid w:val="005D5B59"/>
    <w:rsid w:val="005D5CA8"/>
    <w:rsid w:val="005D5DDF"/>
    <w:rsid w:val="005D65BA"/>
    <w:rsid w:val="005D68ED"/>
    <w:rsid w:val="005E12CD"/>
    <w:rsid w:val="005E1962"/>
    <w:rsid w:val="005E2E1C"/>
    <w:rsid w:val="005E3042"/>
    <w:rsid w:val="005E38E3"/>
    <w:rsid w:val="005E3D00"/>
    <w:rsid w:val="005E46CB"/>
    <w:rsid w:val="005E50D6"/>
    <w:rsid w:val="005E516D"/>
    <w:rsid w:val="005E641C"/>
    <w:rsid w:val="005E6B9E"/>
    <w:rsid w:val="005E7C9A"/>
    <w:rsid w:val="005F05B9"/>
    <w:rsid w:val="005F26F5"/>
    <w:rsid w:val="005F3290"/>
    <w:rsid w:val="005F3FC8"/>
    <w:rsid w:val="005F4473"/>
    <w:rsid w:val="005F5721"/>
    <w:rsid w:val="005F6405"/>
    <w:rsid w:val="006011AE"/>
    <w:rsid w:val="006018BA"/>
    <w:rsid w:val="00602276"/>
    <w:rsid w:val="00604860"/>
    <w:rsid w:val="006049C8"/>
    <w:rsid w:val="00604D1F"/>
    <w:rsid w:val="00604E65"/>
    <w:rsid w:val="00606382"/>
    <w:rsid w:val="0060689F"/>
    <w:rsid w:val="00607DD5"/>
    <w:rsid w:val="00611377"/>
    <w:rsid w:val="00611766"/>
    <w:rsid w:val="00611876"/>
    <w:rsid w:val="0061217A"/>
    <w:rsid w:val="00613DDD"/>
    <w:rsid w:val="00613F73"/>
    <w:rsid w:val="006147F0"/>
    <w:rsid w:val="00615C7D"/>
    <w:rsid w:val="00615D68"/>
    <w:rsid w:val="006168E5"/>
    <w:rsid w:val="00616CA8"/>
    <w:rsid w:val="00616D31"/>
    <w:rsid w:val="0061790D"/>
    <w:rsid w:val="00617A15"/>
    <w:rsid w:val="00620BC6"/>
    <w:rsid w:val="00622588"/>
    <w:rsid w:val="00622BCE"/>
    <w:rsid w:val="00623D0F"/>
    <w:rsid w:val="0062435C"/>
    <w:rsid w:val="00625CCF"/>
    <w:rsid w:val="00625ECB"/>
    <w:rsid w:val="00626DE2"/>
    <w:rsid w:val="006275BC"/>
    <w:rsid w:val="0063144D"/>
    <w:rsid w:val="0063188C"/>
    <w:rsid w:val="0063215B"/>
    <w:rsid w:val="006327A3"/>
    <w:rsid w:val="006348ED"/>
    <w:rsid w:val="0063494F"/>
    <w:rsid w:val="00635EBC"/>
    <w:rsid w:val="00636016"/>
    <w:rsid w:val="006371CA"/>
    <w:rsid w:val="006375CF"/>
    <w:rsid w:val="0063774E"/>
    <w:rsid w:val="006379AD"/>
    <w:rsid w:val="00637F40"/>
    <w:rsid w:val="00640B80"/>
    <w:rsid w:val="00641033"/>
    <w:rsid w:val="00641231"/>
    <w:rsid w:val="006415C5"/>
    <w:rsid w:val="006432B9"/>
    <w:rsid w:val="0064417A"/>
    <w:rsid w:val="00644893"/>
    <w:rsid w:val="00644962"/>
    <w:rsid w:val="00644B68"/>
    <w:rsid w:val="00647195"/>
    <w:rsid w:val="00647948"/>
    <w:rsid w:val="00647E73"/>
    <w:rsid w:val="0065112F"/>
    <w:rsid w:val="00652D6A"/>
    <w:rsid w:val="00653397"/>
    <w:rsid w:val="006537A2"/>
    <w:rsid w:val="00653879"/>
    <w:rsid w:val="00653BD3"/>
    <w:rsid w:val="006553D5"/>
    <w:rsid w:val="00655621"/>
    <w:rsid w:val="00655FF6"/>
    <w:rsid w:val="00656291"/>
    <w:rsid w:val="006600AC"/>
    <w:rsid w:val="0066043A"/>
    <w:rsid w:val="006607AB"/>
    <w:rsid w:val="00661D98"/>
    <w:rsid w:val="00662287"/>
    <w:rsid w:val="00662F84"/>
    <w:rsid w:val="00663787"/>
    <w:rsid w:val="00665503"/>
    <w:rsid w:val="00665907"/>
    <w:rsid w:val="00665CF8"/>
    <w:rsid w:val="00665F4E"/>
    <w:rsid w:val="00667CB9"/>
    <w:rsid w:val="00670905"/>
    <w:rsid w:val="00670A65"/>
    <w:rsid w:val="0067387C"/>
    <w:rsid w:val="006759C3"/>
    <w:rsid w:val="00676D0A"/>
    <w:rsid w:val="0067775B"/>
    <w:rsid w:val="006778BF"/>
    <w:rsid w:val="0068109B"/>
    <w:rsid w:val="00681EB8"/>
    <w:rsid w:val="00683425"/>
    <w:rsid w:val="0068402E"/>
    <w:rsid w:val="0068446B"/>
    <w:rsid w:val="00685305"/>
    <w:rsid w:val="0068562D"/>
    <w:rsid w:val="00685663"/>
    <w:rsid w:val="00686246"/>
    <w:rsid w:val="00686BDE"/>
    <w:rsid w:val="00687139"/>
    <w:rsid w:val="00687A62"/>
    <w:rsid w:val="00691217"/>
    <w:rsid w:val="00691581"/>
    <w:rsid w:val="0069248C"/>
    <w:rsid w:val="0069296F"/>
    <w:rsid w:val="006931E5"/>
    <w:rsid w:val="00693E6E"/>
    <w:rsid w:val="00694D35"/>
    <w:rsid w:val="00695F90"/>
    <w:rsid w:val="00696BE4"/>
    <w:rsid w:val="006977A8"/>
    <w:rsid w:val="00697BAD"/>
    <w:rsid w:val="006A023E"/>
    <w:rsid w:val="006A04B7"/>
    <w:rsid w:val="006A04FF"/>
    <w:rsid w:val="006A0CB5"/>
    <w:rsid w:val="006A11A8"/>
    <w:rsid w:val="006A187F"/>
    <w:rsid w:val="006A6219"/>
    <w:rsid w:val="006A6BF0"/>
    <w:rsid w:val="006B0FA3"/>
    <w:rsid w:val="006B17D8"/>
    <w:rsid w:val="006B1C4B"/>
    <w:rsid w:val="006B1E17"/>
    <w:rsid w:val="006B2926"/>
    <w:rsid w:val="006B34CD"/>
    <w:rsid w:val="006B3660"/>
    <w:rsid w:val="006B3807"/>
    <w:rsid w:val="006B43E8"/>
    <w:rsid w:val="006B4E76"/>
    <w:rsid w:val="006B5150"/>
    <w:rsid w:val="006B5182"/>
    <w:rsid w:val="006B5E61"/>
    <w:rsid w:val="006B5FF9"/>
    <w:rsid w:val="006B62B2"/>
    <w:rsid w:val="006C06FF"/>
    <w:rsid w:val="006C0969"/>
    <w:rsid w:val="006C283E"/>
    <w:rsid w:val="006C3E9E"/>
    <w:rsid w:val="006C483E"/>
    <w:rsid w:val="006C4B06"/>
    <w:rsid w:val="006C4C62"/>
    <w:rsid w:val="006C4EA2"/>
    <w:rsid w:val="006C651D"/>
    <w:rsid w:val="006C67FE"/>
    <w:rsid w:val="006C6D21"/>
    <w:rsid w:val="006C7CD9"/>
    <w:rsid w:val="006D0409"/>
    <w:rsid w:val="006D143E"/>
    <w:rsid w:val="006D26A7"/>
    <w:rsid w:val="006D2BC5"/>
    <w:rsid w:val="006D3AF0"/>
    <w:rsid w:val="006D58AD"/>
    <w:rsid w:val="006D5B00"/>
    <w:rsid w:val="006D5FC5"/>
    <w:rsid w:val="006D6082"/>
    <w:rsid w:val="006D6628"/>
    <w:rsid w:val="006D6DDB"/>
    <w:rsid w:val="006D76E3"/>
    <w:rsid w:val="006D76F0"/>
    <w:rsid w:val="006E05E9"/>
    <w:rsid w:val="006E0DF0"/>
    <w:rsid w:val="006E0F11"/>
    <w:rsid w:val="006E27C9"/>
    <w:rsid w:val="006E283F"/>
    <w:rsid w:val="006E328E"/>
    <w:rsid w:val="006E3C38"/>
    <w:rsid w:val="006E3C6E"/>
    <w:rsid w:val="006E460C"/>
    <w:rsid w:val="006E4A11"/>
    <w:rsid w:val="006E5E28"/>
    <w:rsid w:val="006E5F45"/>
    <w:rsid w:val="006E6781"/>
    <w:rsid w:val="006F0221"/>
    <w:rsid w:val="006F05C3"/>
    <w:rsid w:val="006F10EB"/>
    <w:rsid w:val="006F1289"/>
    <w:rsid w:val="006F1A30"/>
    <w:rsid w:val="006F2BC8"/>
    <w:rsid w:val="006F32FB"/>
    <w:rsid w:val="006F4877"/>
    <w:rsid w:val="006F4ECC"/>
    <w:rsid w:val="006F5AF6"/>
    <w:rsid w:val="006F5E8E"/>
    <w:rsid w:val="006F6591"/>
    <w:rsid w:val="006F7886"/>
    <w:rsid w:val="0070208C"/>
    <w:rsid w:val="00702244"/>
    <w:rsid w:val="00702EB5"/>
    <w:rsid w:val="00703385"/>
    <w:rsid w:val="00703529"/>
    <w:rsid w:val="0070456D"/>
    <w:rsid w:val="00704629"/>
    <w:rsid w:val="00705AEA"/>
    <w:rsid w:val="00705D5B"/>
    <w:rsid w:val="0071039F"/>
    <w:rsid w:val="00711576"/>
    <w:rsid w:val="0071160E"/>
    <w:rsid w:val="00712151"/>
    <w:rsid w:val="007123EA"/>
    <w:rsid w:val="00712C14"/>
    <w:rsid w:val="00713B63"/>
    <w:rsid w:val="007151C3"/>
    <w:rsid w:val="00715420"/>
    <w:rsid w:val="00715A6A"/>
    <w:rsid w:val="00715C21"/>
    <w:rsid w:val="007167EA"/>
    <w:rsid w:val="007207F6"/>
    <w:rsid w:val="0072080E"/>
    <w:rsid w:val="0072134A"/>
    <w:rsid w:val="00721FDA"/>
    <w:rsid w:val="00723B0F"/>
    <w:rsid w:val="00724157"/>
    <w:rsid w:val="007268BF"/>
    <w:rsid w:val="007271AD"/>
    <w:rsid w:val="00727C5A"/>
    <w:rsid w:val="00727C97"/>
    <w:rsid w:val="0073020E"/>
    <w:rsid w:val="0073375F"/>
    <w:rsid w:val="007337AC"/>
    <w:rsid w:val="00733C15"/>
    <w:rsid w:val="007343A4"/>
    <w:rsid w:val="007366AA"/>
    <w:rsid w:val="007409B9"/>
    <w:rsid w:val="00740E1C"/>
    <w:rsid w:val="00740F07"/>
    <w:rsid w:val="00743F2F"/>
    <w:rsid w:val="00743F7A"/>
    <w:rsid w:val="00744A34"/>
    <w:rsid w:val="00745A1B"/>
    <w:rsid w:val="00746060"/>
    <w:rsid w:val="0074679E"/>
    <w:rsid w:val="00747108"/>
    <w:rsid w:val="007476FE"/>
    <w:rsid w:val="00747923"/>
    <w:rsid w:val="00747F5A"/>
    <w:rsid w:val="00750612"/>
    <w:rsid w:val="0075078A"/>
    <w:rsid w:val="007519AA"/>
    <w:rsid w:val="00751F65"/>
    <w:rsid w:val="00752154"/>
    <w:rsid w:val="007526D0"/>
    <w:rsid w:val="00753347"/>
    <w:rsid w:val="007552CD"/>
    <w:rsid w:val="00755E8A"/>
    <w:rsid w:val="007570B5"/>
    <w:rsid w:val="00757535"/>
    <w:rsid w:val="00757C72"/>
    <w:rsid w:val="00760637"/>
    <w:rsid w:val="007607C4"/>
    <w:rsid w:val="007610D7"/>
    <w:rsid w:val="00762DCF"/>
    <w:rsid w:val="0076347E"/>
    <w:rsid w:val="007658CA"/>
    <w:rsid w:val="0076591D"/>
    <w:rsid w:val="00765A42"/>
    <w:rsid w:val="00766104"/>
    <w:rsid w:val="00766149"/>
    <w:rsid w:val="00766B33"/>
    <w:rsid w:val="00767AAF"/>
    <w:rsid w:val="00770E29"/>
    <w:rsid w:val="00771284"/>
    <w:rsid w:val="00771666"/>
    <w:rsid w:val="007724E8"/>
    <w:rsid w:val="00773E98"/>
    <w:rsid w:val="00774700"/>
    <w:rsid w:val="00775645"/>
    <w:rsid w:val="00775AB5"/>
    <w:rsid w:val="00775B54"/>
    <w:rsid w:val="00776694"/>
    <w:rsid w:val="0078044B"/>
    <w:rsid w:val="007804D8"/>
    <w:rsid w:val="007806C1"/>
    <w:rsid w:val="00780CCD"/>
    <w:rsid w:val="00781E61"/>
    <w:rsid w:val="007832AA"/>
    <w:rsid w:val="00784AAF"/>
    <w:rsid w:val="00785354"/>
    <w:rsid w:val="00785EA6"/>
    <w:rsid w:val="00787370"/>
    <w:rsid w:val="007901A2"/>
    <w:rsid w:val="00790483"/>
    <w:rsid w:val="00792B5B"/>
    <w:rsid w:val="0079475E"/>
    <w:rsid w:val="007948C6"/>
    <w:rsid w:val="007964B7"/>
    <w:rsid w:val="00796C0A"/>
    <w:rsid w:val="00796D77"/>
    <w:rsid w:val="00796F11"/>
    <w:rsid w:val="00797064"/>
    <w:rsid w:val="00797EA6"/>
    <w:rsid w:val="007A154D"/>
    <w:rsid w:val="007A1C8F"/>
    <w:rsid w:val="007A1E59"/>
    <w:rsid w:val="007A21AC"/>
    <w:rsid w:val="007A2D02"/>
    <w:rsid w:val="007A2FAC"/>
    <w:rsid w:val="007A40CB"/>
    <w:rsid w:val="007A413D"/>
    <w:rsid w:val="007A427F"/>
    <w:rsid w:val="007A4FD2"/>
    <w:rsid w:val="007A74EE"/>
    <w:rsid w:val="007B0040"/>
    <w:rsid w:val="007B07EC"/>
    <w:rsid w:val="007B1F16"/>
    <w:rsid w:val="007B2297"/>
    <w:rsid w:val="007B4153"/>
    <w:rsid w:val="007B48D9"/>
    <w:rsid w:val="007B4C39"/>
    <w:rsid w:val="007B56E4"/>
    <w:rsid w:val="007B5E7F"/>
    <w:rsid w:val="007B6583"/>
    <w:rsid w:val="007B66AF"/>
    <w:rsid w:val="007B6818"/>
    <w:rsid w:val="007B69A5"/>
    <w:rsid w:val="007B6B58"/>
    <w:rsid w:val="007B6C88"/>
    <w:rsid w:val="007B719A"/>
    <w:rsid w:val="007C0018"/>
    <w:rsid w:val="007C019D"/>
    <w:rsid w:val="007C0A05"/>
    <w:rsid w:val="007C0D01"/>
    <w:rsid w:val="007C1216"/>
    <w:rsid w:val="007C12E6"/>
    <w:rsid w:val="007C1E44"/>
    <w:rsid w:val="007C1EA4"/>
    <w:rsid w:val="007C2239"/>
    <w:rsid w:val="007C3626"/>
    <w:rsid w:val="007C3903"/>
    <w:rsid w:val="007C3FBD"/>
    <w:rsid w:val="007C4CD5"/>
    <w:rsid w:val="007C5893"/>
    <w:rsid w:val="007C6576"/>
    <w:rsid w:val="007C688C"/>
    <w:rsid w:val="007C706E"/>
    <w:rsid w:val="007C7573"/>
    <w:rsid w:val="007C78B3"/>
    <w:rsid w:val="007D13F3"/>
    <w:rsid w:val="007D233D"/>
    <w:rsid w:val="007D2F89"/>
    <w:rsid w:val="007D434D"/>
    <w:rsid w:val="007D43EF"/>
    <w:rsid w:val="007D5007"/>
    <w:rsid w:val="007D797E"/>
    <w:rsid w:val="007E097E"/>
    <w:rsid w:val="007E2034"/>
    <w:rsid w:val="007E21AB"/>
    <w:rsid w:val="007E4404"/>
    <w:rsid w:val="007E4D40"/>
    <w:rsid w:val="007E50D4"/>
    <w:rsid w:val="007E593C"/>
    <w:rsid w:val="007E5C25"/>
    <w:rsid w:val="007E5D28"/>
    <w:rsid w:val="007E6BF7"/>
    <w:rsid w:val="007E6D0E"/>
    <w:rsid w:val="007E6F44"/>
    <w:rsid w:val="007E70DA"/>
    <w:rsid w:val="007E7AC4"/>
    <w:rsid w:val="007F0D6C"/>
    <w:rsid w:val="007F1128"/>
    <w:rsid w:val="007F2840"/>
    <w:rsid w:val="007F36A1"/>
    <w:rsid w:val="007F3D41"/>
    <w:rsid w:val="007F4E84"/>
    <w:rsid w:val="007F55ED"/>
    <w:rsid w:val="007F5A41"/>
    <w:rsid w:val="007F5AAB"/>
    <w:rsid w:val="007F5D11"/>
    <w:rsid w:val="007F603B"/>
    <w:rsid w:val="007F778E"/>
    <w:rsid w:val="00800E35"/>
    <w:rsid w:val="00802E0C"/>
    <w:rsid w:val="00803F57"/>
    <w:rsid w:val="00810954"/>
    <w:rsid w:val="008124AD"/>
    <w:rsid w:val="00812AC0"/>
    <w:rsid w:val="00813434"/>
    <w:rsid w:val="00814E9E"/>
    <w:rsid w:val="0081590F"/>
    <w:rsid w:val="008162FE"/>
    <w:rsid w:val="00816687"/>
    <w:rsid w:val="008170CA"/>
    <w:rsid w:val="00817AB1"/>
    <w:rsid w:val="00820016"/>
    <w:rsid w:val="008200F5"/>
    <w:rsid w:val="00820100"/>
    <w:rsid w:val="00822286"/>
    <w:rsid w:val="008236D1"/>
    <w:rsid w:val="008236E3"/>
    <w:rsid w:val="00823907"/>
    <w:rsid w:val="00823D60"/>
    <w:rsid w:val="00824BCA"/>
    <w:rsid w:val="008252A5"/>
    <w:rsid w:val="00825BB4"/>
    <w:rsid w:val="00825D9C"/>
    <w:rsid w:val="00826A16"/>
    <w:rsid w:val="00826D13"/>
    <w:rsid w:val="00827A66"/>
    <w:rsid w:val="008306E9"/>
    <w:rsid w:val="0083072E"/>
    <w:rsid w:val="00830C17"/>
    <w:rsid w:val="008335CC"/>
    <w:rsid w:val="00833A1D"/>
    <w:rsid w:val="008345F5"/>
    <w:rsid w:val="008347D8"/>
    <w:rsid w:val="0083507E"/>
    <w:rsid w:val="00835708"/>
    <w:rsid w:val="008365A5"/>
    <w:rsid w:val="00837837"/>
    <w:rsid w:val="008401BF"/>
    <w:rsid w:val="008402A0"/>
    <w:rsid w:val="00840FD5"/>
    <w:rsid w:val="00841636"/>
    <w:rsid w:val="008422CE"/>
    <w:rsid w:val="008426E4"/>
    <w:rsid w:val="00844A33"/>
    <w:rsid w:val="00845D2D"/>
    <w:rsid w:val="00845FF3"/>
    <w:rsid w:val="00846FA4"/>
    <w:rsid w:val="00847237"/>
    <w:rsid w:val="008473C9"/>
    <w:rsid w:val="008510FA"/>
    <w:rsid w:val="00852C25"/>
    <w:rsid w:val="008541A6"/>
    <w:rsid w:val="00854362"/>
    <w:rsid w:val="00854DB9"/>
    <w:rsid w:val="00855461"/>
    <w:rsid w:val="00857B0B"/>
    <w:rsid w:val="00857E5D"/>
    <w:rsid w:val="00857FDC"/>
    <w:rsid w:val="00860286"/>
    <w:rsid w:val="00860920"/>
    <w:rsid w:val="00860A47"/>
    <w:rsid w:val="008618CB"/>
    <w:rsid w:val="00862F4A"/>
    <w:rsid w:val="008641F4"/>
    <w:rsid w:val="008644CB"/>
    <w:rsid w:val="00864B9D"/>
    <w:rsid w:val="00864C42"/>
    <w:rsid w:val="0086538D"/>
    <w:rsid w:val="0086572F"/>
    <w:rsid w:val="008660DD"/>
    <w:rsid w:val="00867839"/>
    <w:rsid w:val="00867C6D"/>
    <w:rsid w:val="00870027"/>
    <w:rsid w:val="008703DC"/>
    <w:rsid w:val="00870AF4"/>
    <w:rsid w:val="00870D7F"/>
    <w:rsid w:val="0087108E"/>
    <w:rsid w:val="0087257F"/>
    <w:rsid w:val="0087366E"/>
    <w:rsid w:val="00873DE1"/>
    <w:rsid w:val="00874451"/>
    <w:rsid w:val="00874704"/>
    <w:rsid w:val="00874885"/>
    <w:rsid w:val="00874CF7"/>
    <w:rsid w:val="00874D01"/>
    <w:rsid w:val="00875110"/>
    <w:rsid w:val="00875286"/>
    <w:rsid w:val="008752C0"/>
    <w:rsid w:val="0087681D"/>
    <w:rsid w:val="00876EE1"/>
    <w:rsid w:val="008772F3"/>
    <w:rsid w:val="00877A9C"/>
    <w:rsid w:val="00877B8D"/>
    <w:rsid w:val="00877C82"/>
    <w:rsid w:val="00880725"/>
    <w:rsid w:val="008808AD"/>
    <w:rsid w:val="00880FF6"/>
    <w:rsid w:val="0088130E"/>
    <w:rsid w:val="00881516"/>
    <w:rsid w:val="0088223B"/>
    <w:rsid w:val="00882288"/>
    <w:rsid w:val="00882495"/>
    <w:rsid w:val="008824F2"/>
    <w:rsid w:val="00882831"/>
    <w:rsid w:val="00882D92"/>
    <w:rsid w:val="00882F2A"/>
    <w:rsid w:val="008838F0"/>
    <w:rsid w:val="00883F0D"/>
    <w:rsid w:val="00884420"/>
    <w:rsid w:val="00885101"/>
    <w:rsid w:val="00885826"/>
    <w:rsid w:val="0088774A"/>
    <w:rsid w:val="008878DC"/>
    <w:rsid w:val="00887948"/>
    <w:rsid w:val="0088794E"/>
    <w:rsid w:val="00887B2C"/>
    <w:rsid w:val="00887DCC"/>
    <w:rsid w:val="008904A5"/>
    <w:rsid w:val="00890880"/>
    <w:rsid w:val="008914C4"/>
    <w:rsid w:val="008917FF"/>
    <w:rsid w:val="00892962"/>
    <w:rsid w:val="008930AE"/>
    <w:rsid w:val="00893A8F"/>
    <w:rsid w:val="00893A9D"/>
    <w:rsid w:val="0089440B"/>
    <w:rsid w:val="008946EB"/>
    <w:rsid w:val="008960D7"/>
    <w:rsid w:val="008969D7"/>
    <w:rsid w:val="008969EC"/>
    <w:rsid w:val="00896CD7"/>
    <w:rsid w:val="00897949"/>
    <w:rsid w:val="00897B97"/>
    <w:rsid w:val="00897DF6"/>
    <w:rsid w:val="008A0282"/>
    <w:rsid w:val="008A1993"/>
    <w:rsid w:val="008A1FD8"/>
    <w:rsid w:val="008A2362"/>
    <w:rsid w:val="008A247F"/>
    <w:rsid w:val="008A29CD"/>
    <w:rsid w:val="008A2F91"/>
    <w:rsid w:val="008A3BC5"/>
    <w:rsid w:val="008A3D5C"/>
    <w:rsid w:val="008A47FF"/>
    <w:rsid w:val="008A4F7C"/>
    <w:rsid w:val="008A709C"/>
    <w:rsid w:val="008A7610"/>
    <w:rsid w:val="008B01E3"/>
    <w:rsid w:val="008B045B"/>
    <w:rsid w:val="008B10E6"/>
    <w:rsid w:val="008B148C"/>
    <w:rsid w:val="008B3CAD"/>
    <w:rsid w:val="008B4ED6"/>
    <w:rsid w:val="008B5308"/>
    <w:rsid w:val="008B5895"/>
    <w:rsid w:val="008B7177"/>
    <w:rsid w:val="008C2959"/>
    <w:rsid w:val="008C3EF1"/>
    <w:rsid w:val="008C4EA7"/>
    <w:rsid w:val="008C51E0"/>
    <w:rsid w:val="008C526C"/>
    <w:rsid w:val="008C59CD"/>
    <w:rsid w:val="008C6E67"/>
    <w:rsid w:val="008C71F9"/>
    <w:rsid w:val="008C73C9"/>
    <w:rsid w:val="008D1F3A"/>
    <w:rsid w:val="008D25A4"/>
    <w:rsid w:val="008D3BFD"/>
    <w:rsid w:val="008D43BD"/>
    <w:rsid w:val="008D6BCF"/>
    <w:rsid w:val="008D747C"/>
    <w:rsid w:val="008E054C"/>
    <w:rsid w:val="008E0761"/>
    <w:rsid w:val="008E1240"/>
    <w:rsid w:val="008E2457"/>
    <w:rsid w:val="008E268C"/>
    <w:rsid w:val="008E26F0"/>
    <w:rsid w:val="008E2730"/>
    <w:rsid w:val="008E2BD7"/>
    <w:rsid w:val="008E30C5"/>
    <w:rsid w:val="008E377E"/>
    <w:rsid w:val="008E75EC"/>
    <w:rsid w:val="008F0BA8"/>
    <w:rsid w:val="008F1A9F"/>
    <w:rsid w:val="008F1C4B"/>
    <w:rsid w:val="008F268D"/>
    <w:rsid w:val="008F2B01"/>
    <w:rsid w:val="008F3348"/>
    <w:rsid w:val="008F4AD8"/>
    <w:rsid w:val="008F4CB3"/>
    <w:rsid w:val="008F64AC"/>
    <w:rsid w:val="00901156"/>
    <w:rsid w:val="00901DEB"/>
    <w:rsid w:val="0090261F"/>
    <w:rsid w:val="00902E8F"/>
    <w:rsid w:val="009044B3"/>
    <w:rsid w:val="0090521C"/>
    <w:rsid w:val="0090523A"/>
    <w:rsid w:val="009076D9"/>
    <w:rsid w:val="00912487"/>
    <w:rsid w:val="00912D80"/>
    <w:rsid w:val="009136A4"/>
    <w:rsid w:val="0091388E"/>
    <w:rsid w:val="0091469F"/>
    <w:rsid w:val="009148F7"/>
    <w:rsid w:val="009150B4"/>
    <w:rsid w:val="00915C70"/>
    <w:rsid w:val="00916901"/>
    <w:rsid w:val="009177D5"/>
    <w:rsid w:val="00920C5F"/>
    <w:rsid w:val="00920D15"/>
    <w:rsid w:val="009217E0"/>
    <w:rsid w:val="00921D2A"/>
    <w:rsid w:val="009227CA"/>
    <w:rsid w:val="00922FA7"/>
    <w:rsid w:val="00923538"/>
    <w:rsid w:val="00924B04"/>
    <w:rsid w:val="009253E8"/>
    <w:rsid w:val="00926353"/>
    <w:rsid w:val="00926547"/>
    <w:rsid w:val="00926631"/>
    <w:rsid w:val="009303B6"/>
    <w:rsid w:val="00931E3C"/>
    <w:rsid w:val="0093204D"/>
    <w:rsid w:val="0093210C"/>
    <w:rsid w:val="009328E2"/>
    <w:rsid w:val="00932E69"/>
    <w:rsid w:val="00933507"/>
    <w:rsid w:val="009339D6"/>
    <w:rsid w:val="00935353"/>
    <w:rsid w:val="009353ED"/>
    <w:rsid w:val="009354BB"/>
    <w:rsid w:val="0093611A"/>
    <w:rsid w:val="00936592"/>
    <w:rsid w:val="00940F7F"/>
    <w:rsid w:val="00941E19"/>
    <w:rsid w:val="00942DD2"/>
    <w:rsid w:val="00943B7D"/>
    <w:rsid w:val="00943F1D"/>
    <w:rsid w:val="009449A1"/>
    <w:rsid w:val="00944B96"/>
    <w:rsid w:val="00944F32"/>
    <w:rsid w:val="00945FFB"/>
    <w:rsid w:val="00946439"/>
    <w:rsid w:val="00946B25"/>
    <w:rsid w:val="00950C17"/>
    <w:rsid w:val="00951193"/>
    <w:rsid w:val="00951596"/>
    <w:rsid w:val="00952448"/>
    <w:rsid w:val="00952BE6"/>
    <w:rsid w:val="00953A28"/>
    <w:rsid w:val="009541E9"/>
    <w:rsid w:val="009547E4"/>
    <w:rsid w:val="00954B7F"/>
    <w:rsid w:val="00954B8E"/>
    <w:rsid w:val="00954DF6"/>
    <w:rsid w:val="00955AC3"/>
    <w:rsid w:val="009561B6"/>
    <w:rsid w:val="00956B3F"/>
    <w:rsid w:val="00956F2E"/>
    <w:rsid w:val="00960430"/>
    <w:rsid w:val="00960628"/>
    <w:rsid w:val="009610B4"/>
    <w:rsid w:val="00961A0C"/>
    <w:rsid w:val="0096204F"/>
    <w:rsid w:val="00962E59"/>
    <w:rsid w:val="009634E1"/>
    <w:rsid w:val="0096370C"/>
    <w:rsid w:val="00963FC0"/>
    <w:rsid w:val="0096FA78"/>
    <w:rsid w:val="009701AE"/>
    <w:rsid w:val="00970A3C"/>
    <w:rsid w:val="0097151F"/>
    <w:rsid w:val="00972D80"/>
    <w:rsid w:val="00972D83"/>
    <w:rsid w:val="00973456"/>
    <w:rsid w:val="00973BA0"/>
    <w:rsid w:val="00973E1A"/>
    <w:rsid w:val="009747E3"/>
    <w:rsid w:val="00974CC5"/>
    <w:rsid w:val="009754EB"/>
    <w:rsid w:val="00975C8D"/>
    <w:rsid w:val="00976779"/>
    <w:rsid w:val="00976933"/>
    <w:rsid w:val="00976BD4"/>
    <w:rsid w:val="00976CE3"/>
    <w:rsid w:val="00976E90"/>
    <w:rsid w:val="0097782F"/>
    <w:rsid w:val="00980066"/>
    <w:rsid w:val="009827CB"/>
    <w:rsid w:val="00982DA8"/>
    <w:rsid w:val="009837B8"/>
    <w:rsid w:val="0098399D"/>
    <w:rsid w:val="00984AC9"/>
    <w:rsid w:val="00985DDE"/>
    <w:rsid w:val="00985F7D"/>
    <w:rsid w:val="00986FCB"/>
    <w:rsid w:val="00987F8F"/>
    <w:rsid w:val="009910B6"/>
    <w:rsid w:val="009914E5"/>
    <w:rsid w:val="00991DB1"/>
    <w:rsid w:val="00992C3D"/>
    <w:rsid w:val="00992DAD"/>
    <w:rsid w:val="009938AE"/>
    <w:rsid w:val="009947A2"/>
    <w:rsid w:val="0099565A"/>
    <w:rsid w:val="009956C4"/>
    <w:rsid w:val="00996952"/>
    <w:rsid w:val="00996AA5"/>
    <w:rsid w:val="00996BE6"/>
    <w:rsid w:val="00997857"/>
    <w:rsid w:val="00997DED"/>
    <w:rsid w:val="00997EAA"/>
    <w:rsid w:val="009A0274"/>
    <w:rsid w:val="009A0834"/>
    <w:rsid w:val="009A1424"/>
    <w:rsid w:val="009A1B2D"/>
    <w:rsid w:val="009A2052"/>
    <w:rsid w:val="009A2361"/>
    <w:rsid w:val="009A362F"/>
    <w:rsid w:val="009A3B98"/>
    <w:rsid w:val="009A4B25"/>
    <w:rsid w:val="009A4DE6"/>
    <w:rsid w:val="009A642D"/>
    <w:rsid w:val="009A659F"/>
    <w:rsid w:val="009A6CF7"/>
    <w:rsid w:val="009A6D9A"/>
    <w:rsid w:val="009A773F"/>
    <w:rsid w:val="009A7C69"/>
    <w:rsid w:val="009B041A"/>
    <w:rsid w:val="009B1338"/>
    <w:rsid w:val="009B2124"/>
    <w:rsid w:val="009B2778"/>
    <w:rsid w:val="009B3819"/>
    <w:rsid w:val="009B3F3A"/>
    <w:rsid w:val="009B49D9"/>
    <w:rsid w:val="009B5638"/>
    <w:rsid w:val="009B5C29"/>
    <w:rsid w:val="009B6957"/>
    <w:rsid w:val="009B6CE2"/>
    <w:rsid w:val="009B770D"/>
    <w:rsid w:val="009B7AFA"/>
    <w:rsid w:val="009C0E90"/>
    <w:rsid w:val="009C2CDA"/>
    <w:rsid w:val="009C3445"/>
    <w:rsid w:val="009C3502"/>
    <w:rsid w:val="009C3520"/>
    <w:rsid w:val="009C3A31"/>
    <w:rsid w:val="009C3C6A"/>
    <w:rsid w:val="009C570F"/>
    <w:rsid w:val="009C5ADC"/>
    <w:rsid w:val="009C65CE"/>
    <w:rsid w:val="009C76BA"/>
    <w:rsid w:val="009C7C61"/>
    <w:rsid w:val="009D0444"/>
    <w:rsid w:val="009D0BA6"/>
    <w:rsid w:val="009D0F44"/>
    <w:rsid w:val="009D14A8"/>
    <w:rsid w:val="009D1596"/>
    <w:rsid w:val="009D1C28"/>
    <w:rsid w:val="009D31E8"/>
    <w:rsid w:val="009D3944"/>
    <w:rsid w:val="009D3978"/>
    <w:rsid w:val="009D4649"/>
    <w:rsid w:val="009D47CA"/>
    <w:rsid w:val="009D61D5"/>
    <w:rsid w:val="009D64C7"/>
    <w:rsid w:val="009D71A4"/>
    <w:rsid w:val="009E0171"/>
    <w:rsid w:val="009E02FC"/>
    <w:rsid w:val="009E0325"/>
    <w:rsid w:val="009E0D64"/>
    <w:rsid w:val="009E243B"/>
    <w:rsid w:val="009E5064"/>
    <w:rsid w:val="009E5830"/>
    <w:rsid w:val="009E60C0"/>
    <w:rsid w:val="009E63B0"/>
    <w:rsid w:val="009E734A"/>
    <w:rsid w:val="009F0844"/>
    <w:rsid w:val="009F0AE5"/>
    <w:rsid w:val="009F0BB1"/>
    <w:rsid w:val="009F1C75"/>
    <w:rsid w:val="009F1FF0"/>
    <w:rsid w:val="009F2918"/>
    <w:rsid w:val="009F4717"/>
    <w:rsid w:val="009F48B4"/>
    <w:rsid w:val="009F4914"/>
    <w:rsid w:val="009F55F0"/>
    <w:rsid w:val="009F57FA"/>
    <w:rsid w:val="009F6DAD"/>
    <w:rsid w:val="009F73CD"/>
    <w:rsid w:val="00A006BD"/>
    <w:rsid w:val="00A0088F"/>
    <w:rsid w:val="00A00D04"/>
    <w:rsid w:val="00A02871"/>
    <w:rsid w:val="00A0322D"/>
    <w:rsid w:val="00A03B77"/>
    <w:rsid w:val="00A05DCB"/>
    <w:rsid w:val="00A06BB7"/>
    <w:rsid w:val="00A102E7"/>
    <w:rsid w:val="00A10597"/>
    <w:rsid w:val="00A121F3"/>
    <w:rsid w:val="00A12B58"/>
    <w:rsid w:val="00A13DC8"/>
    <w:rsid w:val="00A15029"/>
    <w:rsid w:val="00A1502B"/>
    <w:rsid w:val="00A151F3"/>
    <w:rsid w:val="00A159BB"/>
    <w:rsid w:val="00A1608F"/>
    <w:rsid w:val="00A162B4"/>
    <w:rsid w:val="00A16610"/>
    <w:rsid w:val="00A17786"/>
    <w:rsid w:val="00A17C33"/>
    <w:rsid w:val="00A20069"/>
    <w:rsid w:val="00A2023E"/>
    <w:rsid w:val="00A21A65"/>
    <w:rsid w:val="00A2269C"/>
    <w:rsid w:val="00A22863"/>
    <w:rsid w:val="00A237CA"/>
    <w:rsid w:val="00A25831"/>
    <w:rsid w:val="00A2584C"/>
    <w:rsid w:val="00A25DA3"/>
    <w:rsid w:val="00A26187"/>
    <w:rsid w:val="00A26444"/>
    <w:rsid w:val="00A307DC"/>
    <w:rsid w:val="00A31252"/>
    <w:rsid w:val="00A313B5"/>
    <w:rsid w:val="00A31D30"/>
    <w:rsid w:val="00A332C9"/>
    <w:rsid w:val="00A333CA"/>
    <w:rsid w:val="00A3391D"/>
    <w:rsid w:val="00A33CFE"/>
    <w:rsid w:val="00A3450F"/>
    <w:rsid w:val="00A354EC"/>
    <w:rsid w:val="00A40EA3"/>
    <w:rsid w:val="00A410FC"/>
    <w:rsid w:val="00A42F1F"/>
    <w:rsid w:val="00A4330B"/>
    <w:rsid w:val="00A442F3"/>
    <w:rsid w:val="00A4507A"/>
    <w:rsid w:val="00A45679"/>
    <w:rsid w:val="00A45D08"/>
    <w:rsid w:val="00A463C5"/>
    <w:rsid w:val="00A473BB"/>
    <w:rsid w:val="00A47528"/>
    <w:rsid w:val="00A47DB9"/>
    <w:rsid w:val="00A50A49"/>
    <w:rsid w:val="00A52D1C"/>
    <w:rsid w:val="00A53CE5"/>
    <w:rsid w:val="00A541F3"/>
    <w:rsid w:val="00A547C2"/>
    <w:rsid w:val="00A54D6D"/>
    <w:rsid w:val="00A551C5"/>
    <w:rsid w:val="00A55750"/>
    <w:rsid w:val="00A558BA"/>
    <w:rsid w:val="00A55E5F"/>
    <w:rsid w:val="00A56219"/>
    <w:rsid w:val="00A56525"/>
    <w:rsid w:val="00A57B83"/>
    <w:rsid w:val="00A60FF8"/>
    <w:rsid w:val="00A6284C"/>
    <w:rsid w:val="00A62B23"/>
    <w:rsid w:val="00A62BE5"/>
    <w:rsid w:val="00A63C54"/>
    <w:rsid w:val="00A6456D"/>
    <w:rsid w:val="00A64600"/>
    <w:rsid w:val="00A647AC"/>
    <w:rsid w:val="00A651AB"/>
    <w:rsid w:val="00A65761"/>
    <w:rsid w:val="00A66736"/>
    <w:rsid w:val="00A66EBE"/>
    <w:rsid w:val="00A66F46"/>
    <w:rsid w:val="00A67108"/>
    <w:rsid w:val="00A67234"/>
    <w:rsid w:val="00A675B6"/>
    <w:rsid w:val="00A675B9"/>
    <w:rsid w:val="00A67659"/>
    <w:rsid w:val="00A70138"/>
    <w:rsid w:val="00A7074A"/>
    <w:rsid w:val="00A7178A"/>
    <w:rsid w:val="00A71F16"/>
    <w:rsid w:val="00A7223E"/>
    <w:rsid w:val="00A7296F"/>
    <w:rsid w:val="00A73198"/>
    <w:rsid w:val="00A732D7"/>
    <w:rsid w:val="00A754B2"/>
    <w:rsid w:val="00A75EEA"/>
    <w:rsid w:val="00A805E5"/>
    <w:rsid w:val="00A806C8"/>
    <w:rsid w:val="00A81557"/>
    <w:rsid w:val="00A81C0E"/>
    <w:rsid w:val="00A822BF"/>
    <w:rsid w:val="00A82686"/>
    <w:rsid w:val="00A827E9"/>
    <w:rsid w:val="00A836CD"/>
    <w:rsid w:val="00A83D70"/>
    <w:rsid w:val="00A83EB6"/>
    <w:rsid w:val="00A86D3B"/>
    <w:rsid w:val="00A870CE"/>
    <w:rsid w:val="00A8721C"/>
    <w:rsid w:val="00A87E84"/>
    <w:rsid w:val="00A9086E"/>
    <w:rsid w:val="00A9105C"/>
    <w:rsid w:val="00A91533"/>
    <w:rsid w:val="00A9382B"/>
    <w:rsid w:val="00A93ADA"/>
    <w:rsid w:val="00A9468A"/>
    <w:rsid w:val="00A94DB9"/>
    <w:rsid w:val="00A953F1"/>
    <w:rsid w:val="00A954EA"/>
    <w:rsid w:val="00A957AF"/>
    <w:rsid w:val="00A97F5B"/>
    <w:rsid w:val="00AA0DF7"/>
    <w:rsid w:val="00AA10BC"/>
    <w:rsid w:val="00AA1EC1"/>
    <w:rsid w:val="00AA2904"/>
    <w:rsid w:val="00AA3569"/>
    <w:rsid w:val="00AA3D8F"/>
    <w:rsid w:val="00AA3F07"/>
    <w:rsid w:val="00AA5C57"/>
    <w:rsid w:val="00AA685C"/>
    <w:rsid w:val="00AA69A4"/>
    <w:rsid w:val="00AB02C4"/>
    <w:rsid w:val="00AB1E4B"/>
    <w:rsid w:val="00AB377C"/>
    <w:rsid w:val="00AB3A9F"/>
    <w:rsid w:val="00AB3AC2"/>
    <w:rsid w:val="00AB4909"/>
    <w:rsid w:val="00AB4BB3"/>
    <w:rsid w:val="00AB516A"/>
    <w:rsid w:val="00AB6484"/>
    <w:rsid w:val="00AB6BAE"/>
    <w:rsid w:val="00AB6E60"/>
    <w:rsid w:val="00AB7B96"/>
    <w:rsid w:val="00AC05A7"/>
    <w:rsid w:val="00AC0A1E"/>
    <w:rsid w:val="00AC10E1"/>
    <w:rsid w:val="00AC14A8"/>
    <w:rsid w:val="00AC2B55"/>
    <w:rsid w:val="00AC2EA0"/>
    <w:rsid w:val="00AC31EF"/>
    <w:rsid w:val="00AC4502"/>
    <w:rsid w:val="00AC49C4"/>
    <w:rsid w:val="00AC4AEC"/>
    <w:rsid w:val="00AC4D1D"/>
    <w:rsid w:val="00AC515F"/>
    <w:rsid w:val="00AC54DC"/>
    <w:rsid w:val="00AC74FF"/>
    <w:rsid w:val="00AC7933"/>
    <w:rsid w:val="00AC7DDE"/>
    <w:rsid w:val="00AC7F35"/>
    <w:rsid w:val="00AD031D"/>
    <w:rsid w:val="00AD1041"/>
    <w:rsid w:val="00AD14F7"/>
    <w:rsid w:val="00AD1F42"/>
    <w:rsid w:val="00AD2156"/>
    <w:rsid w:val="00AD24F7"/>
    <w:rsid w:val="00AD2FCE"/>
    <w:rsid w:val="00AD3CB9"/>
    <w:rsid w:val="00AD53B0"/>
    <w:rsid w:val="00AD5551"/>
    <w:rsid w:val="00AD5657"/>
    <w:rsid w:val="00AD5B95"/>
    <w:rsid w:val="00AD5F48"/>
    <w:rsid w:val="00AD68F4"/>
    <w:rsid w:val="00AD70FE"/>
    <w:rsid w:val="00AE1DD1"/>
    <w:rsid w:val="00AE436E"/>
    <w:rsid w:val="00AE60EF"/>
    <w:rsid w:val="00AE6AA5"/>
    <w:rsid w:val="00AE7215"/>
    <w:rsid w:val="00AE76CD"/>
    <w:rsid w:val="00AF0EF3"/>
    <w:rsid w:val="00AF1890"/>
    <w:rsid w:val="00AF1ED0"/>
    <w:rsid w:val="00AF2D09"/>
    <w:rsid w:val="00AF354D"/>
    <w:rsid w:val="00AF3E5B"/>
    <w:rsid w:val="00AF461B"/>
    <w:rsid w:val="00AF46B9"/>
    <w:rsid w:val="00AF556C"/>
    <w:rsid w:val="00AF5E9C"/>
    <w:rsid w:val="00AF66C8"/>
    <w:rsid w:val="00AF6978"/>
    <w:rsid w:val="00AF759E"/>
    <w:rsid w:val="00B00771"/>
    <w:rsid w:val="00B013DB"/>
    <w:rsid w:val="00B01A78"/>
    <w:rsid w:val="00B02F56"/>
    <w:rsid w:val="00B02F5F"/>
    <w:rsid w:val="00B02FFC"/>
    <w:rsid w:val="00B037A6"/>
    <w:rsid w:val="00B06CD7"/>
    <w:rsid w:val="00B0789A"/>
    <w:rsid w:val="00B1067E"/>
    <w:rsid w:val="00B10C44"/>
    <w:rsid w:val="00B10D07"/>
    <w:rsid w:val="00B11016"/>
    <w:rsid w:val="00B11705"/>
    <w:rsid w:val="00B119AD"/>
    <w:rsid w:val="00B11A69"/>
    <w:rsid w:val="00B124E0"/>
    <w:rsid w:val="00B12874"/>
    <w:rsid w:val="00B12F77"/>
    <w:rsid w:val="00B13831"/>
    <w:rsid w:val="00B1390B"/>
    <w:rsid w:val="00B13A84"/>
    <w:rsid w:val="00B14214"/>
    <w:rsid w:val="00B14485"/>
    <w:rsid w:val="00B1499A"/>
    <w:rsid w:val="00B14ED6"/>
    <w:rsid w:val="00B15BF4"/>
    <w:rsid w:val="00B16ED5"/>
    <w:rsid w:val="00B16F92"/>
    <w:rsid w:val="00B202BE"/>
    <w:rsid w:val="00B23D0E"/>
    <w:rsid w:val="00B23F9E"/>
    <w:rsid w:val="00B24B21"/>
    <w:rsid w:val="00B24C5F"/>
    <w:rsid w:val="00B24E02"/>
    <w:rsid w:val="00B26433"/>
    <w:rsid w:val="00B26813"/>
    <w:rsid w:val="00B3002D"/>
    <w:rsid w:val="00B30086"/>
    <w:rsid w:val="00B3062C"/>
    <w:rsid w:val="00B30677"/>
    <w:rsid w:val="00B3152E"/>
    <w:rsid w:val="00B318DC"/>
    <w:rsid w:val="00B319C0"/>
    <w:rsid w:val="00B321CA"/>
    <w:rsid w:val="00B324C5"/>
    <w:rsid w:val="00B3408D"/>
    <w:rsid w:val="00B3424F"/>
    <w:rsid w:val="00B34CAE"/>
    <w:rsid w:val="00B35B1F"/>
    <w:rsid w:val="00B40C1F"/>
    <w:rsid w:val="00B40D96"/>
    <w:rsid w:val="00B4118C"/>
    <w:rsid w:val="00B4148A"/>
    <w:rsid w:val="00B418AE"/>
    <w:rsid w:val="00B4200C"/>
    <w:rsid w:val="00B435C2"/>
    <w:rsid w:val="00B4488F"/>
    <w:rsid w:val="00B465BB"/>
    <w:rsid w:val="00B46BB7"/>
    <w:rsid w:val="00B47322"/>
    <w:rsid w:val="00B4764B"/>
    <w:rsid w:val="00B47A19"/>
    <w:rsid w:val="00B47B7D"/>
    <w:rsid w:val="00B508A7"/>
    <w:rsid w:val="00B50AA6"/>
    <w:rsid w:val="00B51647"/>
    <w:rsid w:val="00B51758"/>
    <w:rsid w:val="00B51A23"/>
    <w:rsid w:val="00B521B3"/>
    <w:rsid w:val="00B523E0"/>
    <w:rsid w:val="00B5327F"/>
    <w:rsid w:val="00B53CAF"/>
    <w:rsid w:val="00B54355"/>
    <w:rsid w:val="00B54B8B"/>
    <w:rsid w:val="00B55747"/>
    <w:rsid w:val="00B560AD"/>
    <w:rsid w:val="00B56E7B"/>
    <w:rsid w:val="00B607D9"/>
    <w:rsid w:val="00B60E2A"/>
    <w:rsid w:val="00B63243"/>
    <w:rsid w:val="00B63DDB"/>
    <w:rsid w:val="00B63DF0"/>
    <w:rsid w:val="00B6462C"/>
    <w:rsid w:val="00B6561F"/>
    <w:rsid w:val="00B66AE4"/>
    <w:rsid w:val="00B66E71"/>
    <w:rsid w:val="00B678E0"/>
    <w:rsid w:val="00B700AB"/>
    <w:rsid w:val="00B701A4"/>
    <w:rsid w:val="00B704C5"/>
    <w:rsid w:val="00B72208"/>
    <w:rsid w:val="00B72649"/>
    <w:rsid w:val="00B7332D"/>
    <w:rsid w:val="00B73642"/>
    <w:rsid w:val="00B754CE"/>
    <w:rsid w:val="00B75923"/>
    <w:rsid w:val="00B764AB"/>
    <w:rsid w:val="00B7660E"/>
    <w:rsid w:val="00B8243D"/>
    <w:rsid w:val="00B82607"/>
    <w:rsid w:val="00B82BA5"/>
    <w:rsid w:val="00B8323E"/>
    <w:rsid w:val="00B839D2"/>
    <w:rsid w:val="00B84116"/>
    <w:rsid w:val="00B8441D"/>
    <w:rsid w:val="00B8457A"/>
    <w:rsid w:val="00B8500A"/>
    <w:rsid w:val="00B86B12"/>
    <w:rsid w:val="00B86D8C"/>
    <w:rsid w:val="00B86E41"/>
    <w:rsid w:val="00B87669"/>
    <w:rsid w:val="00B92B10"/>
    <w:rsid w:val="00B93C08"/>
    <w:rsid w:val="00B93FF5"/>
    <w:rsid w:val="00B951A8"/>
    <w:rsid w:val="00B958A1"/>
    <w:rsid w:val="00B95AFA"/>
    <w:rsid w:val="00B95D8C"/>
    <w:rsid w:val="00B96F84"/>
    <w:rsid w:val="00B97184"/>
    <w:rsid w:val="00B97B84"/>
    <w:rsid w:val="00BA098F"/>
    <w:rsid w:val="00BA1AC4"/>
    <w:rsid w:val="00BA2887"/>
    <w:rsid w:val="00BA3E60"/>
    <w:rsid w:val="00BA43C4"/>
    <w:rsid w:val="00BA4B30"/>
    <w:rsid w:val="00BA4EE5"/>
    <w:rsid w:val="00BA630C"/>
    <w:rsid w:val="00BA7578"/>
    <w:rsid w:val="00BB0A8C"/>
    <w:rsid w:val="00BB1513"/>
    <w:rsid w:val="00BB2836"/>
    <w:rsid w:val="00BB2F8F"/>
    <w:rsid w:val="00BB376B"/>
    <w:rsid w:val="00BB3C95"/>
    <w:rsid w:val="00BB4347"/>
    <w:rsid w:val="00BB45A4"/>
    <w:rsid w:val="00BB56DB"/>
    <w:rsid w:val="00BB5C9E"/>
    <w:rsid w:val="00BB731D"/>
    <w:rsid w:val="00BB747F"/>
    <w:rsid w:val="00BC019C"/>
    <w:rsid w:val="00BC06AD"/>
    <w:rsid w:val="00BC21EA"/>
    <w:rsid w:val="00BC2830"/>
    <w:rsid w:val="00BC3388"/>
    <w:rsid w:val="00BC4712"/>
    <w:rsid w:val="00BC5DFB"/>
    <w:rsid w:val="00BC6C13"/>
    <w:rsid w:val="00BC6F20"/>
    <w:rsid w:val="00BC7192"/>
    <w:rsid w:val="00BC72CA"/>
    <w:rsid w:val="00BD078D"/>
    <w:rsid w:val="00BD0B76"/>
    <w:rsid w:val="00BD0E03"/>
    <w:rsid w:val="00BD0E48"/>
    <w:rsid w:val="00BD105C"/>
    <w:rsid w:val="00BD12FF"/>
    <w:rsid w:val="00BD15AA"/>
    <w:rsid w:val="00BD16E1"/>
    <w:rsid w:val="00BD34B0"/>
    <w:rsid w:val="00BD381F"/>
    <w:rsid w:val="00BD39EB"/>
    <w:rsid w:val="00BD4187"/>
    <w:rsid w:val="00BD4650"/>
    <w:rsid w:val="00BD491F"/>
    <w:rsid w:val="00BD4A4C"/>
    <w:rsid w:val="00BD4C38"/>
    <w:rsid w:val="00BD58DF"/>
    <w:rsid w:val="00BD5937"/>
    <w:rsid w:val="00BD6BEC"/>
    <w:rsid w:val="00BD75DA"/>
    <w:rsid w:val="00BD7870"/>
    <w:rsid w:val="00BE0306"/>
    <w:rsid w:val="00BE135E"/>
    <w:rsid w:val="00BE24A2"/>
    <w:rsid w:val="00BE2535"/>
    <w:rsid w:val="00BE2ACF"/>
    <w:rsid w:val="00BE3874"/>
    <w:rsid w:val="00BE3CF3"/>
    <w:rsid w:val="00BE52C7"/>
    <w:rsid w:val="00BE58BC"/>
    <w:rsid w:val="00BE6450"/>
    <w:rsid w:val="00BE6A63"/>
    <w:rsid w:val="00BE724D"/>
    <w:rsid w:val="00BE783F"/>
    <w:rsid w:val="00BF03EF"/>
    <w:rsid w:val="00BF0E0F"/>
    <w:rsid w:val="00BF0E13"/>
    <w:rsid w:val="00BF1A2D"/>
    <w:rsid w:val="00BF2078"/>
    <w:rsid w:val="00BF2706"/>
    <w:rsid w:val="00BF3B1F"/>
    <w:rsid w:val="00BF3D03"/>
    <w:rsid w:val="00BF3DDC"/>
    <w:rsid w:val="00BF461F"/>
    <w:rsid w:val="00BF4C4B"/>
    <w:rsid w:val="00BF54C0"/>
    <w:rsid w:val="00BF6FB8"/>
    <w:rsid w:val="00C00140"/>
    <w:rsid w:val="00C013C1"/>
    <w:rsid w:val="00C016AF"/>
    <w:rsid w:val="00C03366"/>
    <w:rsid w:val="00C03B50"/>
    <w:rsid w:val="00C04094"/>
    <w:rsid w:val="00C04749"/>
    <w:rsid w:val="00C04D04"/>
    <w:rsid w:val="00C067C4"/>
    <w:rsid w:val="00C06882"/>
    <w:rsid w:val="00C06D79"/>
    <w:rsid w:val="00C0791A"/>
    <w:rsid w:val="00C10569"/>
    <w:rsid w:val="00C108D4"/>
    <w:rsid w:val="00C10B44"/>
    <w:rsid w:val="00C10C02"/>
    <w:rsid w:val="00C13A42"/>
    <w:rsid w:val="00C174EC"/>
    <w:rsid w:val="00C17EE4"/>
    <w:rsid w:val="00C20780"/>
    <w:rsid w:val="00C21B5C"/>
    <w:rsid w:val="00C21C03"/>
    <w:rsid w:val="00C22039"/>
    <w:rsid w:val="00C223B3"/>
    <w:rsid w:val="00C2252A"/>
    <w:rsid w:val="00C23213"/>
    <w:rsid w:val="00C237E4"/>
    <w:rsid w:val="00C2381F"/>
    <w:rsid w:val="00C23B1A"/>
    <w:rsid w:val="00C23FD2"/>
    <w:rsid w:val="00C242DF"/>
    <w:rsid w:val="00C243D9"/>
    <w:rsid w:val="00C25451"/>
    <w:rsid w:val="00C25A79"/>
    <w:rsid w:val="00C25E71"/>
    <w:rsid w:val="00C30EAC"/>
    <w:rsid w:val="00C30FB7"/>
    <w:rsid w:val="00C316F3"/>
    <w:rsid w:val="00C324F7"/>
    <w:rsid w:val="00C335B9"/>
    <w:rsid w:val="00C33A0D"/>
    <w:rsid w:val="00C350BA"/>
    <w:rsid w:val="00C35AB6"/>
    <w:rsid w:val="00C362D4"/>
    <w:rsid w:val="00C36594"/>
    <w:rsid w:val="00C36BB7"/>
    <w:rsid w:val="00C37E80"/>
    <w:rsid w:val="00C405A2"/>
    <w:rsid w:val="00C40B64"/>
    <w:rsid w:val="00C40DE5"/>
    <w:rsid w:val="00C4177E"/>
    <w:rsid w:val="00C41FBB"/>
    <w:rsid w:val="00C43D3D"/>
    <w:rsid w:val="00C45801"/>
    <w:rsid w:val="00C45C98"/>
    <w:rsid w:val="00C47BFC"/>
    <w:rsid w:val="00C509A1"/>
    <w:rsid w:val="00C50A52"/>
    <w:rsid w:val="00C50DEA"/>
    <w:rsid w:val="00C51A68"/>
    <w:rsid w:val="00C52047"/>
    <w:rsid w:val="00C52317"/>
    <w:rsid w:val="00C52C6B"/>
    <w:rsid w:val="00C5302D"/>
    <w:rsid w:val="00C534CC"/>
    <w:rsid w:val="00C5470F"/>
    <w:rsid w:val="00C54CA8"/>
    <w:rsid w:val="00C54FCC"/>
    <w:rsid w:val="00C552C2"/>
    <w:rsid w:val="00C55E85"/>
    <w:rsid w:val="00C56057"/>
    <w:rsid w:val="00C56701"/>
    <w:rsid w:val="00C56E62"/>
    <w:rsid w:val="00C57B40"/>
    <w:rsid w:val="00C57C0E"/>
    <w:rsid w:val="00C60BE1"/>
    <w:rsid w:val="00C625C7"/>
    <w:rsid w:val="00C626A5"/>
    <w:rsid w:val="00C6275F"/>
    <w:rsid w:val="00C62EA1"/>
    <w:rsid w:val="00C6486A"/>
    <w:rsid w:val="00C64A2E"/>
    <w:rsid w:val="00C651DE"/>
    <w:rsid w:val="00C65901"/>
    <w:rsid w:val="00C65FAA"/>
    <w:rsid w:val="00C6676E"/>
    <w:rsid w:val="00C67146"/>
    <w:rsid w:val="00C70007"/>
    <w:rsid w:val="00C70434"/>
    <w:rsid w:val="00C706D9"/>
    <w:rsid w:val="00C70D17"/>
    <w:rsid w:val="00C71431"/>
    <w:rsid w:val="00C717D7"/>
    <w:rsid w:val="00C73085"/>
    <w:rsid w:val="00C73665"/>
    <w:rsid w:val="00C7371F"/>
    <w:rsid w:val="00C73BF9"/>
    <w:rsid w:val="00C73EBA"/>
    <w:rsid w:val="00C73EEC"/>
    <w:rsid w:val="00C740E7"/>
    <w:rsid w:val="00C742FC"/>
    <w:rsid w:val="00C76472"/>
    <w:rsid w:val="00C76A13"/>
    <w:rsid w:val="00C77730"/>
    <w:rsid w:val="00C778E7"/>
    <w:rsid w:val="00C77C04"/>
    <w:rsid w:val="00C809AB"/>
    <w:rsid w:val="00C80AE1"/>
    <w:rsid w:val="00C823ED"/>
    <w:rsid w:val="00C82A3F"/>
    <w:rsid w:val="00C82E3A"/>
    <w:rsid w:val="00C83B62"/>
    <w:rsid w:val="00C85214"/>
    <w:rsid w:val="00C852AD"/>
    <w:rsid w:val="00C85859"/>
    <w:rsid w:val="00C8642D"/>
    <w:rsid w:val="00C869C1"/>
    <w:rsid w:val="00C87344"/>
    <w:rsid w:val="00C8791A"/>
    <w:rsid w:val="00C87CE2"/>
    <w:rsid w:val="00C87E45"/>
    <w:rsid w:val="00C90A13"/>
    <w:rsid w:val="00C91FB6"/>
    <w:rsid w:val="00C924E2"/>
    <w:rsid w:val="00C93000"/>
    <w:rsid w:val="00C9368E"/>
    <w:rsid w:val="00C962A4"/>
    <w:rsid w:val="00C9647E"/>
    <w:rsid w:val="00C96873"/>
    <w:rsid w:val="00C97AE3"/>
    <w:rsid w:val="00CA043F"/>
    <w:rsid w:val="00CA084C"/>
    <w:rsid w:val="00CA0D9E"/>
    <w:rsid w:val="00CA1558"/>
    <w:rsid w:val="00CA3CB5"/>
    <w:rsid w:val="00CA53BB"/>
    <w:rsid w:val="00CA5722"/>
    <w:rsid w:val="00CA57F5"/>
    <w:rsid w:val="00CA5D7E"/>
    <w:rsid w:val="00CA625D"/>
    <w:rsid w:val="00CB1769"/>
    <w:rsid w:val="00CB18E5"/>
    <w:rsid w:val="00CB1906"/>
    <w:rsid w:val="00CB253E"/>
    <w:rsid w:val="00CB2D4A"/>
    <w:rsid w:val="00CB2D80"/>
    <w:rsid w:val="00CB3089"/>
    <w:rsid w:val="00CB4D49"/>
    <w:rsid w:val="00CB502D"/>
    <w:rsid w:val="00CB53B5"/>
    <w:rsid w:val="00CB633D"/>
    <w:rsid w:val="00CB6C55"/>
    <w:rsid w:val="00CB7D1A"/>
    <w:rsid w:val="00CC09F7"/>
    <w:rsid w:val="00CC1271"/>
    <w:rsid w:val="00CC1328"/>
    <w:rsid w:val="00CC1C0C"/>
    <w:rsid w:val="00CC2399"/>
    <w:rsid w:val="00CC2DAC"/>
    <w:rsid w:val="00CC3C56"/>
    <w:rsid w:val="00CC4A01"/>
    <w:rsid w:val="00CC68BB"/>
    <w:rsid w:val="00CC731C"/>
    <w:rsid w:val="00CD1748"/>
    <w:rsid w:val="00CD1B17"/>
    <w:rsid w:val="00CD2177"/>
    <w:rsid w:val="00CD4167"/>
    <w:rsid w:val="00CD48B4"/>
    <w:rsid w:val="00CD5472"/>
    <w:rsid w:val="00CD5605"/>
    <w:rsid w:val="00CD5A38"/>
    <w:rsid w:val="00CD5D09"/>
    <w:rsid w:val="00CD5DA4"/>
    <w:rsid w:val="00CD612A"/>
    <w:rsid w:val="00CE002F"/>
    <w:rsid w:val="00CE1283"/>
    <w:rsid w:val="00CE15D1"/>
    <w:rsid w:val="00CE1731"/>
    <w:rsid w:val="00CE1B6C"/>
    <w:rsid w:val="00CE25FB"/>
    <w:rsid w:val="00CE2A86"/>
    <w:rsid w:val="00CE2AD6"/>
    <w:rsid w:val="00CE3217"/>
    <w:rsid w:val="00CE3E21"/>
    <w:rsid w:val="00CE3F44"/>
    <w:rsid w:val="00CE3F89"/>
    <w:rsid w:val="00CE448B"/>
    <w:rsid w:val="00CE4985"/>
    <w:rsid w:val="00CE514D"/>
    <w:rsid w:val="00CE5D2B"/>
    <w:rsid w:val="00CE61FC"/>
    <w:rsid w:val="00CE6AFC"/>
    <w:rsid w:val="00CF302B"/>
    <w:rsid w:val="00CF340D"/>
    <w:rsid w:val="00CF3FE3"/>
    <w:rsid w:val="00CF405E"/>
    <w:rsid w:val="00CF45B8"/>
    <w:rsid w:val="00CF555A"/>
    <w:rsid w:val="00CF6325"/>
    <w:rsid w:val="00CF72FC"/>
    <w:rsid w:val="00CF797D"/>
    <w:rsid w:val="00D00526"/>
    <w:rsid w:val="00D0103D"/>
    <w:rsid w:val="00D02093"/>
    <w:rsid w:val="00D02D22"/>
    <w:rsid w:val="00D0369B"/>
    <w:rsid w:val="00D036C6"/>
    <w:rsid w:val="00D039FA"/>
    <w:rsid w:val="00D04269"/>
    <w:rsid w:val="00D05278"/>
    <w:rsid w:val="00D05326"/>
    <w:rsid w:val="00D06063"/>
    <w:rsid w:val="00D072AE"/>
    <w:rsid w:val="00D07644"/>
    <w:rsid w:val="00D10F92"/>
    <w:rsid w:val="00D11D70"/>
    <w:rsid w:val="00D13422"/>
    <w:rsid w:val="00D13A50"/>
    <w:rsid w:val="00D1532C"/>
    <w:rsid w:val="00D15412"/>
    <w:rsid w:val="00D158E3"/>
    <w:rsid w:val="00D15F2C"/>
    <w:rsid w:val="00D16148"/>
    <w:rsid w:val="00D16884"/>
    <w:rsid w:val="00D16895"/>
    <w:rsid w:val="00D21464"/>
    <w:rsid w:val="00D21832"/>
    <w:rsid w:val="00D220BD"/>
    <w:rsid w:val="00D22394"/>
    <w:rsid w:val="00D22BCD"/>
    <w:rsid w:val="00D2362D"/>
    <w:rsid w:val="00D242EA"/>
    <w:rsid w:val="00D24A4E"/>
    <w:rsid w:val="00D25270"/>
    <w:rsid w:val="00D25301"/>
    <w:rsid w:val="00D25B72"/>
    <w:rsid w:val="00D26320"/>
    <w:rsid w:val="00D26EAE"/>
    <w:rsid w:val="00D2724F"/>
    <w:rsid w:val="00D279E1"/>
    <w:rsid w:val="00D27E4E"/>
    <w:rsid w:val="00D3053E"/>
    <w:rsid w:val="00D30E60"/>
    <w:rsid w:val="00D30EE4"/>
    <w:rsid w:val="00D30F35"/>
    <w:rsid w:val="00D327D0"/>
    <w:rsid w:val="00D32FAE"/>
    <w:rsid w:val="00D3355F"/>
    <w:rsid w:val="00D33A75"/>
    <w:rsid w:val="00D364FF"/>
    <w:rsid w:val="00D3672A"/>
    <w:rsid w:val="00D368B2"/>
    <w:rsid w:val="00D40F4D"/>
    <w:rsid w:val="00D4158B"/>
    <w:rsid w:val="00D422A1"/>
    <w:rsid w:val="00D4505B"/>
    <w:rsid w:val="00D45983"/>
    <w:rsid w:val="00D45A21"/>
    <w:rsid w:val="00D45D93"/>
    <w:rsid w:val="00D4614C"/>
    <w:rsid w:val="00D4691E"/>
    <w:rsid w:val="00D520E8"/>
    <w:rsid w:val="00D52187"/>
    <w:rsid w:val="00D52CCB"/>
    <w:rsid w:val="00D5317E"/>
    <w:rsid w:val="00D53D3C"/>
    <w:rsid w:val="00D53EB2"/>
    <w:rsid w:val="00D5418C"/>
    <w:rsid w:val="00D548D9"/>
    <w:rsid w:val="00D54C1B"/>
    <w:rsid w:val="00D54DE1"/>
    <w:rsid w:val="00D5516C"/>
    <w:rsid w:val="00D56242"/>
    <w:rsid w:val="00D5678C"/>
    <w:rsid w:val="00D569A7"/>
    <w:rsid w:val="00D56CF7"/>
    <w:rsid w:val="00D56ED6"/>
    <w:rsid w:val="00D57442"/>
    <w:rsid w:val="00D5765D"/>
    <w:rsid w:val="00D57785"/>
    <w:rsid w:val="00D57C04"/>
    <w:rsid w:val="00D57D29"/>
    <w:rsid w:val="00D604C0"/>
    <w:rsid w:val="00D60A7E"/>
    <w:rsid w:val="00D63092"/>
    <w:rsid w:val="00D63302"/>
    <w:rsid w:val="00D6357D"/>
    <w:rsid w:val="00D635A2"/>
    <w:rsid w:val="00D635AD"/>
    <w:rsid w:val="00D63A0E"/>
    <w:rsid w:val="00D63AE2"/>
    <w:rsid w:val="00D64859"/>
    <w:rsid w:val="00D64B1C"/>
    <w:rsid w:val="00D663F1"/>
    <w:rsid w:val="00D675E0"/>
    <w:rsid w:val="00D701B5"/>
    <w:rsid w:val="00D7083B"/>
    <w:rsid w:val="00D74445"/>
    <w:rsid w:val="00D756EF"/>
    <w:rsid w:val="00D75DA0"/>
    <w:rsid w:val="00D76196"/>
    <w:rsid w:val="00D76F27"/>
    <w:rsid w:val="00D7788F"/>
    <w:rsid w:val="00D800C8"/>
    <w:rsid w:val="00D801D8"/>
    <w:rsid w:val="00D81392"/>
    <w:rsid w:val="00D816A9"/>
    <w:rsid w:val="00D8179E"/>
    <w:rsid w:val="00D81A30"/>
    <w:rsid w:val="00D83588"/>
    <w:rsid w:val="00D8375C"/>
    <w:rsid w:val="00D84976"/>
    <w:rsid w:val="00D84B10"/>
    <w:rsid w:val="00D8560F"/>
    <w:rsid w:val="00D8576D"/>
    <w:rsid w:val="00D85B15"/>
    <w:rsid w:val="00D85C6A"/>
    <w:rsid w:val="00D86078"/>
    <w:rsid w:val="00D86B12"/>
    <w:rsid w:val="00D907A9"/>
    <w:rsid w:val="00D9101C"/>
    <w:rsid w:val="00D9146F"/>
    <w:rsid w:val="00D918F5"/>
    <w:rsid w:val="00D949B7"/>
    <w:rsid w:val="00D94CDC"/>
    <w:rsid w:val="00D95095"/>
    <w:rsid w:val="00D96068"/>
    <w:rsid w:val="00D962EA"/>
    <w:rsid w:val="00D96C2D"/>
    <w:rsid w:val="00D970C5"/>
    <w:rsid w:val="00D975F4"/>
    <w:rsid w:val="00D9767C"/>
    <w:rsid w:val="00D97E4A"/>
    <w:rsid w:val="00DA0492"/>
    <w:rsid w:val="00DA06C0"/>
    <w:rsid w:val="00DA0D04"/>
    <w:rsid w:val="00DA0D60"/>
    <w:rsid w:val="00DA1021"/>
    <w:rsid w:val="00DA1524"/>
    <w:rsid w:val="00DA5221"/>
    <w:rsid w:val="00DA7DF5"/>
    <w:rsid w:val="00DAC38D"/>
    <w:rsid w:val="00DB0158"/>
    <w:rsid w:val="00DB15A8"/>
    <w:rsid w:val="00DB33D7"/>
    <w:rsid w:val="00DB4387"/>
    <w:rsid w:val="00DB6303"/>
    <w:rsid w:val="00DB688F"/>
    <w:rsid w:val="00DB69C9"/>
    <w:rsid w:val="00DB6D79"/>
    <w:rsid w:val="00DC0A9C"/>
    <w:rsid w:val="00DC1B7F"/>
    <w:rsid w:val="00DC2229"/>
    <w:rsid w:val="00DC2608"/>
    <w:rsid w:val="00DC2E06"/>
    <w:rsid w:val="00DC3798"/>
    <w:rsid w:val="00DC3F27"/>
    <w:rsid w:val="00DC406E"/>
    <w:rsid w:val="00DC476F"/>
    <w:rsid w:val="00DC482C"/>
    <w:rsid w:val="00DC49E5"/>
    <w:rsid w:val="00DC49FC"/>
    <w:rsid w:val="00DC5685"/>
    <w:rsid w:val="00DC5696"/>
    <w:rsid w:val="00DC7F8A"/>
    <w:rsid w:val="00DD03EA"/>
    <w:rsid w:val="00DD08D3"/>
    <w:rsid w:val="00DD08F5"/>
    <w:rsid w:val="00DD10CE"/>
    <w:rsid w:val="00DD1215"/>
    <w:rsid w:val="00DD12C0"/>
    <w:rsid w:val="00DD1496"/>
    <w:rsid w:val="00DD1709"/>
    <w:rsid w:val="00DD1722"/>
    <w:rsid w:val="00DD21A5"/>
    <w:rsid w:val="00DD3163"/>
    <w:rsid w:val="00DD3F74"/>
    <w:rsid w:val="00DD50D8"/>
    <w:rsid w:val="00DD5C70"/>
    <w:rsid w:val="00DD63DE"/>
    <w:rsid w:val="00DD716B"/>
    <w:rsid w:val="00DD7458"/>
    <w:rsid w:val="00DD7876"/>
    <w:rsid w:val="00DD7D11"/>
    <w:rsid w:val="00DE3B44"/>
    <w:rsid w:val="00DE4469"/>
    <w:rsid w:val="00DE4885"/>
    <w:rsid w:val="00DE49C6"/>
    <w:rsid w:val="00DE4FD6"/>
    <w:rsid w:val="00DE5EA6"/>
    <w:rsid w:val="00DE73E2"/>
    <w:rsid w:val="00DF1354"/>
    <w:rsid w:val="00DF188E"/>
    <w:rsid w:val="00DF29AC"/>
    <w:rsid w:val="00DF2EC8"/>
    <w:rsid w:val="00DF326E"/>
    <w:rsid w:val="00DF4229"/>
    <w:rsid w:val="00DF4B69"/>
    <w:rsid w:val="00DF5BB3"/>
    <w:rsid w:val="00DF63A1"/>
    <w:rsid w:val="00DF67F6"/>
    <w:rsid w:val="00DF68BB"/>
    <w:rsid w:val="00DF7AED"/>
    <w:rsid w:val="00DF7E22"/>
    <w:rsid w:val="00DF7F36"/>
    <w:rsid w:val="00E00292"/>
    <w:rsid w:val="00E00772"/>
    <w:rsid w:val="00E00F31"/>
    <w:rsid w:val="00E00F44"/>
    <w:rsid w:val="00E011A0"/>
    <w:rsid w:val="00E02938"/>
    <w:rsid w:val="00E02A20"/>
    <w:rsid w:val="00E02E02"/>
    <w:rsid w:val="00E03A80"/>
    <w:rsid w:val="00E03C85"/>
    <w:rsid w:val="00E0496E"/>
    <w:rsid w:val="00E04F32"/>
    <w:rsid w:val="00E06E84"/>
    <w:rsid w:val="00E0746F"/>
    <w:rsid w:val="00E07ADB"/>
    <w:rsid w:val="00E100C2"/>
    <w:rsid w:val="00E10651"/>
    <w:rsid w:val="00E10BCE"/>
    <w:rsid w:val="00E11077"/>
    <w:rsid w:val="00E119A9"/>
    <w:rsid w:val="00E11F46"/>
    <w:rsid w:val="00E1312E"/>
    <w:rsid w:val="00E149DF"/>
    <w:rsid w:val="00E14A75"/>
    <w:rsid w:val="00E14E09"/>
    <w:rsid w:val="00E16100"/>
    <w:rsid w:val="00E16272"/>
    <w:rsid w:val="00E16413"/>
    <w:rsid w:val="00E16C31"/>
    <w:rsid w:val="00E16D04"/>
    <w:rsid w:val="00E16ECB"/>
    <w:rsid w:val="00E17C5A"/>
    <w:rsid w:val="00E200FE"/>
    <w:rsid w:val="00E204C8"/>
    <w:rsid w:val="00E21DF6"/>
    <w:rsid w:val="00E2238D"/>
    <w:rsid w:val="00E23533"/>
    <w:rsid w:val="00E23734"/>
    <w:rsid w:val="00E23AC7"/>
    <w:rsid w:val="00E24179"/>
    <w:rsid w:val="00E2540A"/>
    <w:rsid w:val="00E2604F"/>
    <w:rsid w:val="00E26054"/>
    <w:rsid w:val="00E26587"/>
    <w:rsid w:val="00E26793"/>
    <w:rsid w:val="00E26DE6"/>
    <w:rsid w:val="00E27091"/>
    <w:rsid w:val="00E2742D"/>
    <w:rsid w:val="00E27A82"/>
    <w:rsid w:val="00E27ABC"/>
    <w:rsid w:val="00E27EEF"/>
    <w:rsid w:val="00E3019B"/>
    <w:rsid w:val="00E30580"/>
    <w:rsid w:val="00E3078B"/>
    <w:rsid w:val="00E31325"/>
    <w:rsid w:val="00E325B1"/>
    <w:rsid w:val="00E32D02"/>
    <w:rsid w:val="00E3320C"/>
    <w:rsid w:val="00E334C1"/>
    <w:rsid w:val="00E337A8"/>
    <w:rsid w:val="00E351DA"/>
    <w:rsid w:val="00E35881"/>
    <w:rsid w:val="00E36ECE"/>
    <w:rsid w:val="00E37132"/>
    <w:rsid w:val="00E40B2F"/>
    <w:rsid w:val="00E4125F"/>
    <w:rsid w:val="00E434D7"/>
    <w:rsid w:val="00E4477E"/>
    <w:rsid w:val="00E4485F"/>
    <w:rsid w:val="00E449C2"/>
    <w:rsid w:val="00E46729"/>
    <w:rsid w:val="00E46964"/>
    <w:rsid w:val="00E46E7C"/>
    <w:rsid w:val="00E470A7"/>
    <w:rsid w:val="00E473C1"/>
    <w:rsid w:val="00E4772D"/>
    <w:rsid w:val="00E47EB9"/>
    <w:rsid w:val="00E50045"/>
    <w:rsid w:val="00E52E99"/>
    <w:rsid w:val="00E53716"/>
    <w:rsid w:val="00E548FD"/>
    <w:rsid w:val="00E54C48"/>
    <w:rsid w:val="00E54CD4"/>
    <w:rsid w:val="00E55346"/>
    <w:rsid w:val="00E5551D"/>
    <w:rsid w:val="00E555C5"/>
    <w:rsid w:val="00E55CE0"/>
    <w:rsid w:val="00E5610D"/>
    <w:rsid w:val="00E56129"/>
    <w:rsid w:val="00E56901"/>
    <w:rsid w:val="00E56CEF"/>
    <w:rsid w:val="00E60195"/>
    <w:rsid w:val="00E6025D"/>
    <w:rsid w:val="00E60EB5"/>
    <w:rsid w:val="00E63947"/>
    <w:rsid w:val="00E664EF"/>
    <w:rsid w:val="00E66A75"/>
    <w:rsid w:val="00E70E12"/>
    <w:rsid w:val="00E72E8B"/>
    <w:rsid w:val="00E72EC4"/>
    <w:rsid w:val="00E734CB"/>
    <w:rsid w:val="00E7413E"/>
    <w:rsid w:val="00E74456"/>
    <w:rsid w:val="00E747A7"/>
    <w:rsid w:val="00E75F3A"/>
    <w:rsid w:val="00E75FD4"/>
    <w:rsid w:val="00E760EE"/>
    <w:rsid w:val="00E7660D"/>
    <w:rsid w:val="00E767B4"/>
    <w:rsid w:val="00E80B6C"/>
    <w:rsid w:val="00E81624"/>
    <w:rsid w:val="00E81C0B"/>
    <w:rsid w:val="00E81C9F"/>
    <w:rsid w:val="00E823D7"/>
    <w:rsid w:val="00E831EA"/>
    <w:rsid w:val="00E86021"/>
    <w:rsid w:val="00E86263"/>
    <w:rsid w:val="00E86885"/>
    <w:rsid w:val="00E911A3"/>
    <w:rsid w:val="00E915E1"/>
    <w:rsid w:val="00E91B2A"/>
    <w:rsid w:val="00E9229A"/>
    <w:rsid w:val="00E9302A"/>
    <w:rsid w:val="00E93B49"/>
    <w:rsid w:val="00E946EB"/>
    <w:rsid w:val="00E94865"/>
    <w:rsid w:val="00E94FF8"/>
    <w:rsid w:val="00E96A84"/>
    <w:rsid w:val="00E9702F"/>
    <w:rsid w:val="00E977AB"/>
    <w:rsid w:val="00E97964"/>
    <w:rsid w:val="00E97D9B"/>
    <w:rsid w:val="00E97DA8"/>
    <w:rsid w:val="00EA018A"/>
    <w:rsid w:val="00EA17B6"/>
    <w:rsid w:val="00EA1EC6"/>
    <w:rsid w:val="00EA22FE"/>
    <w:rsid w:val="00EA2335"/>
    <w:rsid w:val="00EA2714"/>
    <w:rsid w:val="00EA3200"/>
    <w:rsid w:val="00EA4324"/>
    <w:rsid w:val="00EA48C2"/>
    <w:rsid w:val="00EA51B7"/>
    <w:rsid w:val="00EA5291"/>
    <w:rsid w:val="00EA57FC"/>
    <w:rsid w:val="00EA59D1"/>
    <w:rsid w:val="00EA6268"/>
    <w:rsid w:val="00EA67D3"/>
    <w:rsid w:val="00EA6C4B"/>
    <w:rsid w:val="00EA7F9D"/>
    <w:rsid w:val="00EB0CE5"/>
    <w:rsid w:val="00EB15B8"/>
    <w:rsid w:val="00EB1685"/>
    <w:rsid w:val="00EB25D7"/>
    <w:rsid w:val="00EB3A74"/>
    <w:rsid w:val="00EB405C"/>
    <w:rsid w:val="00EB4684"/>
    <w:rsid w:val="00EB4D23"/>
    <w:rsid w:val="00EB5065"/>
    <w:rsid w:val="00EB736F"/>
    <w:rsid w:val="00EC0F11"/>
    <w:rsid w:val="00EC165B"/>
    <w:rsid w:val="00EC1B7D"/>
    <w:rsid w:val="00EC1BD0"/>
    <w:rsid w:val="00EC1F03"/>
    <w:rsid w:val="00EC34CB"/>
    <w:rsid w:val="00EC3B7F"/>
    <w:rsid w:val="00EC478F"/>
    <w:rsid w:val="00EC56EB"/>
    <w:rsid w:val="00EC611F"/>
    <w:rsid w:val="00EC6F9D"/>
    <w:rsid w:val="00EC70C0"/>
    <w:rsid w:val="00EC7D62"/>
    <w:rsid w:val="00ED0295"/>
    <w:rsid w:val="00ED0670"/>
    <w:rsid w:val="00ED199A"/>
    <w:rsid w:val="00ED1F2F"/>
    <w:rsid w:val="00ED1F5E"/>
    <w:rsid w:val="00ED2BAE"/>
    <w:rsid w:val="00ED2C37"/>
    <w:rsid w:val="00ED38A4"/>
    <w:rsid w:val="00ED4177"/>
    <w:rsid w:val="00ED4A4A"/>
    <w:rsid w:val="00ED50E2"/>
    <w:rsid w:val="00ED5672"/>
    <w:rsid w:val="00ED590A"/>
    <w:rsid w:val="00ED596C"/>
    <w:rsid w:val="00ED5A55"/>
    <w:rsid w:val="00ED5CAC"/>
    <w:rsid w:val="00EE05FE"/>
    <w:rsid w:val="00EE07FE"/>
    <w:rsid w:val="00EE0954"/>
    <w:rsid w:val="00EE0D46"/>
    <w:rsid w:val="00EE2641"/>
    <w:rsid w:val="00EE2F4C"/>
    <w:rsid w:val="00EE387A"/>
    <w:rsid w:val="00EE4EBF"/>
    <w:rsid w:val="00EE61F9"/>
    <w:rsid w:val="00EE6473"/>
    <w:rsid w:val="00EE6971"/>
    <w:rsid w:val="00EE72FE"/>
    <w:rsid w:val="00EF02D7"/>
    <w:rsid w:val="00EF0E90"/>
    <w:rsid w:val="00EF13B7"/>
    <w:rsid w:val="00EF195E"/>
    <w:rsid w:val="00EF3229"/>
    <w:rsid w:val="00EF41EB"/>
    <w:rsid w:val="00EF46F4"/>
    <w:rsid w:val="00EF4799"/>
    <w:rsid w:val="00EF4ECF"/>
    <w:rsid w:val="00EF4F0B"/>
    <w:rsid w:val="00EF539B"/>
    <w:rsid w:val="00EF5714"/>
    <w:rsid w:val="00EF5777"/>
    <w:rsid w:val="00EF682E"/>
    <w:rsid w:val="00EF6B68"/>
    <w:rsid w:val="00EF77E7"/>
    <w:rsid w:val="00F00929"/>
    <w:rsid w:val="00F011D4"/>
    <w:rsid w:val="00F030F7"/>
    <w:rsid w:val="00F0394E"/>
    <w:rsid w:val="00F04819"/>
    <w:rsid w:val="00F04A0A"/>
    <w:rsid w:val="00F0791C"/>
    <w:rsid w:val="00F10B22"/>
    <w:rsid w:val="00F10B49"/>
    <w:rsid w:val="00F11404"/>
    <w:rsid w:val="00F12340"/>
    <w:rsid w:val="00F12857"/>
    <w:rsid w:val="00F1306F"/>
    <w:rsid w:val="00F13E19"/>
    <w:rsid w:val="00F146F6"/>
    <w:rsid w:val="00F1597D"/>
    <w:rsid w:val="00F160F6"/>
    <w:rsid w:val="00F2015D"/>
    <w:rsid w:val="00F206E2"/>
    <w:rsid w:val="00F20849"/>
    <w:rsid w:val="00F209A7"/>
    <w:rsid w:val="00F21AA0"/>
    <w:rsid w:val="00F2424C"/>
    <w:rsid w:val="00F24BEF"/>
    <w:rsid w:val="00F27C86"/>
    <w:rsid w:val="00F30B07"/>
    <w:rsid w:val="00F311E6"/>
    <w:rsid w:val="00F31484"/>
    <w:rsid w:val="00F3176E"/>
    <w:rsid w:val="00F33DB3"/>
    <w:rsid w:val="00F351F3"/>
    <w:rsid w:val="00F35697"/>
    <w:rsid w:val="00F35BEB"/>
    <w:rsid w:val="00F35F2B"/>
    <w:rsid w:val="00F35FA7"/>
    <w:rsid w:val="00F36052"/>
    <w:rsid w:val="00F370D1"/>
    <w:rsid w:val="00F378E2"/>
    <w:rsid w:val="00F37CDD"/>
    <w:rsid w:val="00F37D5A"/>
    <w:rsid w:val="00F40359"/>
    <w:rsid w:val="00F412CB"/>
    <w:rsid w:val="00F41743"/>
    <w:rsid w:val="00F41C52"/>
    <w:rsid w:val="00F42300"/>
    <w:rsid w:val="00F42561"/>
    <w:rsid w:val="00F431E0"/>
    <w:rsid w:val="00F44458"/>
    <w:rsid w:val="00F45D51"/>
    <w:rsid w:val="00F53160"/>
    <w:rsid w:val="00F5391B"/>
    <w:rsid w:val="00F54294"/>
    <w:rsid w:val="00F543C8"/>
    <w:rsid w:val="00F603B4"/>
    <w:rsid w:val="00F6045D"/>
    <w:rsid w:val="00F60948"/>
    <w:rsid w:val="00F6098D"/>
    <w:rsid w:val="00F60E93"/>
    <w:rsid w:val="00F614CE"/>
    <w:rsid w:val="00F6195C"/>
    <w:rsid w:val="00F61D92"/>
    <w:rsid w:val="00F62393"/>
    <w:rsid w:val="00F62D7F"/>
    <w:rsid w:val="00F63048"/>
    <w:rsid w:val="00F64278"/>
    <w:rsid w:val="00F64DAB"/>
    <w:rsid w:val="00F650B6"/>
    <w:rsid w:val="00F6532A"/>
    <w:rsid w:val="00F65A8E"/>
    <w:rsid w:val="00F674E7"/>
    <w:rsid w:val="00F67678"/>
    <w:rsid w:val="00F67A67"/>
    <w:rsid w:val="00F67C74"/>
    <w:rsid w:val="00F70D90"/>
    <w:rsid w:val="00F73AF4"/>
    <w:rsid w:val="00F73CA7"/>
    <w:rsid w:val="00F74C9B"/>
    <w:rsid w:val="00F76B00"/>
    <w:rsid w:val="00F76B3A"/>
    <w:rsid w:val="00F7714D"/>
    <w:rsid w:val="00F77A6E"/>
    <w:rsid w:val="00F8000D"/>
    <w:rsid w:val="00F8039C"/>
    <w:rsid w:val="00F810F9"/>
    <w:rsid w:val="00F8129C"/>
    <w:rsid w:val="00F813B5"/>
    <w:rsid w:val="00F816BE"/>
    <w:rsid w:val="00F82158"/>
    <w:rsid w:val="00F82A45"/>
    <w:rsid w:val="00F843B1"/>
    <w:rsid w:val="00F84E9E"/>
    <w:rsid w:val="00F85828"/>
    <w:rsid w:val="00F8638D"/>
    <w:rsid w:val="00F87DB8"/>
    <w:rsid w:val="00F901EF"/>
    <w:rsid w:val="00F90747"/>
    <w:rsid w:val="00F907DE"/>
    <w:rsid w:val="00F90B84"/>
    <w:rsid w:val="00F927C2"/>
    <w:rsid w:val="00F92C67"/>
    <w:rsid w:val="00F93025"/>
    <w:rsid w:val="00F933C2"/>
    <w:rsid w:val="00F93FF7"/>
    <w:rsid w:val="00F944B4"/>
    <w:rsid w:val="00F947E9"/>
    <w:rsid w:val="00F9592E"/>
    <w:rsid w:val="00F95B68"/>
    <w:rsid w:val="00F96AC1"/>
    <w:rsid w:val="00FA02D0"/>
    <w:rsid w:val="00FA0C86"/>
    <w:rsid w:val="00FA12B9"/>
    <w:rsid w:val="00FA1400"/>
    <w:rsid w:val="00FA148C"/>
    <w:rsid w:val="00FA2ABC"/>
    <w:rsid w:val="00FA3750"/>
    <w:rsid w:val="00FA3BDF"/>
    <w:rsid w:val="00FA4DF1"/>
    <w:rsid w:val="00FA5012"/>
    <w:rsid w:val="00FA537E"/>
    <w:rsid w:val="00FA5E5B"/>
    <w:rsid w:val="00FA6173"/>
    <w:rsid w:val="00FA6597"/>
    <w:rsid w:val="00FA6887"/>
    <w:rsid w:val="00FA6B57"/>
    <w:rsid w:val="00FA71C1"/>
    <w:rsid w:val="00FA72AF"/>
    <w:rsid w:val="00FB017B"/>
    <w:rsid w:val="00FB0612"/>
    <w:rsid w:val="00FB08BF"/>
    <w:rsid w:val="00FB1504"/>
    <w:rsid w:val="00FB1BB3"/>
    <w:rsid w:val="00FB2A54"/>
    <w:rsid w:val="00FB3378"/>
    <w:rsid w:val="00FB4C83"/>
    <w:rsid w:val="00FB4E52"/>
    <w:rsid w:val="00FB5FB4"/>
    <w:rsid w:val="00FB6904"/>
    <w:rsid w:val="00FB74CA"/>
    <w:rsid w:val="00FC0CEC"/>
    <w:rsid w:val="00FC12CA"/>
    <w:rsid w:val="00FC135F"/>
    <w:rsid w:val="00FC1DE3"/>
    <w:rsid w:val="00FC2201"/>
    <w:rsid w:val="00FC38FB"/>
    <w:rsid w:val="00FC3985"/>
    <w:rsid w:val="00FC4649"/>
    <w:rsid w:val="00FC4707"/>
    <w:rsid w:val="00FC4E28"/>
    <w:rsid w:val="00FC5710"/>
    <w:rsid w:val="00FC5FA1"/>
    <w:rsid w:val="00FC6288"/>
    <w:rsid w:val="00FC670D"/>
    <w:rsid w:val="00FC680A"/>
    <w:rsid w:val="00FC6864"/>
    <w:rsid w:val="00FC6EFD"/>
    <w:rsid w:val="00FD020A"/>
    <w:rsid w:val="00FD0987"/>
    <w:rsid w:val="00FD0EEC"/>
    <w:rsid w:val="00FD1BD7"/>
    <w:rsid w:val="00FD2BFA"/>
    <w:rsid w:val="00FD2D49"/>
    <w:rsid w:val="00FD2E23"/>
    <w:rsid w:val="00FD34A8"/>
    <w:rsid w:val="00FD433E"/>
    <w:rsid w:val="00FD559F"/>
    <w:rsid w:val="00FD6EBC"/>
    <w:rsid w:val="00FD7DFA"/>
    <w:rsid w:val="00FD7F15"/>
    <w:rsid w:val="00FE0952"/>
    <w:rsid w:val="00FE272A"/>
    <w:rsid w:val="00FE29C8"/>
    <w:rsid w:val="00FE2AA2"/>
    <w:rsid w:val="00FE3216"/>
    <w:rsid w:val="00FE3994"/>
    <w:rsid w:val="00FE3EDF"/>
    <w:rsid w:val="00FE407D"/>
    <w:rsid w:val="00FE585E"/>
    <w:rsid w:val="00FF0149"/>
    <w:rsid w:val="00FF0F82"/>
    <w:rsid w:val="00FF1F9E"/>
    <w:rsid w:val="00FF2586"/>
    <w:rsid w:val="00FF2DBB"/>
    <w:rsid w:val="00FF3744"/>
    <w:rsid w:val="00FF3CC5"/>
    <w:rsid w:val="00FF3ECC"/>
    <w:rsid w:val="00FF3FA3"/>
    <w:rsid w:val="00FF493B"/>
    <w:rsid w:val="00FF4CAC"/>
    <w:rsid w:val="00FF6E92"/>
    <w:rsid w:val="00FF74B4"/>
    <w:rsid w:val="00FF75E5"/>
    <w:rsid w:val="0111791B"/>
    <w:rsid w:val="01143FB6"/>
    <w:rsid w:val="01355792"/>
    <w:rsid w:val="01497313"/>
    <w:rsid w:val="0152D8A5"/>
    <w:rsid w:val="01584299"/>
    <w:rsid w:val="016076CA"/>
    <w:rsid w:val="016A71E2"/>
    <w:rsid w:val="01885E4D"/>
    <w:rsid w:val="018A64E3"/>
    <w:rsid w:val="01C0B080"/>
    <w:rsid w:val="01D7B2FF"/>
    <w:rsid w:val="022C7A6A"/>
    <w:rsid w:val="024F45E1"/>
    <w:rsid w:val="02526F18"/>
    <w:rsid w:val="027ED120"/>
    <w:rsid w:val="028A70AF"/>
    <w:rsid w:val="02923718"/>
    <w:rsid w:val="029F238B"/>
    <w:rsid w:val="02A661A9"/>
    <w:rsid w:val="02C34285"/>
    <w:rsid w:val="02E026A4"/>
    <w:rsid w:val="02EB34AE"/>
    <w:rsid w:val="02FF2ACC"/>
    <w:rsid w:val="030BB34B"/>
    <w:rsid w:val="03587C9E"/>
    <w:rsid w:val="036B6CBA"/>
    <w:rsid w:val="037EA203"/>
    <w:rsid w:val="03891F3B"/>
    <w:rsid w:val="03C528E7"/>
    <w:rsid w:val="03FE32D0"/>
    <w:rsid w:val="03FFAC61"/>
    <w:rsid w:val="04166397"/>
    <w:rsid w:val="042C3867"/>
    <w:rsid w:val="0449784A"/>
    <w:rsid w:val="04508ED6"/>
    <w:rsid w:val="04648E25"/>
    <w:rsid w:val="04674AEF"/>
    <w:rsid w:val="0476BDE9"/>
    <w:rsid w:val="04B1A7F7"/>
    <w:rsid w:val="04BC2C5A"/>
    <w:rsid w:val="051B87B7"/>
    <w:rsid w:val="0540D354"/>
    <w:rsid w:val="0541FDE7"/>
    <w:rsid w:val="054EE269"/>
    <w:rsid w:val="057ED4FD"/>
    <w:rsid w:val="05A08F3E"/>
    <w:rsid w:val="05DD7411"/>
    <w:rsid w:val="05FEA90A"/>
    <w:rsid w:val="0602B5E5"/>
    <w:rsid w:val="061CE045"/>
    <w:rsid w:val="06232ED2"/>
    <w:rsid w:val="063A5DA5"/>
    <w:rsid w:val="064F88C7"/>
    <w:rsid w:val="065A9055"/>
    <w:rsid w:val="066EF4B8"/>
    <w:rsid w:val="0687E7E0"/>
    <w:rsid w:val="06C6E0B1"/>
    <w:rsid w:val="06CBDA16"/>
    <w:rsid w:val="06D041B9"/>
    <w:rsid w:val="06D6706E"/>
    <w:rsid w:val="06E360C6"/>
    <w:rsid w:val="06E76084"/>
    <w:rsid w:val="06F1C531"/>
    <w:rsid w:val="070156F2"/>
    <w:rsid w:val="073E1699"/>
    <w:rsid w:val="074CD030"/>
    <w:rsid w:val="075E342A"/>
    <w:rsid w:val="078B0689"/>
    <w:rsid w:val="079167E4"/>
    <w:rsid w:val="07A53978"/>
    <w:rsid w:val="07BCD850"/>
    <w:rsid w:val="07BDC6C1"/>
    <w:rsid w:val="07D8BA8A"/>
    <w:rsid w:val="07DAF112"/>
    <w:rsid w:val="07E9A7E4"/>
    <w:rsid w:val="07FD6D5B"/>
    <w:rsid w:val="08335AB0"/>
    <w:rsid w:val="08508BAB"/>
    <w:rsid w:val="085E095A"/>
    <w:rsid w:val="0872D64A"/>
    <w:rsid w:val="08859EEE"/>
    <w:rsid w:val="089A36AD"/>
    <w:rsid w:val="08C8D3CB"/>
    <w:rsid w:val="08CC0F49"/>
    <w:rsid w:val="08CDA2B4"/>
    <w:rsid w:val="08DF8A61"/>
    <w:rsid w:val="08E09EF4"/>
    <w:rsid w:val="08E51BA9"/>
    <w:rsid w:val="08F82624"/>
    <w:rsid w:val="08FE60D1"/>
    <w:rsid w:val="090EC9EA"/>
    <w:rsid w:val="092A6A37"/>
    <w:rsid w:val="09376ED5"/>
    <w:rsid w:val="094D3F02"/>
    <w:rsid w:val="09981A74"/>
    <w:rsid w:val="09A75B66"/>
    <w:rsid w:val="09B973ED"/>
    <w:rsid w:val="09D619E7"/>
    <w:rsid w:val="09F604BC"/>
    <w:rsid w:val="09FE7C00"/>
    <w:rsid w:val="0A0B9048"/>
    <w:rsid w:val="0A29279E"/>
    <w:rsid w:val="0A696C6B"/>
    <w:rsid w:val="0A6BE055"/>
    <w:rsid w:val="0A76BF86"/>
    <w:rsid w:val="0AC91305"/>
    <w:rsid w:val="0AEC6D7B"/>
    <w:rsid w:val="0B1F9920"/>
    <w:rsid w:val="0B23672F"/>
    <w:rsid w:val="0B46B9EC"/>
    <w:rsid w:val="0B75AA50"/>
    <w:rsid w:val="0B848B1D"/>
    <w:rsid w:val="0B8C47F8"/>
    <w:rsid w:val="0B8DE954"/>
    <w:rsid w:val="0BA83B0E"/>
    <w:rsid w:val="0BAA19AB"/>
    <w:rsid w:val="0BB2EA6D"/>
    <w:rsid w:val="0BB855B3"/>
    <w:rsid w:val="0BDE9363"/>
    <w:rsid w:val="0BE171DF"/>
    <w:rsid w:val="0BF47D13"/>
    <w:rsid w:val="0C133FED"/>
    <w:rsid w:val="0C4219E5"/>
    <w:rsid w:val="0C58EDCC"/>
    <w:rsid w:val="0C5D345F"/>
    <w:rsid w:val="0C6BCDC3"/>
    <w:rsid w:val="0C79FB03"/>
    <w:rsid w:val="0CA42C90"/>
    <w:rsid w:val="0CD7A96B"/>
    <w:rsid w:val="0CE572F6"/>
    <w:rsid w:val="0CE80DCE"/>
    <w:rsid w:val="0CEC4068"/>
    <w:rsid w:val="0D161C1F"/>
    <w:rsid w:val="0D239FF1"/>
    <w:rsid w:val="0D3965B1"/>
    <w:rsid w:val="0D4057E6"/>
    <w:rsid w:val="0D5554DC"/>
    <w:rsid w:val="0D5C6B28"/>
    <w:rsid w:val="0D621CB0"/>
    <w:rsid w:val="0D6A21A3"/>
    <w:rsid w:val="0D9376E5"/>
    <w:rsid w:val="0DA366AD"/>
    <w:rsid w:val="0DA82A0E"/>
    <w:rsid w:val="0DBD7400"/>
    <w:rsid w:val="0DC57510"/>
    <w:rsid w:val="0DCA2651"/>
    <w:rsid w:val="0DE0838E"/>
    <w:rsid w:val="0DE8177C"/>
    <w:rsid w:val="0DEE2385"/>
    <w:rsid w:val="0E674FFE"/>
    <w:rsid w:val="0E884E62"/>
    <w:rsid w:val="0E9A304B"/>
    <w:rsid w:val="0EBF3D8B"/>
    <w:rsid w:val="0EC1D852"/>
    <w:rsid w:val="0EC76E46"/>
    <w:rsid w:val="0EC865DC"/>
    <w:rsid w:val="0EC97055"/>
    <w:rsid w:val="0ECC11AE"/>
    <w:rsid w:val="0F12335E"/>
    <w:rsid w:val="0F13EAB6"/>
    <w:rsid w:val="0F272B8B"/>
    <w:rsid w:val="0F403EFD"/>
    <w:rsid w:val="0F4330D9"/>
    <w:rsid w:val="0F6703B0"/>
    <w:rsid w:val="0F83099D"/>
    <w:rsid w:val="0F88447C"/>
    <w:rsid w:val="0F8E0CDC"/>
    <w:rsid w:val="0FAD8211"/>
    <w:rsid w:val="0FCCAEB7"/>
    <w:rsid w:val="0FD30A9D"/>
    <w:rsid w:val="104B4108"/>
    <w:rsid w:val="1054D040"/>
    <w:rsid w:val="1066387E"/>
    <w:rsid w:val="10A5DE59"/>
    <w:rsid w:val="10C8BD87"/>
    <w:rsid w:val="10C9876C"/>
    <w:rsid w:val="10E38EFA"/>
    <w:rsid w:val="1101DDB9"/>
    <w:rsid w:val="1104EF43"/>
    <w:rsid w:val="11062044"/>
    <w:rsid w:val="112E86A8"/>
    <w:rsid w:val="114BF194"/>
    <w:rsid w:val="1172EDF8"/>
    <w:rsid w:val="11AF7C79"/>
    <w:rsid w:val="11B135AD"/>
    <w:rsid w:val="11D9D0C2"/>
    <w:rsid w:val="11DF12E3"/>
    <w:rsid w:val="1200AD34"/>
    <w:rsid w:val="1200E597"/>
    <w:rsid w:val="1208A1CC"/>
    <w:rsid w:val="1214D733"/>
    <w:rsid w:val="123E0E7D"/>
    <w:rsid w:val="1243A5EE"/>
    <w:rsid w:val="126CB400"/>
    <w:rsid w:val="12B1B39C"/>
    <w:rsid w:val="1300F282"/>
    <w:rsid w:val="13010A3E"/>
    <w:rsid w:val="1303D897"/>
    <w:rsid w:val="13055FD0"/>
    <w:rsid w:val="13196B80"/>
    <w:rsid w:val="132B767E"/>
    <w:rsid w:val="1376AA79"/>
    <w:rsid w:val="13A8331F"/>
    <w:rsid w:val="13DA8D46"/>
    <w:rsid w:val="1400FC31"/>
    <w:rsid w:val="140509B2"/>
    <w:rsid w:val="144AFBE6"/>
    <w:rsid w:val="14595577"/>
    <w:rsid w:val="145E9E7C"/>
    <w:rsid w:val="14941360"/>
    <w:rsid w:val="149B1CD1"/>
    <w:rsid w:val="14BCFC8D"/>
    <w:rsid w:val="14F9DEB8"/>
    <w:rsid w:val="14FA5428"/>
    <w:rsid w:val="14FD7F39"/>
    <w:rsid w:val="15185E7E"/>
    <w:rsid w:val="151AFAF7"/>
    <w:rsid w:val="1520CAD7"/>
    <w:rsid w:val="15305A5C"/>
    <w:rsid w:val="15494783"/>
    <w:rsid w:val="1553EB7A"/>
    <w:rsid w:val="15592906"/>
    <w:rsid w:val="15747E0F"/>
    <w:rsid w:val="157E52DA"/>
    <w:rsid w:val="15879726"/>
    <w:rsid w:val="1596B578"/>
    <w:rsid w:val="15BABB2A"/>
    <w:rsid w:val="15DE5EBB"/>
    <w:rsid w:val="15EFE703"/>
    <w:rsid w:val="160263CD"/>
    <w:rsid w:val="1615953D"/>
    <w:rsid w:val="163C5ACE"/>
    <w:rsid w:val="163E7A6B"/>
    <w:rsid w:val="16457FC6"/>
    <w:rsid w:val="16820FE1"/>
    <w:rsid w:val="1695C64F"/>
    <w:rsid w:val="16A4944D"/>
    <w:rsid w:val="16A6B1BB"/>
    <w:rsid w:val="16D50498"/>
    <w:rsid w:val="16F42F15"/>
    <w:rsid w:val="170171D1"/>
    <w:rsid w:val="170492FC"/>
    <w:rsid w:val="170AE797"/>
    <w:rsid w:val="17604B1A"/>
    <w:rsid w:val="17954F3C"/>
    <w:rsid w:val="17AE4E27"/>
    <w:rsid w:val="17B855AD"/>
    <w:rsid w:val="184B169C"/>
    <w:rsid w:val="187A0DC8"/>
    <w:rsid w:val="18878AE9"/>
    <w:rsid w:val="188CC3D6"/>
    <w:rsid w:val="18AECDFC"/>
    <w:rsid w:val="18B03AF5"/>
    <w:rsid w:val="18C1E0CF"/>
    <w:rsid w:val="1913483D"/>
    <w:rsid w:val="193B3543"/>
    <w:rsid w:val="1940682D"/>
    <w:rsid w:val="1953BD55"/>
    <w:rsid w:val="195A9100"/>
    <w:rsid w:val="195D4F4C"/>
    <w:rsid w:val="195FD061"/>
    <w:rsid w:val="19813C38"/>
    <w:rsid w:val="198E5FB7"/>
    <w:rsid w:val="19ACA87F"/>
    <w:rsid w:val="19B08BDC"/>
    <w:rsid w:val="19CF554C"/>
    <w:rsid w:val="19E5AC69"/>
    <w:rsid w:val="19F6D31F"/>
    <w:rsid w:val="1A04D0AE"/>
    <w:rsid w:val="1A1A4679"/>
    <w:rsid w:val="1A21813E"/>
    <w:rsid w:val="1A2D6C37"/>
    <w:rsid w:val="1A378D02"/>
    <w:rsid w:val="1A5C7DFB"/>
    <w:rsid w:val="1A6429FF"/>
    <w:rsid w:val="1A6516D1"/>
    <w:rsid w:val="1A7C6C95"/>
    <w:rsid w:val="1AB842FF"/>
    <w:rsid w:val="1AD01515"/>
    <w:rsid w:val="1AE7532B"/>
    <w:rsid w:val="1B0657CA"/>
    <w:rsid w:val="1B257832"/>
    <w:rsid w:val="1B27B740"/>
    <w:rsid w:val="1B4333D4"/>
    <w:rsid w:val="1B6ED26D"/>
    <w:rsid w:val="1B870C50"/>
    <w:rsid w:val="1B9E7505"/>
    <w:rsid w:val="1BA11843"/>
    <w:rsid w:val="1BFF53D6"/>
    <w:rsid w:val="1C2B1C3E"/>
    <w:rsid w:val="1C52D0F9"/>
    <w:rsid w:val="1C72A44F"/>
    <w:rsid w:val="1C781721"/>
    <w:rsid w:val="1C7C0708"/>
    <w:rsid w:val="1CA47A49"/>
    <w:rsid w:val="1CBE587E"/>
    <w:rsid w:val="1CBF025A"/>
    <w:rsid w:val="1CC890A0"/>
    <w:rsid w:val="1D2599DA"/>
    <w:rsid w:val="1D2A40FB"/>
    <w:rsid w:val="1D2B050A"/>
    <w:rsid w:val="1D36D365"/>
    <w:rsid w:val="1D503F8E"/>
    <w:rsid w:val="1D52495C"/>
    <w:rsid w:val="1D5E5BED"/>
    <w:rsid w:val="1D9349B4"/>
    <w:rsid w:val="1DA7716F"/>
    <w:rsid w:val="1DC3391B"/>
    <w:rsid w:val="1DC8560E"/>
    <w:rsid w:val="1DE2A8AA"/>
    <w:rsid w:val="1DF59003"/>
    <w:rsid w:val="1E0E8CE4"/>
    <w:rsid w:val="1E178D4A"/>
    <w:rsid w:val="1E27108E"/>
    <w:rsid w:val="1E66C166"/>
    <w:rsid w:val="1EB27CC6"/>
    <w:rsid w:val="1EB4336B"/>
    <w:rsid w:val="1ED95B40"/>
    <w:rsid w:val="1EE4195C"/>
    <w:rsid w:val="1EEA1649"/>
    <w:rsid w:val="1F08B0CC"/>
    <w:rsid w:val="1F0A1094"/>
    <w:rsid w:val="1F0C9E13"/>
    <w:rsid w:val="1F12717C"/>
    <w:rsid w:val="1F686D3D"/>
    <w:rsid w:val="1F802D1E"/>
    <w:rsid w:val="1F90D01C"/>
    <w:rsid w:val="1FB35BDD"/>
    <w:rsid w:val="1FB45B47"/>
    <w:rsid w:val="1FC16BC4"/>
    <w:rsid w:val="1FC660AF"/>
    <w:rsid w:val="1FE37951"/>
    <w:rsid w:val="1FE60DDD"/>
    <w:rsid w:val="202332CC"/>
    <w:rsid w:val="2055A78A"/>
    <w:rsid w:val="205DA0F5"/>
    <w:rsid w:val="207B7188"/>
    <w:rsid w:val="20E2E7F4"/>
    <w:rsid w:val="21194078"/>
    <w:rsid w:val="211B522F"/>
    <w:rsid w:val="211D390C"/>
    <w:rsid w:val="212F2B3B"/>
    <w:rsid w:val="213E4DEE"/>
    <w:rsid w:val="21462AC4"/>
    <w:rsid w:val="214C3890"/>
    <w:rsid w:val="217BD55C"/>
    <w:rsid w:val="219B547F"/>
    <w:rsid w:val="21D47FEE"/>
    <w:rsid w:val="21EB0145"/>
    <w:rsid w:val="21EF4D49"/>
    <w:rsid w:val="21F54A68"/>
    <w:rsid w:val="21FD89BA"/>
    <w:rsid w:val="22164F48"/>
    <w:rsid w:val="222848E2"/>
    <w:rsid w:val="222B34F9"/>
    <w:rsid w:val="223C51DE"/>
    <w:rsid w:val="223CE532"/>
    <w:rsid w:val="226D4645"/>
    <w:rsid w:val="2273061C"/>
    <w:rsid w:val="22744780"/>
    <w:rsid w:val="2277346F"/>
    <w:rsid w:val="22A28559"/>
    <w:rsid w:val="22CF4903"/>
    <w:rsid w:val="22E5FE0F"/>
    <w:rsid w:val="2302A94F"/>
    <w:rsid w:val="2323C76D"/>
    <w:rsid w:val="2327B1D0"/>
    <w:rsid w:val="232AD174"/>
    <w:rsid w:val="233653A0"/>
    <w:rsid w:val="23371845"/>
    <w:rsid w:val="234079F4"/>
    <w:rsid w:val="23430F8C"/>
    <w:rsid w:val="23618912"/>
    <w:rsid w:val="2362F58E"/>
    <w:rsid w:val="238ADF09"/>
    <w:rsid w:val="23CD1FDE"/>
    <w:rsid w:val="23E5F1B7"/>
    <w:rsid w:val="23F01651"/>
    <w:rsid w:val="23FD6FCD"/>
    <w:rsid w:val="24033645"/>
    <w:rsid w:val="2408F1BA"/>
    <w:rsid w:val="2410F352"/>
    <w:rsid w:val="24185BF9"/>
    <w:rsid w:val="2425287E"/>
    <w:rsid w:val="242CDA67"/>
    <w:rsid w:val="24434C53"/>
    <w:rsid w:val="24434F23"/>
    <w:rsid w:val="2462B738"/>
    <w:rsid w:val="246A4EA6"/>
    <w:rsid w:val="247A24A7"/>
    <w:rsid w:val="248CEE3D"/>
    <w:rsid w:val="24A26DB2"/>
    <w:rsid w:val="24B66631"/>
    <w:rsid w:val="24CA11F8"/>
    <w:rsid w:val="24DB7904"/>
    <w:rsid w:val="24EC0FFB"/>
    <w:rsid w:val="251C7893"/>
    <w:rsid w:val="253EC45F"/>
    <w:rsid w:val="255086A6"/>
    <w:rsid w:val="257A17F4"/>
    <w:rsid w:val="25AD5063"/>
    <w:rsid w:val="25BC8673"/>
    <w:rsid w:val="25CD7F39"/>
    <w:rsid w:val="25DE71AC"/>
    <w:rsid w:val="25E4718E"/>
    <w:rsid w:val="261382BE"/>
    <w:rsid w:val="2618877B"/>
    <w:rsid w:val="26225FBB"/>
    <w:rsid w:val="264F3840"/>
    <w:rsid w:val="265230BD"/>
    <w:rsid w:val="266D5F63"/>
    <w:rsid w:val="26731C61"/>
    <w:rsid w:val="26BE33FD"/>
    <w:rsid w:val="26C0248F"/>
    <w:rsid w:val="26DD7D2E"/>
    <w:rsid w:val="26E0055D"/>
    <w:rsid w:val="2716D073"/>
    <w:rsid w:val="273F4283"/>
    <w:rsid w:val="274AD24F"/>
    <w:rsid w:val="275CA863"/>
    <w:rsid w:val="276B0D7C"/>
    <w:rsid w:val="27774E74"/>
    <w:rsid w:val="277C93D9"/>
    <w:rsid w:val="278B6ED3"/>
    <w:rsid w:val="279C77D1"/>
    <w:rsid w:val="27B60D82"/>
    <w:rsid w:val="27E9F07F"/>
    <w:rsid w:val="27FAC552"/>
    <w:rsid w:val="280D1973"/>
    <w:rsid w:val="281726EF"/>
    <w:rsid w:val="283BABED"/>
    <w:rsid w:val="2849B4DD"/>
    <w:rsid w:val="28500FC3"/>
    <w:rsid w:val="288BC9D1"/>
    <w:rsid w:val="28981573"/>
    <w:rsid w:val="28AD1761"/>
    <w:rsid w:val="28BB411F"/>
    <w:rsid w:val="28D3DDD0"/>
    <w:rsid w:val="28F406B6"/>
    <w:rsid w:val="29200E66"/>
    <w:rsid w:val="2949A932"/>
    <w:rsid w:val="296220BF"/>
    <w:rsid w:val="2971998D"/>
    <w:rsid w:val="29AA6898"/>
    <w:rsid w:val="29B65457"/>
    <w:rsid w:val="29C990B5"/>
    <w:rsid w:val="2A1D52DB"/>
    <w:rsid w:val="2A308B6A"/>
    <w:rsid w:val="2A3751B4"/>
    <w:rsid w:val="2A7AD6CC"/>
    <w:rsid w:val="2A9D8266"/>
    <w:rsid w:val="2AC77A60"/>
    <w:rsid w:val="2ACD76FB"/>
    <w:rsid w:val="2AD9C4E5"/>
    <w:rsid w:val="2B2CC038"/>
    <w:rsid w:val="2B31E85B"/>
    <w:rsid w:val="2B36257C"/>
    <w:rsid w:val="2B398199"/>
    <w:rsid w:val="2B39AFA8"/>
    <w:rsid w:val="2B798AD4"/>
    <w:rsid w:val="2B86E894"/>
    <w:rsid w:val="2B884F06"/>
    <w:rsid w:val="2B8D188A"/>
    <w:rsid w:val="2B9E985D"/>
    <w:rsid w:val="2BAA3454"/>
    <w:rsid w:val="2BC5E97E"/>
    <w:rsid w:val="2BC96387"/>
    <w:rsid w:val="2BD6EAED"/>
    <w:rsid w:val="2C26B531"/>
    <w:rsid w:val="2C2905F5"/>
    <w:rsid w:val="2C3A816C"/>
    <w:rsid w:val="2C3EB78F"/>
    <w:rsid w:val="2C5A29C6"/>
    <w:rsid w:val="2C6BF37B"/>
    <w:rsid w:val="2C6FA554"/>
    <w:rsid w:val="2C951349"/>
    <w:rsid w:val="2C99E98D"/>
    <w:rsid w:val="2CC41920"/>
    <w:rsid w:val="2CF4DEA2"/>
    <w:rsid w:val="2D0F3892"/>
    <w:rsid w:val="2D2AF80B"/>
    <w:rsid w:val="2D3BC82C"/>
    <w:rsid w:val="2D4F5082"/>
    <w:rsid w:val="2D611DD3"/>
    <w:rsid w:val="2DBE0B80"/>
    <w:rsid w:val="2DC601D4"/>
    <w:rsid w:val="2DCD4F8F"/>
    <w:rsid w:val="2DF520BE"/>
    <w:rsid w:val="2E019B1E"/>
    <w:rsid w:val="2E0517B6"/>
    <w:rsid w:val="2E142F91"/>
    <w:rsid w:val="2E51F1ED"/>
    <w:rsid w:val="2E54FA60"/>
    <w:rsid w:val="2E635060"/>
    <w:rsid w:val="2E66758D"/>
    <w:rsid w:val="2EA95893"/>
    <w:rsid w:val="2EAAE5D1"/>
    <w:rsid w:val="2EB85AAA"/>
    <w:rsid w:val="2ED7010D"/>
    <w:rsid w:val="2EE182D6"/>
    <w:rsid w:val="2F096765"/>
    <w:rsid w:val="2F0AEA4B"/>
    <w:rsid w:val="2F0B0A55"/>
    <w:rsid w:val="2F24529F"/>
    <w:rsid w:val="2F4A0FCC"/>
    <w:rsid w:val="2F4E2816"/>
    <w:rsid w:val="2F930985"/>
    <w:rsid w:val="2F96CBCE"/>
    <w:rsid w:val="2FA024E7"/>
    <w:rsid w:val="2FBE7168"/>
    <w:rsid w:val="3001EDEA"/>
    <w:rsid w:val="3015795C"/>
    <w:rsid w:val="302428B3"/>
    <w:rsid w:val="30307085"/>
    <w:rsid w:val="3041C296"/>
    <w:rsid w:val="30601E00"/>
    <w:rsid w:val="30756C47"/>
    <w:rsid w:val="30840FF3"/>
    <w:rsid w:val="30842256"/>
    <w:rsid w:val="30882E50"/>
    <w:rsid w:val="30A40BED"/>
    <w:rsid w:val="30AC5095"/>
    <w:rsid w:val="30BA96BD"/>
    <w:rsid w:val="311BCE9B"/>
    <w:rsid w:val="312C758C"/>
    <w:rsid w:val="31386B33"/>
    <w:rsid w:val="31535D1E"/>
    <w:rsid w:val="315FA1E1"/>
    <w:rsid w:val="316855BA"/>
    <w:rsid w:val="31A0AA03"/>
    <w:rsid w:val="31F4073E"/>
    <w:rsid w:val="320C4F63"/>
    <w:rsid w:val="321BA78A"/>
    <w:rsid w:val="3239F208"/>
    <w:rsid w:val="323C6F10"/>
    <w:rsid w:val="324A22B1"/>
    <w:rsid w:val="3254BF54"/>
    <w:rsid w:val="32573929"/>
    <w:rsid w:val="328B278B"/>
    <w:rsid w:val="32A99FCF"/>
    <w:rsid w:val="32AA965D"/>
    <w:rsid w:val="32CB5D77"/>
    <w:rsid w:val="32CC4A0D"/>
    <w:rsid w:val="32F6322E"/>
    <w:rsid w:val="32F8BA9C"/>
    <w:rsid w:val="33002BA6"/>
    <w:rsid w:val="3353F118"/>
    <w:rsid w:val="33C4473A"/>
    <w:rsid w:val="3407B2E7"/>
    <w:rsid w:val="34184E76"/>
    <w:rsid w:val="3426B9E9"/>
    <w:rsid w:val="342D6152"/>
    <w:rsid w:val="343CEF0C"/>
    <w:rsid w:val="3454C0B9"/>
    <w:rsid w:val="348935D8"/>
    <w:rsid w:val="348F97AB"/>
    <w:rsid w:val="34A24201"/>
    <w:rsid w:val="34A7053B"/>
    <w:rsid w:val="34AA10D9"/>
    <w:rsid w:val="34AD287C"/>
    <w:rsid w:val="34B7278D"/>
    <w:rsid w:val="34E77474"/>
    <w:rsid w:val="34FB7013"/>
    <w:rsid w:val="350D5068"/>
    <w:rsid w:val="350EFB69"/>
    <w:rsid w:val="3510563C"/>
    <w:rsid w:val="35251AC6"/>
    <w:rsid w:val="353030A1"/>
    <w:rsid w:val="354E715E"/>
    <w:rsid w:val="35719034"/>
    <w:rsid w:val="359C2C0A"/>
    <w:rsid w:val="35A954A4"/>
    <w:rsid w:val="35B213E1"/>
    <w:rsid w:val="35CC5E37"/>
    <w:rsid w:val="35DAE096"/>
    <w:rsid w:val="35E72288"/>
    <w:rsid w:val="35EF54FD"/>
    <w:rsid w:val="35FEB55C"/>
    <w:rsid w:val="360958E9"/>
    <w:rsid w:val="362C0456"/>
    <w:rsid w:val="36318F3C"/>
    <w:rsid w:val="365E4974"/>
    <w:rsid w:val="365F1232"/>
    <w:rsid w:val="36A718C8"/>
    <w:rsid w:val="36AA70F0"/>
    <w:rsid w:val="36BBF4D5"/>
    <w:rsid w:val="36CB5B1F"/>
    <w:rsid w:val="36D00A30"/>
    <w:rsid w:val="36D35D98"/>
    <w:rsid w:val="36E73558"/>
    <w:rsid w:val="36F1AEF3"/>
    <w:rsid w:val="37040CF9"/>
    <w:rsid w:val="37044DC5"/>
    <w:rsid w:val="371F15DE"/>
    <w:rsid w:val="3724D8FD"/>
    <w:rsid w:val="373020A0"/>
    <w:rsid w:val="37403E44"/>
    <w:rsid w:val="377602E7"/>
    <w:rsid w:val="37762123"/>
    <w:rsid w:val="377F064E"/>
    <w:rsid w:val="3781922A"/>
    <w:rsid w:val="3796B9CC"/>
    <w:rsid w:val="37BCEAF1"/>
    <w:rsid w:val="37BF9D49"/>
    <w:rsid w:val="37CD1282"/>
    <w:rsid w:val="37DB3452"/>
    <w:rsid w:val="37EFF8F5"/>
    <w:rsid w:val="37F79280"/>
    <w:rsid w:val="381F43DD"/>
    <w:rsid w:val="387A8A61"/>
    <w:rsid w:val="389711CB"/>
    <w:rsid w:val="38E9BD26"/>
    <w:rsid w:val="38EB6F4B"/>
    <w:rsid w:val="38F3FC1D"/>
    <w:rsid w:val="390F54A6"/>
    <w:rsid w:val="39310293"/>
    <w:rsid w:val="39567CFF"/>
    <w:rsid w:val="3961A922"/>
    <w:rsid w:val="398CFD81"/>
    <w:rsid w:val="399B434C"/>
    <w:rsid w:val="39B2F955"/>
    <w:rsid w:val="39DE77BB"/>
    <w:rsid w:val="39EF2A4D"/>
    <w:rsid w:val="3A2F72B5"/>
    <w:rsid w:val="3A474278"/>
    <w:rsid w:val="3A78D920"/>
    <w:rsid w:val="3AA60463"/>
    <w:rsid w:val="3AA7D285"/>
    <w:rsid w:val="3ABE038E"/>
    <w:rsid w:val="3ADFEE8A"/>
    <w:rsid w:val="3AE41976"/>
    <w:rsid w:val="3AFC5D1B"/>
    <w:rsid w:val="3B2F746C"/>
    <w:rsid w:val="3B7A382A"/>
    <w:rsid w:val="3BED66B5"/>
    <w:rsid w:val="3BF6BCCA"/>
    <w:rsid w:val="3C0F4617"/>
    <w:rsid w:val="3C36434C"/>
    <w:rsid w:val="3C391569"/>
    <w:rsid w:val="3C882584"/>
    <w:rsid w:val="3C9F8BF8"/>
    <w:rsid w:val="3CD2DAE3"/>
    <w:rsid w:val="3CE20404"/>
    <w:rsid w:val="3D1F323C"/>
    <w:rsid w:val="3D20FE38"/>
    <w:rsid w:val="3DAC64A8"/>
    <w:rsid w:val="3DB15C19"/>
    <w:rsid w:val="3DB5B83C"/>
    <w:rsid w:val="3DBAA1DF"/>
    <w:rsid w:val="3DBB024E"/>
    <w:rsid w:val="3DC92E91"/>
    <w:rsid w:val="3DF49305"/>
    <w:rsid w:val="3DF56988"/>
    <w:rsid w:val="3E009A26"/>
    <w:rsid w:val="3E0EDED2"/>
    <w:rsid w:val="3E3F1503"/>
    <w:rsid w:val="3E78450F"/>
    <w:rsid w:val="3E8AE178"/>
    <w:rsid w:val="3E9793E9"/>
    <w:rsid w:val="3EC24B9F"/>
    <w:rsid w:val="3EC48D72"/>
    <w:rsid w:val="3EE3728D"/>
    <w:rsid w:val="3F235B29"/>
    <w:rsid w:val="3F4C3A5F"/>
    <w:rsid w:val="3F636B85"/>
    <w:rsid w:val="3F800721"/>
    <w:rsid w:val="3F8E9509"/>
    <w:rsid w:val="3F912AA2"/>
    <w:rsid w:val="3FC883AB"/>
    <w:rsid w:val="40213F80"/>
    <w:rsid w:val="407E1C61"/>
    <w:rsid w:val="409613C9"/>
    <w:rsid w:val="40973634"/>
    <w:rsid w:val="40A84414"/>
    <w:rsid w:val="40AB9544"/>
    <w:rsid w:val="40B2F4D0"/>
    <w:rsid w:val="40DFB699"/>
    <w:rsid w:val="40E6958F"/>
    <w:rsid w:val="40F6C0CD"/>
    <w:rsid w:val="40F79E5B"/>
    <w:rsid w:val="40FE6481"/>
    <w:rsid w:val="4112025B"/>
    <w:rsid w:val="41140F53"/>
    <w:rsid w:val="412A1CB0"/>
    <w:rsid w:val="412CE8C4"/>
    <w:rsid w:val="414C4406"/>
    <w:rsid w:val="41A3AA4A"/>
    <w:rsid w:val="41B2E617"/>
    <w:rsid w:val="41D12260"/>
    <w:rsid w:val="41DF8AB9"/>
    <w:rsid w:val="41F31AFC"/>
    <w:rsid w:val="42109766"/>
    <w:rsid w:val="422A28C4"/>
    <w:rsid w:val="42521D95"/>
    <w:rsid w:val="4273C35E"/>
    <w:rsid w:val="4275CD9C"/>
    <w:rsid w:val="428602F3"/>
    <w:rsid w:val="42AA6346"/>
    <w:rsid w:val="42B813DA"/>
    <w:rsid w:val="42C3D61E"/>
    <w:rsid w:val="42F375CE"/>
    <w:rsid w:val="4307CEB3"/>
    <w:rsid w:val="43537087"/>
    <w:rsid w:val="435C8D42"/>
    <w:rsid w:val="4378F61A"/>
    <w:rsid w:val="43A1A488"/>
    <w:rsid w:val="43AE70A2"/>
    <w:rsid w:val="43B8F0D1"/>
    <w:rsid w:val="43CC2F91"/>
    <w:rsid w:val="43D0678E"/>
    <w:rsid w:val="43D4C080"/>
    <w:rsid w:val="43FEA1B2"/>
    <w:rsid w:val="4410F2CF"/>
    <w:rsid w:val="443584E2"/>
    <w:rsid w:val="443C9916"/>
    <w:rsid w:val="44400531"/>
    <w:rsid w:val="44542C51"/>
    <w:rsid w:val="445FF97F"/>
    <w:rsid w:val="447D52BF"/>
    <w:rsid w:val="4497EF85"/>
    <w:rsid w:val="44A10F45"/>
    <w:rsid w:val="44BC62BC"/>
    <w:rsid w:val="44C92E98"/>
    <w:rsid w:val="44EC39A3"/>
    <w:rsid w:val="4519318C"/>
    <w:rsid w:val="4522C720"/>
    <w:rsid w:val="454F8F4D"/>
    <w:rsid w:val="45550577"/>
    <w:rsid w:val="45627EA3"/>
    <w:rsid w:val="45BA52F4"/>
    <w:rsid w:val="45C66668"/>
    <w:rsid w:val="45D126F4"/>
    <w:rsid w:val="45D9612C"/>
    <w:rsid w:val="45EA6A9C"/>
    <w:rsid w:val="45FAB0A8"/>
    <w:rsid w:val="460526F6"/>
    <w:rsid w:val="462AB7F4"/>
    <w:rsid w:val="462D137D"/>
    <w:rsid w:val="464D5B27"/>
    <w:rsid w:val="465D0484"/>
    <w:rsid w:val="468B84EA"/>
    <w:rsid w:val="46C32AB4"/>
    <w:rsid w:val="46DB5273"/>
    <w:rsid w:val="4708573A"/>
    <w:rsid w:val="4726C355"/>
    <w:rsid w:val="472B2620"/>
    <w:rsid w:val="474E75C8"/>
    <w:rsid w:val="475752A9"/>
    <w:rsid w:val="478F60A4"/>
    <w:rsid w:val="47DA1AE5"/>
    <w:rsid w:val="47DB62C5"/>
    <w:rsid w:val="47F10FD4"/>
    <w:rsid w:val="47F72BF9"/>
    <w:rsid w:val="480027DB"/>
    <w:rsid w:val="483171CA"/>
    <w:rsid w:val="483D02F6"/>
    <w:rsid w:val="485EDC60"/>
    <w:rsid w:val="486244A8"/>
    <w:rsid w:val="4885D353"/>
    <w:rsid w:val="489440FB"/>
    <w:rsid w:val="48E0064C"/>
    <w:rsid w:val="48E24738"/>
    <w:rsid w:val="493A1A7D"/>
    <w:rsid w:val="494339DF"/>
    <w:rsid w:val="4945A10D"/>
    <w:rsid w:val="495E742A"/>
    <w:rsid w:val="49894446"/>
    <w:rsid w:val="49D4CECC"/>
    <w:rsid w:val="49DD7ECD"/>
    <w:rsid w:val="49F68C86"/>
    <w:rsid w:val="4A006258"/>
    <w:rsid w:val="4A06ED65"/>
    <w:rsid w:val="4A59177B"/>
    <w:rsid w:val="4A591E55"/>
    <w:rsid w:val="4A88088D"/>
    <w:rsid w:val="4B00AC41"/>
    <w:rsid w:val="4B068085"/>
    <w:rsid w:val="4B1D359B"/>
    <w:rsid w:val="4B1D8088"/>
    <w:rsid w:val="4B1E7E43"/>
    <w:rsid w:val="4B345E69"/>
    <w:rsid w:val="4B3D7313"/>
    <w:rsid w:val="4B3E00E5"/>
    <w:rsid w:val="4B5336C1"/>
    <w:rsid w:val="4B5B88D2"/>
    <w:rsid w:val="4B647AA3"/>
    <w:rsid w:val="4B8E24CB"/>
    <w:rsid w:val="4BC02331"/>
    <w:rsid w:val="4BEAB64E"/>
    <w:rsid w:val="4BFA92FF"/>
    <w:rsid w:val="4C1CB5EA"/>
    <w:rsid w:val="4C412CEB"/>
    <w:rsid w:val="4C68C6F8"/>
    <w:rsid w:val="4C7FB3F3"/>
    <w:rsid w:val="4CA23720"/>
    <w:rsid w:val="4CAC9521"/>
    <w:rsid w:val="4CBFB299"/>
    <w:rsid w:val="4CF60293"/>
    <w:rsid w:val="4D042129"/>
    <w:rsid w:val="4D346D4F"/>
    <w:rsid w:val="4D3AA304"/>
    <w:rsid w:val="4D3F449D"/>
    <w:rsid w:val="4D86F238"/>
    <w:rsid w:val="4D88FFDC"/>
    <w:rsid w:val="4D91EB63"/>
    <w:rsid w:val="4D93DE6C"/>
    <w:rsid w:val="4DA8E52D"/>
    <w:rsid w:val="4DC68D8D"/>
    <w:rsid w:val="4DCACF40"/>
    <w:rsid w:val="4E1F97F1"/>
    <w:rsid w:val="4E35096C"/>
    <w:rsid w:val="4E5F005B"/>
    <w:rsid w:val="4E737765"/>
    <w:rsid w:val="4E753DB4"/>
    <w:rsid w:val="4EB3755D"/>
    <w:rsid w:val="4EBB8641"/>
    <w:rsid w:val="4EC0471E"/>
    <w:rsid w:val="4F0CC391"/>
    <w:rsid w:val="4F0E61F1"/>
    <w:rsid w:val="4F1A613F"/>
    <w:rsid w:val="4F2DF067"/>
    <w:rsid w:val="4F37CAA1"/>
    <w:rsid w:val="4F6982BE"/>
    <w:rsid w:val="4F7A86BA"/>
    <w:rsid w:val="4FAAE666"/>
    <w:rsid w:val="4FABF060"/>
    <w:rsid w:val="4FB13620"/>
    <w:rsid w:val="4FD7D792"/>
    <w:rsid w:val="4FE8514A"/>
    <w:rsid w:val="4FF34D64"/>
    <w:rsid w:val="4FFC18CC"/>
    <w:rsid w:val="50150E6E"/>
    <w:rsid w:val="5018283E"/>
    <w:rsid w:val="501E6343"/>
    <w:rsid w:val="502D66C3"/>
    <w:rsid w:val="50493606"/>
    <w:rsid w:val="50566F77"/>
    <w:rsid w:val="50B31833"/>
    <w:rsid w:val="50D344B5"/>
    <w:rsid w:val="50E10AA8"/>
    <w:rsid w:val="51123EEB"/>
    <w:rsid w:val="512071BD"/>
    <w:rsid w:val="512E48E0"/>
    <w:rsid w:val="51360892"/>
    <w:rsid w:val="516120A2"/>
    <w:rsid w:val="5163474C"/>
    <w:rsid w:val="51A17ED4"/>
    <w:rsid w:val="51A34E69"/>
    <w:rsid w:val="51F736B0"/>
    <w:rsid w:val="520B295C"/>
    <w:rsid w:val="5228384C"/>
    <w:rsid w:val="523479AD"/>
    <w:rsid w:val="523691C9"/>
    <w:rsid w:val="52896DD7"/>
    <w:rsid w:val="528C13DB"/>
    <w:rsid w:val="52972AAF"/>
    <w:rsid w:val="529D9AF4"/>
    <w:rsid w:val="52A0083E"/>
    <w:rsid w:val="52A83274"/>
    <w:rsid w:val="53072D8E"/>
    <w:rsid w:val="53182182"/>
    <w:rsid w:val="53282B9B"/>
    <w:rsid w:val="533A04EE"/>
    <w:rsid w:val="533B502D"/>
    <w:rsid w:val="533C7CA8"/>
    <w:rsid w:val="53456978"/>
    <w:rsid w:val="53486913"/>
    <w:rsid w:val="5352C6CF"/>
    <w:rsid w:val="535FCF54"/>
    <w:rsid w:val="5368EA52"/>
    <w:rsid w:val="537A209C"/>
    <w:rsid w:val="537CCA42"/>
    <w:rsid w:val="538C2617"/>
    <w:rsid w:val="53B9D1F1"/>
    <w:rsid w:val="53CE40A7"/>
    <w:rsid w:val="53E0ABD3"/>
    <w:rsid w:val="53F882D2"/>
    <w:rsid w:val="53F94F7A"/>
    <w:rsid w:val="540FE2B5"/>
    <w:rsid w:val="541E8C08"/>
    <w:rsid w:val="5432E500"/>
    <w:rsid w:val="543EFF95"/>
    <w:rsid w:val="544E3E3D"/>
    <w:rsid w:val="545A3322"/>
    <w:rsid w:val="546C95B3"/>
    <w:rsid w:val="54A63DF7"/>
    <w:rsid w:val="54A91007"/>
    <w:rsid w:val="54DE1894"/>
    <w:rsid w:val="54E862E8"/>
    <w:rsid w:val="54F4758D"/>
    <w:rsid w:val="550BB7F2"/>
    <w:rsid w:val="552E49D7"/>
    <w:rsid w:val="554BAC5D"/>
    <w:rsid w:val="556D179F"/>
    <w:rsid w:val="556D79C0"/>
    <w:rsid w:val="5578C859"/>
    <w:rsid w:val="55A8DF42"/>
    <w:rsid w:val="55C0E592"/>
    <w:rsid w:val="55C16E87"/>
    <w:rsid w:val="55CE31D7"/>
    <w:rsid w:val="55F06194"/>
    <w:rsid w:val="55F75FDE"/>
    <w:rsid w:val="56234189"/>
    <w:rsid w:val="56277412"/>
    <w:rsid w:val="566CBE1C"/>
    <w:rsid w:val="56916E25"/>
    <w:rsid w:val="56E1C1BA"/>
    <w:rsid w:val="56E5A3D5"/>
    <w:rsid w:val="56F2CAD9"/>
    <w:rsid w:val="56F5CB8D"/>
    <w:rsid w:val="56F7DC7E"/>
    <w:rsid w:val="571BFE8F"/>
    <w:rsid w:val="57260D9E"/>
    <w:rsid w:val="572B5898"/>
    <w:rsid w:val="5733920F"/>
    <w:rsid w:val="57495030"/>
    <w:rsid w:val="576D12FB"/>
    <w:rsid w:val="577DE270"/>
    <w:rsid w:val="57D7E4B3"/>
    <w:rsid w:val="57DC82DE"/>
    <w:rsid w:val="580970ED"/>
    <w:rsid w:val="580F0957"/>
    <w:rsid w:val="5813B0DD"/>
    <w:rsid w:val="5822F07B"/>
    <w:rsid w:val="58370EF4"/>
    <w:rsid w:val="585A0224"/>
    <w:rsid w:val="58691365"/>
    <w:rsid w:val="586C59BE"/>
    <w:rsid w:val="58B850B9"/>
    <w:rsid w:val="58E48C25"/>
    <w:rsid w:val="58E9BEF9"/>
    <w:rsid w:val="58ED711B"/>
    <w:rsid w:val="58EF10EB"/>
    <w:rsid w:val="58F959EF"/>
    <w:rsid w:val="58FEA6AE"/>
    <w:rsid w:val="599D86F9"/>
    <w:rsid w:val="59AA18FB"/>
    <w:rsid w:val="59B60E62"/>
    <w:rsid w:val="59B98A6D"/>
    <w:rsid w:val="59CB781A"/>
    <w:rsid w:val="59E634AE"/>
    <w:rsid w:val="5A1A361D"/>
    <w:rsid w:val="5A534417"/>
    <w:rsid w:val="5A6C8D65"/>
    <w:rsid w:val="5A870FC0"/>
    <w:rsid w:val="5A98CD1B"/>
    <w:rsid w:val="5ABE549A"/>
    <w:rsid w:val="5AC73010"/>
    <w:rsid w:val="5AE3E561"/>
    <w:rsid w:val="5B4347A4"/>
    <w:rsid w:val="5B4B1824"/>
    <w:rsid w:val="5B595F09"/>
    <w:rsid w:val="5B61C44D"/>
    <w:rsid w:val="5B76E195"/>
    <w:rsid w:val="5B7E1BA7"/>
    <w:rsid w:val="5B8D0CB6"/>
    <w:rsid w:val="5BA74B45"/>
    <w:rsid w:val="5BA82DF7"/>
    <w:rsid w:val="5BB84D70"/>
    <w:rsid w:val="5BBAC158"/>
    <w:rsid w:val="5BCA4F07"/>
    <w:rsid w:val="5BD448CC"/>
    <w:rsid w:val="5BFB5104"/>
    <w:rsid w:val="5C05740E"/>
    <w:rsid w:val="5C14752E"/>
    <w:rsid w:val="5C4A9DD0"/>
    <w:rsid w:val="5C602401"/>
    <w:rsid w:val="5D014D85"/>
    <w:rsid w:val="5D480B4F"/>
    <w:rsid w:val="5D4D5C36"/>
    <w:rsid w:val="5DA16F6E"/>
    <w:rsid w:val="5DA4ADB0"/>
    <w:rsid w:val="5DB5B931"/>
    <w:rsid w:val="5DC1215D"/>
    <w:rsid w:val="5DC444C4"/>
    <w:rsid w:val="5DC72DA9"/>
    <w:rsid w:val="5DD9F228"/>
    <w:rsid w:val="5DF86737"/>
    <w:rsid w:val="5DFA26D9"/>
    <w:rsid w:val="5E04262D"/>
    <w:rsid w:val="5E252230"/>
    <w:rsid w:val="5E29074B"/>
    <w:rsid w:val="5E292D1F"/>
    <w:rsid w:val="5E3384A8"/>
    <w:rsid w:val="5EB01132"/>
    <w:rsid w:val="5EB262E0"/>
    <w:rsid w:val="5EB6F18D"/>
    <w:rsid w:val="5ED8C94B"/>
    <w:rsid w:val="5EEADCD2"/>
    <w:rsid w:val="5EF81857"/>
    <w:rsid w:val="5F11DF27"/>
    <w:rsid w:val="5F2EF95B"/>
    <w:rsid w:val="5F42842B"/>
    <w:rsid w:val="5F4F838B"/>
    <w:rsid w:val="5F59773C"/>
    <w:rsid w:val="5F767594"/>
    <w:rsid w:val="5F80DE56"/>
    <w:rsid w:val="5F8C6483"/>
    <w:rsid w:val="5F8E90E1"/>
    <w:rsid w:val="5F98169E"/>
    <w:rsid w:val="5FB41AB2"/>
    <w:rsid w:val="5FB9FA5B"/>
    <w:rsid w:val="5FC6675E"/>
    <w:rsid w:val="5FD07028"/>
    <w:rsid w:val="5FD43BE8"/>
    <w:rsid w:val="60191696"/>
    <w:rsid w:val="60616804"/>
    <w:rsid w:val="60984E3B"/>
    <w:rsid w:val="60E1183F"/>
    <w:rsid w:val="610312E1"/>
    <w:rsid w:val="6150445C"/>
    <w:rsid w:val="616FC343"/>
    <w:rsid w:val="61BC9E84"/>
    <w:rsid w:val="61E6000C"/>
    <w:rsid w:val="61EEE2D0"/>
    <w:rsid w:val="6202724C"/>
    <w:rsid w:val="62092C16"/>
    <w:rsid w:val="6213C07A"/>
    <w:rsid w:val="6222A9EE"/>
    <w:rsid w:val="62260356"/>
    <w:rsid w:val="6235C237"/>
    <w:rsid w:val="623A274B"/>
    <w:rsid w:val="625A3D4C"/>
    <w:rsid w:val="627D74BC"/>
    <w:rsid w:val="62921399"/>
    <w:rsid w:val="62A12B66"/>
    <w:rsid w:val="62BFF8C7"/>
    <w:rsid w:val="62D6225F"/>
    <w:rsid w:val="62D77CE8"/>
    <w:rsid w:val="62E40ACB"/>
    <w:rsid w:val="630A9980"/>
    <w:rsid w:val="635E6F2A"/>
    <w:rsid w:val="63659AA3"/>
    <w:rsid w:val="63A2A6F0"/>
    <w:rsid w:val="63BA4C6E"/>
    <w:rsid w:val="63BC3D28"/>
    <w:rsid w:val="63CFE86F"/>
    <w:rsid w:val="63ED0872"/>
    <w:rsid w:val="641645B3"/>
    <w:rsid w:val="642966DD"/>
    <w:rsid w:val="645EFC71"/>
    <w:rsid w:val="64894A70"/>
    <w:rsid w:val="65256A5A"/>
    <w:rsid w:val="65529744"/>
    <w:rsid w:val="6561965E"/>
    <w:rsid w:val="657B8B4D"/>
    <w:rsid w:val="658DC201"/>
    <w:rsid w:val="65A271B3"/>
    <w:rsid w:val="65CC13CA"/>
    <w:rsid w:val="65E03C31"/>
    <w:rsid w:val="65E24FB9"/>
    <w:rsid w:val="65E8BF22"/>
    <w:rsid w:val="65F8AF24"/>
    <w:rsid w:val="660C0391"/>
    <w:rsid w:val="662B2E80"/>
    <w:rsid w:val="66333C7D"/>
    <w:rsid w:val="66426FEA"/>
    <w:rsid w:val="665690B2"/>
    <w:rsid w:val="6695C08B"/>
    <w:rsid w:val="66A02B9F"/>
    <w:rsid w:val="66A91AB2"/>
    <w:rsid w:val="66D1AB05"/>
    <w:rsid w:val="66EDAEBA"/>
    <w:rsid w:val="66F7D08D"/>
    <w:rsid w:val="67000FD4"/>
    <w:rsid w:val="670ED215"/>
    <w:rsid w:val="6711F22F"/>
    <w:rsid w:val="6717891F"/>
    <w:rsid w:val="67247AF2"/>
    <w:rsid w:val="674D1DCD"/>
    <w:rsid w:val="674FE889"/>
    <w:rsid w:val="67850DDB"/>
    <w:rsid w:val="67994C60"/>
    <w:rsid w:val="67AEBC85"/>
    <w:rsid w:val="67B1F8E1"/>
    <w:rsid w:val="67CFBB8C"/>
    <w:rsid w:val="6843050D"/>
    <w:rsid w:val="684CB6C5"/>
    <w:rsid w:val="684E74A2"/>
    <w:rsid w:val="68672312"/>
    <w:rsid w:val="688F9574"/>
    <w:rsid w:val="68D17ED0"/>
    <w:rsid w:val="68DCF916"/>
    <w:rsid w:val="68F22B8F"/>
    <w:rsid w:val="68F517A2"/>
    <w:rsid w:val="6906D2F1"/>
    <w:rsid w:val="6916AFF5"/>
    <w:rsid w:val="691F5ED3"/>
    <w:rsid w:val="6924DA51"/>
    <w:rsid w:val="695A0E1D"/>
    <w:rsid w:val="69765CE0"/>
    <w:rsid w:val="69943A81"/>
    <w:rsid w:val="6997B2AD"/>
    <w:rsid w:val="69BC524D"/>
    <w:rsid w:val="69C85D88"/>
    <w:rsid w:val="69C8F901"/>
    <w:rsid w:val="69CDA053"/>
    <w:rsid w:val="69E81C42"/>
    <w:rsid w:val="69FFB463"/>
    <w:rsid w:val="6A621978"/>
    <w:rsid w:val="6A959723"/>
    <w:rsid w:val="6A981B11"/>
    <w:rsid w:val="6A9A86C8"/>
    <w:rsid w:val="6A9B7D22"/>
    <w:rsid w:val="6AB4446F"/>
    <w:rsid w:val="6AE26713"/>
    <w:rsid w:val="6AF1031C"/>
    <w:rsid w:val="6B23552F"/>
    <w:rsid w:val="6B2A47B0"/>
    <w:rsid w:val="6B2ED84B"/>
    <w:rsid w:val="6B3F99C0"/>
    <w:rsid w:val="6B483BE6"/>
    <w:rsid w:val="6B4B4A24"/>
    <w:rsid w:val="6B82822F"/>
    <w:rsid w:val="6B82D725"/>
    <w:rsid w:val="6B97392A"/>
    <w:rsid w:val="6B9B6B82"/>
    <w:rsid w:val="6BAE1563"/>
    <w:rsid w:val="6BDA7C8F"/>
    <w:rsid w:val="6BED693F"/>
    <w:rsid w:val="6C433F56"/>
    <w:rsid w:val="6C649245"/>
    <w:rsid w:val="6C7226D6"/>
    <w:rsid w:val="6C8964BF"/>
    <w:rsid w:val="6C8CB6E2"/>
    <w:rsid w:val="6CB5B068"/>
    <w:rsid w:val="6CBBAED7"/>
    <w:rsid w:val="6CC97863"/>
    <w:rsid w:val="6CD40F06"/>
    <w:rsid w:val="6CD5A498"/>
    <w:rsid w:val="6CEF4D52"/>
    <w:rsid w:val="6D0D5630"/>
    <w:rsid w:val="6D1C8F8C"/>
    <w:rsid w:val="6D2D50E7"/>
    <w:rsid w:val="6D304D09"/>
    <w:rsid w:val="6D6B5D95"/>
    <w:rsid w:val="6D8B6E99"/>
    <w:rsid w:val="6D970CDF"/>
    <w:rsid w:val="6D973342"/>
    <w:rsid w:val="6DBA00AB"/>
    <w:rsid w:val="6DBB69F3"/>
    <w:rsid w:val="6DC4CB5A"/>
    <w:rsid w:val="6DE19BBD"/>
    <w:rsid w:val="6DE8537A"/>
    <w:rsid w:val="6DF4651F"/>
    <w:rsid w:val="6DF6036B"/>
    <w:rsid w:val="6E00310A"/>
    <w:rsid w:val="6E29791C"/>
    <w:rsid w:val="6E2CCF67"/>
    <w:rsid w:val="6E4CCDA9"/>
    <w:rsid w:val="6E4E1569"/>
    <w:rsid w:val="6E579EE2"/>
    <w:rsid w:val="6E67C267"/>
    <w:rsid w:val="6E6D9246"/>
    <w:rsid w:val="6E6DE68E"/>
    <w:rsid w:val="6E942196"/>
    <w:rsid w:val="6E98AB4F"/>
    <w:rsid w:val="6EB16697"/>
    <w:rsid w:val="6EB26ED0"/>
    <w:rsid w:val="6EC84F3A"/>
    <w:rsid w:val="6EC9D538"/>
    <w:rsid w:val="6ED3ED7D"/>
    <w:rsid w:val="6EEF6D19"/>
    <w:rsid w:val="6F0CCB63"/>
    <w:rsid w:val="6F2C579C"/>
    <w:rsid w:val="6F2D9EAD"/>
    <w:rsid w:val="6F317FCA"/>
    <w:rsid w:val="6F45A125"/>
    <w:rsid w:val="6F4F0EAC"/>
    <w:rsid w:val="6F7DAC15"/>
    <w:rsid w:val="6F83D7C1"/>
    <w:rsid w:val="6FB07C73"/>
    <w:rsid w:val="6FC06937"/>
    <w:rsid w:val="6FF36E11"/>
    <w:rsid w:val="7006BC65"/>
    <w:rsid w:val="7027B023"/>
    <w:rsid w:val="705F0CBB"/>
    <w:rsid w:val="706831EF"/>
    <w:rsid w:val="70756F88"/>
    <w:rsid w:val="707E82A8"/>
    <w:rsid w:val="707F87F1"/>
    <w:rsid w:val="70941823"/>
    <w:rsid w:val="709CB837"/>
    <w:rsid w:val="70A33091"/>
    <w:rsid w:val="70AE71EA"/>
    <w:rsid w:val="70E9493A"/>
    <w:rsid w:val="70F10965"/>
    <w:rsid w:val="70FF3432"/>
    <w:rsid w:val="711C4D00"/>
    <w:rsid w:val="71433BD5"/>
    <w:rsid w:val="71803EC5"/>
    <w:rsid w:val="718204EE"/>
    <w:rsid w:val="718A9E70"/>
    <w:rsid w:val="71965046"/>
    <w:rsid w:val="71BB3CA3"/>
    <w:rsid w:val="71D2AB81"/>
    <w:rsid w:val="71F7372C"/>
    <w:rsid w:val="7201CF42"/>
    <w:rsid w:val="72082C26"/>
    <w:rsid w:val="722E387D"/>
    <w:rsid w:val="723489AC"/>
    <w:rsid w:val="7241186F"/>
    <w:rsid w:val="724121EB"/>
    <w:rsid w:val="7250D9F2"/>
    <w:rsid w:val="7252ACA2"/>
    <w:rsid w:val="7254D876"/>
    <w:rsid w:val="72610786"/>
    <w:rsid w:val="7268244B"/>
    <w:rsid w:val="7269F363"/>
    <w:rsid w:val="7299D20C"/>
    <w:rsid w:val="72A9BE31"/>
    <w:rsid w:val="72B584A1"/>
    <w:rsid w:val="72DE7444"/>
    <w:rsid w:val="72F64354"/>
    <w:rsid w:val="72F77D91"/>
    <w:rsid w:val="72FC4299"/>
    <w:rsid w:val="72FE84D5"/>
    <w:rsid w:val="733CDF22"/>
    <w:rsid w:val="734A306A"/>
    <w:rsid w:val="735E363A"/>
    <w:rsid w:val="73787DAA"/>
    <w:rsid w:val="738448F5"/>
    <w:rsid w:val="738B0CD2"/>
    <w:rsid w:val="738B334F"/>
    <w:rsid w:val="73C079A1"/>
    <w:rsid w:val="73CA9F7E"/>
    <w:rsid w:val="73CE2E1B"/>
    <w:rsid w:val="73CF0A04"/>
    <w:rsid w:val="73D805CB"/>
    <w:rsid w:val="73D83458"/>
    <w:rsid w:val="7477B728"/>
    <w:rsid w:val="74A437CA"/>
    <w:rsid w:val="74B41C91"/>
    <w:rsid w:val="74B77C63"/>
    <w:rsid w:val="74B84FDB"/>
    <w:rsid w:val="74BB7453"/>
    <w:rsid w:val="74C85CFA"/>
    <w:rsid w:val="74E00AAC"/>
    <w:rsid w:val="75250347"/>
    <w:rsid w:val="752D7EBB"/>
    <w:rsid w:val="752EDAE0"/>
    <w:rsid w:val="7534651D"/>
    <w:rsid w:val="753A231C"/>
    <w:rsid w:val="75580EBF"/>
    <w:rsid w:val="757A62D5"/>
    <w:rsid w:val="759447F4"/>
    <w:rsid w:val="75A7DDFF"/>
    <w:rsid w:val="75BCC953"/>
    <w:rsid w:val="75C4B8B2"/>
    <w:rsid w:val="75DD8EC9"/>
    <w:rsid w:val="75FC1FA3"/>
    <w:rsid w:val="76235EBD"/>
    <w:rsid w:val="764F4F7E"/>
    <w:rsid w:val="7658AEBC"/>
    <w:rsid w:val="765CD9F8"/>
    <w:rsid w:val="7663293B"/>
    <w:rsid w:val="7674AF77"/>
    <w:rsid w:val="76781365"/>
    <w:rsid w:val="76AB8487"/>
    <w:rsid w:val="76BC2C1D"/>
    <w:rsid w:val="76D54733"/>
    <w:rsid w:val="76D87CAD"/>
    <w:rsid w:val="77026AD1"/>
    <w:rsid w:val="772444B1"/>
    <w:rsid w:val="77369988"/>
    <w:rsid w:val="77397946"/>
    <w:rsid w:val="77616414"/>
    <w:rsid w:val="776D4BD5"/>
    <w:rsid w:val="777DF6D3"/>
    <w:rsid w:val="778026FD"/>
    <w:rsid w:val="77A336BB"/>
    <w:rsid w:val="77BA1DDA"/>
    <w:rsid w:val="77D51F4F"/>
    <w:rsid w:val="77E6A2AF"/>
    <w:rsid w:val="783688DD"/>
    <w:rsid w:val="783B0B6D"/>
    <w:rsid w:val="7852BCCF"/>
    <w:rsid w:val="7853BA8F"/>
    <w:rsid w:val="7855267E"/>
    <w:rsid w:val="78778340"/>
    <w:rsid w:val="78BF82E1"/>
    <w:rsid w:val="78C1C4F9"/>
    <w:rsid w:val="78D7A77F"/>
    <w:rsid w:val="78DC3B39"/>
    <w:rsid w:val="79033B97"/>
    <w:rsid w:val="794C1010"/>
    <w:rsid w:val="7963A179"/>
    <w:rsid w:val="7979DE5F"/>
    <w:rsid w:val="79A68CE2"/>
    <w:rsid w:val="79B89DB6"/>
    <w:rsid w:val="79D03447"/>
    <w:rsid w:val="7A1201EC"/>
    <w:rsid w:val="7A1F670C"/>
    <w:rsid w:val="7A346854"/>
    <w:rsid w:val="7A476DA2"/>
    <w:rsid w:val="7A741CFD"/>
    <w:rsid w:val="7A7B472D"/>
    <w:rsid w:val="7A957B85"/>
    <w:rsid w:val="7A96B10B"/>
    <w:rsid w:val="7AA53C99"/>
    <w:rsid w:val="7AD0E60D"/>
    <w:rsid w:val="7AE3CC0C"/>
    <w:rsid w:val="7AFB0872"/>
    <w:rsid w:val="7B092379"/>
    <w:rsid w:val="7B0AF10E"/>
    <w:rsid w:val="7B205479"/>
    <w:rsid w:val="7B321888"/>
    <w:rsid w:val="7B3E0944"/>
    <w:rsid w:val="7B504203"/>
    <w:rsid w:val="7B6BC796"/>
    <w:rsid w:val="7B7B7666"/>
    <w:rsid w:val="7B8B604D"/>
    <w:rsid w:val="7B929360"/>
    <w:rsid w:val="7B966FA0"/>
    <w:rsid w:val="7BC70E98"/>
    <w:rsid w:val="7BD34E3C"/>
    <w:rsid w:val="7BD8BA3B"/>
    <w:rsid w:val="7BE039EE"/>
    <w:rsid w:val="7C025099"/>
    <w:rsid w:val="7C09B010"/>
    <w:rsid w:val="7C163D3A"/>
    <w:rsid w:val="7C4923A2"/>
    <w:rsid w:val="7C77C9F1"/>
    <w:rsid w:val="7C9AF3E2"/>
    <w:rsid w:val="7CA3FBDA"/>
    <w:rsid w:val="7CA74CE6"/>
    <w:rsid w:val="7CC3E57A"/>
    <w:rsid w:val="7CE11D0D"/>
    <w:rsid w:val="7DAB654E"/>
    <w:rsid w:val="7DFC6663"/>
    <w:rsid w:val="7E2E98E7"/>
    <w:rsid w:val="7E3F0CC8"/>
    <w:rsid w:val="7E3F8FA0"/>
    <w:rsid w:val="7E530803"/>
    <w:rsid w:val="7E5C0EF4"/>
    <w:rsid w:val="7E5C5A78"/>
    <w:rsid w:val="7E8C2B81"/>
    <w:rsid w:val="7E950AFD"/>
    <w:rsid w:val="7E9B6400"/>
    <w:rsid w:val="7EC75634"/>
    <w:rsid w:val="7EE2A137"/>
    <w:rsid w:val="7EE34003"/>
    <w:rsid w:val="7EE8BC59"/>
    <w:rsid w:val="7F02491F"/>
    <w:rsid w:val="7F0EEF8F"/>
    <w:rsid w:val="7F3F7E17"/>
    <w:rsid w:val="7F500961"/>
    <w:rsid w:val="7F679DB7"/>
    <w:rsid w:val="7F763A9B"/>
    <w:rsid w:val="7F7D20B3"/>
    <w:rsid w:val="7F87A98E"/>
    <w:rsid w:val="7FC418B3"/>
    <w:rsid w:val="7FD07FB3"/>
    <w:rsid w:val="8007C81D"/>
    <w:rsid w:val="80310701"/>
    <w:rsid w:val="8032696C"/>
    <w:rsid w:val="8041294F"/>
    <w:rsid w:val="80868456"/>
    <w:rsid w:val="8096ED9B"/>
    <w:rsid w:val="80BF8ED5"/>
    <w:rsid w:val="80CB516C"/>
    <w:rsid w:val="8117D176"/>
    <w:rsid w:val="8119B96D"/>
    <w:rsid w:val="814C34A9"/>
    <w:rsid w:val="815972E9"/>
    <w:rsid w:val="8178E26E"/>
    <w:rsid w:val="81B6C5AD"/>
    <w:rsid w:val="81D3A6E9"/>
    <w:rsid w:val="82369115"/>
    <w:rsid w:val="824A57E2"/>
    <w:rsid w:val="82651A02"/>
    <w:rsid w:val="8280DC66"/>
    <w:rsid w:val="8283D6D9"/>
    <w:rsid w:val="82BF870A"/>
    <w:rsid w:val="82C14D4F"/>
    <w:rsid w:val="8318ED28"/>
    <w:rsid w:val="832034EB"/>
    <w:rsid w:val="83334864"/>
    <w:rsid w:val="834F3146"/>
    <w:rsid w:val="835FB7B5"/>
    <w:rsid w:val="83E8F8E9"/>
    <w:rsid w:val="84023958"/>
    <w:rsid w:val="841675EE"/>
    <w:rsid w:val="8427C3D6"/>
    <w:rsid w:val="842A5F37"/>
    <w:rsid w:val="8467A7DF"/>
    <w:rsid w:val="8472C7AA"/>
    <w:rsid w:val="847572A6"/>
    <w:rsid w:val="847F3820"/>
    <w:rsid w:val="848D73C0"/>
    <w:rsid w:val="84B5740D"/>
    <w:rsid w:val="854DC839"/>
    <w:rsid w:val="85670D37"/>
    <w:rsid w:val="8571707D"/>
    <w:rsid w:val="858F1F94"/>
    <w:rsid w:val="85907329"/>
    <w:rsid w:val="85A4967C"/>
    <w:rsid w:val="85A8BE9B"/>
    <w:rsid w:val="85E324C7"/>
    <w:rsid w:val="85E61276"/>
    <w:rsid w:val="85EC6C92"/>
    <w:rsid w:val="8606C941"/>
    <w:rsid w:val="865988D2"/>
    <w:rsid w:val="868AA186"/>
    <w:rsid w:val="8690C90B"/>
    <w:rsid w:val="86ABF282"/>
    <w:rsid w:val="86B9C68B"/>
    <w:rsid w:val="8718ED9C"/>
    <w:rsid w:val="871F3990"/>
    <w:rsid w:val="8721FD3F"/>
    <w:rsid w:val="872D0789"/>
    <w:rsid w:val="8760AB4D"/>
    <w:rsid w:val="877C9BA1"/>
    <w:rsid w:val="87C2C740"/>
    <w:rsid w:val="87C642AC"/>
    <w:rsid w:val="87CB152E"/>
    <w:rsid w:val="87F93413"/>
    <w:rsid w:val="87FCD46C"/>
    <w:rsid w:val="88473F34"/>
    <w:rsid w:val="88495317"/>
    <w:rsid w:val="8873655F"/>
    <w:rsid w:val="888AF9DF"/>
    <w:rsid w:val="888ED833"/>
    <w:rsid w:val="88929860"/>
    <w:rsid w:val="88BC3562"/>
    <w:rsid w:val="88C79488"/>
    <w:rsid w:val="890FA322"/>
    <w:rsid w:val="8915EBE7"/>
    <w:rsid w:val="891C7869"/>
    <w:rsid w:val="896177EC"/>
    <w:rsid w:val="89C16BE5"/>
    <w:rsid w:val="89DE37CF"/>
    <w:rsid w:val="89F948E8"/>
    <w:rsid w:val="8A1730BC"/>
    <w:rsid w:val="8A3EAC43"/>
    <w:rsid w:val="8A68A834"/>
    <w:rsid w:val="8A6DB871"/>
    <w:rsid w:val="8A7A0E7B"/>
    <w:rsid w:val="8A818996"/>
    <w:rsid w:val="8A92005A"/>
    <w:rsid w:val="8AA2AB4E"/>
    <w:rsid w:val="8AC05DDF"/>
    <w:rsid w:val="8AC56BD9"/>
    <w:rsid w:val="8ADBD464"/>
    <w:rsid w:val="8AFDFD9C"/>
    <w:rsid w:val="8B1FAE15"/>
    <w:rsid w:val="8B3C26E9"/>
    <w:rsid w:val="8B3F5FF5"/>
    <w:rsid w:val="8B40848F"/>
    <w:rsid w:val="8B48DBF4"/>
    <w:rsid w:val="8B87C7C1"/>
    <w:rsid w:val="8BC31DC3"/>
    <w:rsid w:val="8BD2CE33"/>
    <w:rsid w:val="8C20E788"/>
    <w:rsid w:val="8C33FAAE"/>
    <w:rsid w:val="8C4AB527"/>
    <w:rsid w:val="8C8C43E2"/>
    <w:rsid w:val="8CB6E319"/>
    <w:rsid w:val="8CBF08B4"/>
    <w:rsid w:val="8CE43BDA"/>
    <w:rsid w:val="8D3101B1"/>
    <w:rsid w:val="8D3CA1FC"/>
    <w:rsid w:val="8D4A008F"/>
    <w:rsid w:val="8D9C987D"/>
    <w:rsid w:val="8DAB0BF2"/>
    <w:rsid w:val="8DB8381C"/>
    <w:rsid w:val="8DC054BC"/>
    <w:rsid w:val="8DC74C74"/>
    <w:rsid w:val="8DE94FDF"/>
    <w:rsid w:val="8E3D2AF7"/>
    <w:rsid w:val="8E78745C"/>
    <w:rsid w:val="8E794A9C"/>
    <w:rsid w:val="8E85A5A3"/>
    <w:rsid w:val="8EB8E21A"/>
    <w:rsid w:val="8EBA1D1C"/>
    <w:rsid w:val="8EC6DF48"/>
    <w:rsid w:val="8ED1E196"/>
    <w:rsid w:val="8F3A7907"/>
    <w:rsid w:val="8F6A8DDE"/>
    <w:rsid w:val="8F937C8E"/>
    <w:rsid w:val="8F977C4A"/>
    <w:rsid w:val="8FA9320B"/>
    <w:rsid w:val="8FEFF949"/>
    <w:rsid w:val="9000E64C"/>
    <w:rsid w:val="9008906D"/>
    <w:rsid w:val="90130467"/>
    <w:rsid w:val="903FE03B"/>
    <w:rsid w:val="9040FBE4"/>
    <w:rsid w:val="90460F34"/>
    <w:rsid w:val="904C8260"/>
    <w:rsid w:val="908E7392"/>
    <w:rsid w:val="9091E6A8"/>
    <w:rsid w:val="90A5A88B"/>
    <w:rsid w:val="90D5C69A"/>
    <w:rsid w:val="90F3C4FF"/>
    <w:rsid w:val="91056CAC"/>
    <w:rsid w:val="9117989A"/>
    <w:rsid w:val="913E37C6"/>
    <w:rsid w:val="916D2F6F"/>
    <w:rsid w:val="917F270E"/>
    <w:rsid w:val="917F5258"/>
    <w:rsid w:val="91997196"/>
    <w:rsid w:val="91BC96B8"/>
    <w:rsid w:val="91BE9486"/>
    <w:rsid w:val="91C686B2"/>
    <w:rsid w:val="91CB8DCC"/>
    <w:rsid w:val="91EAAA65"/>
    <w:rsid w:val="920A3323"/>
    <w:rsid w:val="921CE359"/>
    <w:rsid w:val="922EA65E"/>
    <w:rsid w:val="924C0F4F"/>
    <w:rsid w:val="92A36753"/>
    <w:rsid w:val="92C49D74"/>
    <w:rsid w:val="92F0652D"/>
    <w:rsid w:val="930BEB6E"/>
    <w:rsid w:val="930E788C"/>
    <w:rsid w:val="938229A6"/>
    <w:rsid w:val="9392EDD0"/>
    <w:rsid w:val="93A0CF7C"/>
    <w:rsid w:val="93B3D96C"/>
    <w:rsid w:val="93B5B202"/>
    <w:rsid w:val="9419315D"/>
    <w:rsid w:val="9449B49D"/>
    <w:rsid w:val="945FC448"/>
    <w:rsid w:val="946183CC"/>
    <w:rsid w:val="94665592"/>
    <w:rsid w:val="9487094F"/>
    <w:rsid w:val="948D59D8"/>
    <w:rsid w:val="94FB0B99"/>
    <w:rsid w:val="95076EAD"/>
    <w:rsid w:val="950D52DE"/>
    <w:rsid w:val="9531E2BD"/>
    <w:rsid w:val="95420C65"/>
    <w:rsid w:val="9555DEA8"/>
    <w:rsid w:val="9578A5A5"/>
    <w:rsid w:val="957A3A36"/>
    <w:rsid w:val="95868596"/>
    <w:rsid w:val="958E805F"/>
    <w:rsid w:val="9598EE2C"/>
    <w:rsid w:val="95B6A2DB"/>
    <w:rsid w:val="96444377"/>
    <w:rsid w:val="96EAD47F"/>
    <w:rsid w:val="971CFC4E"/>
    <w:rsid w:val="972D464B"/>
    <w:rsid w:val="9737D532"/>
    <w:rsid w:val="975F8710"/>
    <w:rsid w:val="97B5B3AE"/>
    <w:rsid w:val="97F5B2FF"/>
    <w:rsid w:val="97FA3F68"/>
    <w:rsid w:val="980382F7"/>
    <w:rsid w:val="9804BA2A"/>
    <w:rsid w:val="98743CD1"/>
    <w:rsid w:val="98B81D38"/>
    <w:rsid w:val="98BC4097"/>
    <w:rsid w:val="98CB714E"/>
    <w:rsid w:val="98FD1FD4"/>
    <w:rsid w:val="9904730B"/>
    <w:rsid w:val="99419579"/>
    <w:rsid w:val="996118B7"/>
    <w:rsid w:val="99612E12"/>
    <w:rsid w:val="99682145"/>
    <w:rsid w:val="99859BE7"/>
    <w:rsid w:val="9A10A572"/>
    <w:rsid w:val="9A170F88"/>
    <w:rsid w:val="9A1E2EFF"/>
    <w:rsid w:val="9A4EA9AE"/>
    <w:rsid w:val="9A51331A"/>
    <w:rsid w:val="9A793236"/>
    <w:rsid w:val="9AAA59A8"/>
    <w:rsid w:val="9AABED09"/>
    <w:rsid w:val="9AAD82AB"/>
    <w:rsid w:val="9AB03418"/>
    <w:rsid w:val="9B380155"/>
    <w:rsid w:val="9B3989E9"/>
    <w:rsid w:val="9B3B1B66"/>
    <w:rsid w:val="9B4CD28B"/>
    <w:rsid w:val="9B68DF93"/>
    <w:rsid w:val="9B736869"/>
    <w:rsid w:val="9B74729F"/>
    <w:rsid w:val="9BD73405"/>
    <w:rsid w:val="9CB50883"/>
    <w:rsid w:val="9CB5DB96"/>
    <w:rsid w:val="9CD11B09"/>
    <w:rsid w:val="9D1A816A"/>
    <w:rsid w:val="9D388CE9"/>
    <w:rsid w:val="9D492D68"/>
    <w:rsid w:val="9D65BED6"/>
    <w:rsid w:val="9D65CD91"/>
    <w:rsid w:val="9D7BEA0D"/>
    <w:rsid w:val="9D7D0373"/>
    <w:rsid w:val="9D8FE3F2"/>
    <w:rsid w:val="9DA0CA5D"/>
    <w:rsid w:val="9DC68F18"/>
    <w:rsid w:val="9DF77578"/>
    <w:rsid w:val="9DF90863"/>
    <w:rsid w:val="9DFE711B"/>
    <w:rsid w:val="9E108EDA"/>
    <w:rsid w:val="9E434B94"/>
    <w:rsid w:val="9E67C862"/>
    <w:rsid w:val="9E85F2E4"/>
    <w:rsid w:val="9E8968F1"/>
    <w:rsid w:val="9E95AB06"/>
    <w:rsid w:val="9E9A6461"/>
    <w:rsid w:val="9EA2C77C"/>
    <w:rsid w:val="9EB00DDE"/>
    <w:rsid w:val="9EB57941"/>
    <w:rsid w:val="9EB68C61"/>
    <w:rsid w:val="9EC27850"/>
    <w:rsid w:val="9ED6FC1C"/>
    <w:rsid w:val="9EDD6FAA"/>
    <w:rsid w:val="9EE8D3E4"/>
    <w:rsid w:val="9F06CBA2"/>
    <w:rsid w:val="9F3BC988"/>
    <w:rsid w:val="9F3D3A3F"/>
    <w:rsid w:val="9FBB880F"/>
    <w:rsid w:val="9FCD8591"/>
    <w:rsid w:val="9FD3A281"/>
    <w:rsid w:val="9FE75DDC"/>
    <w:rsid w:val="9FEC7932"/>
    <w:rsid w:val="A0379C24"/>
    <w:rsid w:val="A075E9D9"/>
    <w:rsid w:val="A0DFD14E"/>
    <w:rsid w:val="A0FFC41B"/>
    <w:rsid w:val="A1343BD7"/>
    <w:rsid w:val="A139CD42"/>
    <w:rsid w:val="A13E1157"/>
    <w:rsid w:val="A15C40E7"/>
    <w:rsid w:val="A16FF104"/>
    <w:rsid w:val="A19007EA"/>
    <w:rsid w:val="A19A5BC8"/>
    <w:rsid w:val="A1EC9267"/>
    <w:rsid w:val="A2096E91"/>
    <w:rsid w:val="A20F9F78"/>
    <w:rsid w:val="A21B1C65"/>
    <w:rsid w:val="A222B4FC"/>
    <w:rsid w:val="A2534525"/>
    <w:rsid w:val="A2765F06"/>
    <w:rsid w:val="A28297BC"/>
    <w:rsid w:val="A2AECFB6"/>
    <w:rsid w:val="A2AF5962"/>
    <w:rsid w:val="A2DA11C8"/>
    <w:rsid w:val="A2F37D38"/>
    <w:rsid w:val="A32EF5B7"/>
    <w:rsid w:val="A344DE83"/>
    <w:rsid w:val="A364975B"/>
    <w:rsid w:val="A3B1136F"/>
    <w:rsid w:val="A3CE9C64"/>
    <w:rsid w:val="A3CEC9CE"/>
    <w:rsid w:val="A3FB0D03"/>
    <w:rsid w:val="A41732C2"/>
    <w:rsid w:val="A41D6487"/>
    <w:rsid w:val="A4228A4D"/>
    <w:rsid w:val="A43F06A7"/>
    <w:rsid w:val="A4669392"/>
    <w:rsid w:val="A4901010"/>
    <w:rsid w:val="A4A24CC6"/>
    <w:rsid w:val="A4AA1422"/>
    <w:rsid w:val="A4B4026C"/>
    <w:rsid w:val="A4CEF8FF"/>
    <w:rsid w:val="A4FDC5D7"/>
    <w:rsid w:val="A505E9D8"/>
    <w:rsid w:val="A508A1B6"/>
    <w:rsid w:val="A514BE10"/>
    <w:rsid w:val="A5265AAE"/>
    <w:rsid w:val="A540151D"/>
    <w:rsid w:val="A578AFEF"/>
    <w:rsid w:val="A5AE936E"/>
    <w:rsid w:val="A5F1A5DE"/>
    <w:rsid w:val="A6233081"/>
    <w:rsid w:val="A63D62CD"/>
    <w:rsid w:val="A6422E64"/>
    <w:rsid w:val="A69E77D9"/>
    <w:rsid w:val="A6BF9403"/>
    <w:rsid w:val="A6C4E9B8"/>
    <w:rsid w:val="A719A28B"/>
    <w:rsid w:val="A71F96A7"/>
    <w:rsid w:val="A722D1DB"/>
    <w:rsid w:val="A73DFEC7"/>
    <w:rsid w:val="A75CE016"/>
    <w:rsid w:val="A762FF32"/>
    <w:rsid w:val="A777D18A"/>
    <w:rsid w:val="A78B5247"/>
    <w:rsid w:val="A792FCAA"/>
    <w:rsid w:val="A79D8102"/>
    <w:rsid w:val="A7B680B0"/>
    <w:rsid w:val="A7CCFBE2"/>
    <w:rsid w:val="A7D888DC"/>
    <w:rsid w:val="A7E09A32"/>
    <w:rsid w:val="A7E68963"/>
    <w:rsid w:val="A7E7A66A"/>
    <w:rsid w:val="A7EB9FB3"/>
    <w:rsid w:val="A801008F"/>
    <w:rsid w:val="A81A76E0"/>
    <w:rsid w:val="A82BC96C"/>
    <w:rsid w:val="A840984B"/>
    <w:rsid w:val="A8585BF6"/>
    <w:rsid w:val="A8B1C902"/>
    <w:rsid w:val="A8BE4B54"/>
    <w:rsid w:val="A8C23DEF"/>
    <w:rsid w:val="A947BDF1"/>
    <w:rsid w:val="A94B8BBD"/>
    <w:rsid w:val="A980DB95"/>
    <w:rsid w:val="A9C95156"/>
    <w:rsid w:val="A9E3C2E2"/>
    <w:rsid w:val="A9E5886B"/>
    <w:rsid w:val="A9F429C2"/>
    <w:rsid w:val="AA254D83"/>
    <w:rsid w:val="AA2EF2D9"/>
    <w:rsid w:val="AA5318EA"/>
    <w:rsid w:val="AA587D8A"/>
    <w:rsid w:val="AA657F74"/>
    <w:rsid w:val="AA868CDA"/>
    <w:rsid w:val="AA8833E5"/>
    <w:rsid w:val="AAADE82A"/>
    <w:rsid w:val="AAB8EBC7"/>
    <w:rsid w:val="AB1BA53F"/>
    <w:rsid w:val="AB405B7F"/>
    <w:rsid w:val="AB7467ED"/>
    <w:rsid w:val="ABA70171"/>
    <w:rsid w:val="ABBBEF68"/>
    <w:rsid w:val="ABBC412D"/>
    <w:rsid w:val="ABBC9086"/>
    <w:rsid w:val="ABC9797D"/>
    <w:rsid w:val="ABD28EFC"/>
    <w:rsid w:val="ABE7D730"/>
    <w:rsid w:val="ABEAEE2C"/>
    <w:rsid w:val="ABFB87BD"/>
    <w:rsid w:val="AC0F59E6"/>
    <w:rsid w:val="AC1D3625"/>
    <w:rsid w:val="AC31A0F0"/>
    <w:rsid w:val="AC60FE54"/>
    <w:rsid w:val="AC85BCF2"/>
    <w:rsid w:val="ACD958DC"/>
    <w:rsid w:val="ACD98299"/>
    <w:rsid w:val="AD058F5C"/>
    <w:rsid w:val="AD0F7653"/>
    <w:rsid w:val="AD0FA6AD"/>
    <w:rsid w:val="AD1D5825"/>
    <w:rsid w:val="AD22877F"/>
    <w:rsid w:val="AD3CFE49"/>
    <w:rsid w:val="AD5AF21E"/>
    <w:rsid w:val="AD7165B1"/>
    <w:rsid w:val="AD9F32FC"/>
    <w:rsid w:val="ADA4966B"/>
    <w:rsid w:val="AE145097"/>
    <w:rsid w:val="AE1E8306"/>
    <w:rsid w:val="AE4166FE"/>
    <w:rsid w:val="AE431750"/>
    <w:rsid w:val="AE47B173"/>
    <w:rsid w:val="AE53B562"/>
    <w:rsid w:val="AE580530"/>
    <w:rsid w:val="AE7EF476"/>
    <w:rsid w:val="AEA0C230"/>
    <w:rsid w:val="AF08D1E0"/>
    <w:rsid w:val="AF1B517C"/>
    <w:rsid w:val="AF2A5726"/>
    <w:rsid w:val="AF658EFE"/>
    <w:rsid w:val="AF97F84A"/>
    <w:rsid w:val="AF98B841"/>
    <w:rsid w:val="AFA98B54"/>
    <w:rsid w:val="AFD04040"/>
    <w:rsid w:val="AFE702E0"/>
    <w:rsid w:val="B045073D"/>
    <w:rsid w:val="B087795D"/>
    <w:rsid w:val="B0B4DEAF"/>
    <w:rsid w:val="B0E7E5CB"/>
    <w:rsid w:val="B0F38C6C"/>
    <w:rsid w:val="B0F4B640"/>
    <w:rsid w:val="B10CFBEE"/>
    <w:rsid w:val="B12B4AEF"/>
    <w:rsid w:val="B12D19C0"/>
    <w:rsid w:val="B1445AA5"/>
    <w:rsid w:val="B15BA2C2"/>
    <w:rsid w:val="B15D6E94"/>
    <w:rsid w:val="B1A70E77"/>
    <w:rsid w:val="B1B4F8CB"/>
    <w:rsid w:val="B1BDEEBC"/>
    <w:rsid w:val="B1C8D1F5"/>
    <w:rsid w:val="B1F8898A"/>
    <w:rsid w:val="B1FF331F"/>
    <w:rsid w:val="B20FEFC4"/>
    <w:rsid w:val="B22AD1FF"/>
    <w:rsid w:val="B23366C5"/>
    <w:rsid w:val="B23900FE"/>
    <w:rsid w:val="B256247A"/>
    <w:rsid w:val="B26DDD49"/>
    <w:rsid w:val="B27FBDEF"/>
    <w:rsid w:val="B2A835CE"/>
    <w:rsid w:val="B2CECB77"/>
    <w:rsid w:val="B2E42BD0"/>
    <w:rsid w:val="B2F79FFD"/>
    <w:rsid w:val="B31F26BC"/>
    <w:rsid w:val="B321ADC5"/>
    <w:rsid w:val="B327C727"/>
    <w:rsid w:val="B3287569"/>
    <w:rsid w:val="B3404974"/>
    <w:rsid w:val="B3460CFD"/>
    <w:rsid w:val="B369F629"/>
    <w:rsid w:val="B3877DF2"/>
    <w:rsid w:val="B39F0D9C"/>
    <w:rsid w:val="B3B4E77E"/>
    <w:rsid w:val="B3F6D0F1"/>
    <w:rsid w:val="B42225A2"/>
    <w:rsid w:val="B4244E3A"/>
    <w:rsid w:val="B44553AD"/>
    <w:rsid w:val="B485B955"/>
    <w:rsid w:val="B4A9FF9F"/>
    <w:rsid w:val="B4B02D95"/>
    <w:rsid w:val="B4D8F1D3"/>
    <w:rsid w:val="B4DF8FD3"/>
    <w:rsid w:val="B4E6F508"/>
    <w:rsid w:val="B51D2C1D"/>
    <w:rsid w:val="B548E4B9"/>
    <w:rsid w:val="B549FAE8"/>
    <w:rsid w:val="B5501FCC"/>
    <w:rsid w:val="B573173D"/>
    <w:rsid w:val="B5783D89"/>
    <w:rsid w:val="B57B6812"/>
    <w:rsid w:val="B5B8EA72"/>
    <w:rsid w:val="B61EE512"/>
    <w:rsid w:val="B6357F19"/>
    <w:rsid w:val="B63811D4"/>
    <w:rsid w:val="B652340E"/>
    <w:rsid w:val="B68807B1"/>
    <w:rsid w:val="B68A4BC3"/>
    <w:rsid w:val="B6901A1D"/>
    <w:rsid w:val="B6A0E584"/>
    <w:rsid w:val="B6B01978"/>
    <w:rsid w:val="B6B85FC8"/>
    <w:rsid w:val="B6D3E8F9"/>
    <w:rsid w:val="B6E053D4"/>
    <w:rsid w:val="B7018BDD"/>
    <w:rsid w:val="B725890F"/>
    <w:rsid w:val="B72CF371"/>
    <w:rsid w:val="B73B2717"/>
    <w:rsid w:val="B75E3AE2"/>
    <w:rsid w:val="B7955CEE"/>
    <w:rsid w:val="B7BF7F07"/>
    <w:rsid w:val="B7DEB76A"/>
    <w:rsid w:val="B7E6C3C2"/>
    <w:rsid w:val="B7F91BEE"/>
    <w:rsid w:val="B801AD40"/>
    <w:rsid w:val="B801EABB"/>
    <w:rsid w:val="B8025694"/>
    <w:rsid w:val="B84DB52C"/>
    <w:rsid w:val="B85550EB"/>
    <w:rsid w:val="B8568CEF"/>
    <w:rsid w:val="B8805DD1"/>
    <w:rsid w:val="B892C89A"/>
    <w:rsid w:val="B8BC6774"/>
    <w:rsid w:val="B8C8490F"/>
    <w:rsid w:val="B9136781"/>
    <w:rsid w:val="B948A932"/>
    <w:rsid w:val="B9AAF788"/>
    <w:rsid w:val="B9AB0127"/>
    <w:rsid w:val="B9D44630"/>
    <w:rsid w:val="B9D633A2"/>
    <w:rsid w:val="B9D7328B"/>
    <w:rsid w:val="BA0E60E8"/>
    <w:rsid w:val="BA639EC8"/>
    <w:rsid w:val="BA6BB857"/>
    <w:rsid w:val="BA80F801"/>
    <w:rsid w:val="BA80FEA8"/>
    <w:rsid w:val="BA9320B4"/>
    <w:rsid w:val="BAD035C0"/>
    <w:rsid w:val="BAE661BD"/>
    <w:rsid w:val="BAEF3636"/>
    <w:rsid w:val="BB24F9EC"/>
    <w:rsid w:val="BB3AE042"/>
    <w:rsid w:val="BB55A07E"/>
    <w:rsid w:val="BB82DD00"/>
    <w:rsid w:val="BB89E228"/>
    <w:rsid w:val="BBFBFA93"/>
    <w:rsid w:val="BC1D7337"/>
    <w:rsid w:val="BC49E21F"/>
    <w:rsid w:val="BC57F8CB"/>
    <w:rsid w:val="BC72DD5E"/>
    <w:rsid w:val="BC883081"/>
    <w:rsid w:val="BC8E396D"/>
    <w:rsid w:val="BC9207C2"/>
    <w:rsid w:val="BCA8320A"/>
    <w:rsid w:val="BCB057C2"/>
    <w:rsid w:val="BCC84342"/>
    <w:rsid w:val="BCCE4F72"/>
    <w:rsid w:val="BCD23DC5"/>
    <w:rsid w:val="BD11EFE5"/>
    <w:rsid w:val="BD816060"/>
    <w:rsid w:val="BDD773F5"/>
    <w:rsid w:val="BDF90DDC"/>
    <w:rsid w:val="BE094C86"/>
    <w:rsid w:val="BE1808F5"/>
    <w:rsid w:val="BE221DA9"/>
    <w:rsid w:val="BE83A616"/>
    <w:rsid w:val="BE8787C8"/>
    <w:rsid w:val="BE9FF2C7"/>
    <w:rsid w:val="BEBF615B"/>
    <w:rsid w:val="BECEBFFA"/>
    <w:rsid w:val="BEDB92BB"/>
    <w:rsid w:val="BEFDE5A5"/>
    <w:rsid w:val="BF2CE966"/>
    <w:rsid w:val="BF3C8E0F"/>
    <w:rsid w:val="BF4A9AA7"/>
    <w:rsid w:val="BF4F6083"/>
    <w:rsid w:val="BF55143D"/>
    <w:rsid w:val="BF5B98FB"/>
    <w:rsid w:val="BF5D6BCB"/>
    <w:rsid w:val="BF6B3BD9"/>
    <w:rsid w:val="BFB9748A"/>
    <w:rsid w:val="BFBCB6B6"/>
    <w:rsid w:val="BFE6D47D"/>
    <w:rsid w:val="BFF31F4A"/>
    <w:rsid w:val="BFFBBFB5"/>
    <w:rsid w:val="C055C9EF"/>
    <w:rsid w:val="C07A100C"/>
    <w:rsid w:val="C07D2B2F"/>
    <w:rsid w:val="C08508CD"/>
    <w:rsid w:val="C0B6E819"/>
    <w:rsid w:val="C0C630D2"/>
    <w:rsid w:val="C0D714F6"/>
    <w:rsid w:val="C10DC993"/>
    <w:rsid w:val="C145E74F"/>
    <w:rsid w:val="C158A27E"/>
    <w:rsid w:val="C1B143A6"/>
    <w:rsid w:val="C1CCC023"/>
    <w:rsid w:val="C1E74C33"/>
    <w:rsid w:val="C2309DAF"/>
    <w:rsid w:val="C240BAF7"/>
    <w:rsid w:val="C2A378B8"/>
    <w:rsid w:val="C2B79410"/>
    <w:rsid w:val="C2E1C2C9"/>
    <w:rsid w:val="C2EAC585"/>
    <w:rsid w:val="C30488AA"/>
    <w:rsid w:val="C32C3B6F"/>
    <w:rsid w:val="C32E1C2A"/>
    <w:rsid w:val="C341E225"/>
    <w:rsid w:val="C346DE06"/>
    <w:rsid w:val="C3505754"/>
    <w:rsid w:val="C35DBD73"/>
    <w:rsid w:val="C3ADB776"/>
    <w:rsid w:val="C3B9FF20"/>
    <w:rsid w:val="C3CCBE9E"/>
    <w:rsid w:val="C3D06384"/>
    <w:rsid w:val="C3FC043D"/>
    <w:rsid w:val="C40A9168"/>
    <w:rsid w:val="C49C1605"/>
    <w:rsid w:val="C49DC9CF"/>
    <w:rsid w:val="C4AC4DC3"/>
    <w:rsid w:val="C4B2FA5B"/>
    <w:rsid w:val="C4CD37D6"/>
    <w:rsid w:val="C4E1394D"/>
    <w:rsid w:val="C4E49634"/>
    <w:rsid w:val="C5007989"/>
    <w:rsid w:val="C51380FA"/>
    <w:rsid w:val="C5216E25"/>
    <w:rsid w:val="C527CFC1"/>
    <w:rsid w:val="C5318756"/>
    <w:rsid w:val="C5351DB5"/>
    <w:rsid w:val="C539EA70"/>
    <w:rsid w:val="C54290E2"/>
    <w:rsid w:val="C5525DE0"/>
    <w:rsid w:val="C5644235"/>
    <w:rsid w:val="C580BD9E"/>
    <w:rsid w:val="C5C49BCE"/>
    <w:rsid w:val="C5D59CE0"/>
    <w:rsid w:val="C5EA9CDC"/>
    <w:rsid w:val="C5EDFFA9"/>
    <w:rsid w:val="C60790DA"/>
    <w:rsid w:val="C61E0F8C"/>
    <w:rsid w:val="C63AE30F"/>
    <w:rsid w:val="C63DC3C9"/>
    <w:rsid w:val="C665CCD7"/>
    <w:rsid w:val="C6928225"/>
    <w:rsid w:val="C6E0E115"/>
    <w:rsid w:val="C6E3990C"/>
    <w:rsid w:val="C702565C"/>
    <w:rsid w:val="C70F596A"/>
    <w:rsid w:val="C7565C50"/>
    <w:rsid w:val="C77444AE"/>
    <w:rsid w:val="C7803593"/>
    <w:rsid w:val="C7D1AEE9"/>
    <w:rsid w:val="C7EDAF63"/>
    <w:rsid w:val="C881FE8E"/>
    <w:rsid w:val="C88F3F06"/>
    <w:rsid w:val="C893C087"/>
    <w:rsid w:val="C8B9BAEC"/>
    <w:rsid w:val="C8D09BED"/>
    <w:rsid w:val="C8DA9E8B"/>
    <w:rsid w:val="C8F45BBF"/>
    <w:rsid w:val="C91E9D68"/>
    <w:rsid w:val="C94C2FB2"/>
    <w:rsid w:val="C9760997"/>
    <w:rsid w:val="C9AD5C60"/>
    <w:rsid w:val="C9B2B09C"/>
    <w:rsid w:val="C9C42183"/>
    <w:rsid w:val="C9CCCF4F"/>
    <w:rsid w:val="C9FEFC2C"/>
    <w:rsid w:val="CA1057AA"/>
    <w:rsid w:val="CA1C7D70"/>
    <w:rsid w:val="CA219F5B"/>
    <w:rsid w:val="CA2CA779"/>
    <w:rsid w:val="CA33A694"/>
    <w:rsid w:val="CA474BF4"/>
    <w:rsid w:val="CA59309C"/>
    <w:rsid w:val="CA68AE19"/>
    <w:rsid w:val="CAC4C89D"/>
    <w:rsid w:val="CACC953B"/>
    <w:rsid w:val="CACDE8AF"/>
    <w:rsid w:val="CADC138B"/>
    <w:rsid w:val="CB021B56"/>
    <w:rsid w:val="CB034684"/>
    <w:rsid w:val="CB3C1D79"/>
    <w:rsid w:val="CB3D4F3B"/>
    <w:rsid w:val="CB3EB6E9"/>
    <w:rsid w:val="CB477550"/>
    <w:rsid w:val="CB765DD8"/>
    <w:rsid w:val="CB7AFCA6"/>
    <w:rsid w:val="CB7D8872"/>
    <w:rsid w:val="CBF7191A"/>
    <w:rsid w:val="CC027F07"/>
    <w:rsid w:val="CC0C21D7"/>
    <w:rsid w:val="CC0FD263"/>
    <w:rsid w:val="CC230AED"/>
    <w:rsid w:val="CC37B6CC"/>
    <w:rsid w:val="CC4B4C71"/>
    <w:rsid w:val="CC68CCE9"/>
    <w:rsid w:val="CCA35913"/>
    <w:rsid w:val="CCB252B2"/>
    <w:rsid w:val="CCB882D6"/>
    <w:rsid w:val="CCD37DD7"/>
    <w:rsid w:val="CCE5A91F"/>
    <w:rsid w:val="CD3BC842"/>
    <w:rsid w:val="CD8860C6"/>
    <w:rsid w:val="CD932CE4"/>
    <w:rsid w:val="CDA0C606"/>
    <w:rsid w:val="CDC41400"/>
    <w:rsid w:val="CDD756D9"/>
    <w:rsid w:val="CDE8B273"/>
    <w:rsid w:val="CE128DC2"/>
    <w:rsid w:val="CE190960"/>
    <w:rsid w:val="CE4917D4"/>
    <w:rsid w:val="CE4C4E7E"/>
    <w:rsid w:val="CE93FE76"/>
    <w:rsid w:val="CEB23ADC"/>
    <w:rsid w:val="CEB543C5"/>
    <w:rsid w:val="CEC6C422"/>
    <w:rsid w:val="CED75186"/>
    <w:rsid w:val="CF0ECA36"/>
    <w:rsid w:val="CF1FC1F9"/>
    <w:rsid w:val="CF2ADDA2"/>
    <w:rsid w:val="CF3BC9D7"/>
    <w:rsid w:val="CF441478"/>
    <w:rsid w:val="CF4A7B3E"/>
    <w:rsid w:val="CF7E4E55"/>
    <w:rsid w:val="CF9C1D27"/>
    <w:rsid w:val="CFBD13F7"/>
    <w:rsid w:val="CFD6032D"/>
    <w:rsid w:val="CFFD7CAD"/>
    <w:rsid w:val="D0144880"/>
    <w:rsid w:val="D02F8925"/>
    <w:rsid w:val="D0350402"/>
    <w:rsid w:val="D053E5F3"/>
    <w:rsid w:val="D073B156"/>
    <w:rsid w:val="D0B6ADB1"/>
    <w:rsid w:val="D0D72981"/>
    <w:rsid w:val="D0DB6CCC"/>
    <w:rsid w:val="D0F18BE5"/>
    <w:rsid w:val="D109B328"/>
    <w:rsid w:val="D1153D14"/>
    <w:rsid w:val="D12CA132"/>
    <w:rsid w:val="D1748638"/>
    <w:rsid w:val="D1825E7B"/>
    <w:rsid w:val="D1C4633C"/>
    <w:rsid w:val="D1D24BB9"/>
    <w:rsid w:val="D252B497"/>
    <w:rsid w:val="D25AF6CB"/>
    <w:rsid w:val="D2825851"/>
    <w:rsid w:val="D29F8BE5"/>
    <w:rsid w:val="D2A85F3F"/>
    <w:rsid w:val="D2C3C884"/>
    <w:rsid w:val="D2D2B77D"/>
    <w:rsid w:val="D2EAACAE"/>
    <w:rsid w:val="D3100D4E"/>
    <w:rsid w:val="D3134DF3"/>
    <w:rsid w:val="D315E79C"/>
    <w:rsid w:val="D33907FF"/>
    <w:rsid w:val="D36B4E47"/>
    <w:rsid w:val="D3735F3D"/>
    <w:rsid w:val="D38F8DBF"/>
    <w:rsid w:val="D3ED4050"/>
    <w:rsid w:val="D40C2638"/>
    <w:rsid w:val="D4140718"/>
    <w:rsid w:val="D4188B55"/>
    <w:rsid w:val="D436347A"/>
    <w:rsid w:val="D45BC321"/>
    <w:rsid w:val="D4619B96"/>
    <w:rsid w:val="D472A0A3"/>
    <w:rsid w:val="D4824975"/>
    <w:rsid w:val="D494CF12"/>
    <w:rsid w:val="D4A9571A"/>
    <w:rsid w:val="D4AF406E"/>
    <w:rsid w:val="D4B14FF4"/>
    <w:rsid w:val="D4B154E7"/>
    <w:rsid w:val="D4C60938"/>
    <w:rsid w:val="D50C0FF0"/>
    <w:rsid w:val="D52A6BC8"/>
    <w:rsid w:val="D5798B55"/>
    <w:rsid w:val="D579ACD6"/>
    <w:rsid w:val="D59522E8"/>
    <w:rsid w:val="D596A850"/>
    <w:rsid w:val="D5BA1276"/>
    <w:rsid w:val="D5DD4E4E"/>
    <w:rsid w:val="D6459010"/>
    <w:rsid w:val="D6485E41"/>
    <w:rsid w:val="D6688446"/>
    <w:rsid w:val="D66FEF31"/>
    <w:rsid w:val="D6EF23CF"/>
    <w:rsid w:val="D702321F"/>
    <w:rsid w:val="D70A12B1"/>
    <w:rsid w:val="D7272BB2"/>
    <w:rsid w:val="D75C2E92"/>
    <w:rsid w:val="D79A8FE0"/>
    <w:rsid w:val="D7CA5E00"/>
    <w:rsid w:val="D7CFB14B"/>
    <w:rsid w:val="D7D08F21"/>
    <w:rsid w:val="D7D9FFC7"/>
    <w:rsid w:val="D7DF0635"/>
    <w:rsid w:val="D7E46820"/>
    <w:rsid w:val="D7ECF3F3"/>
    <w:rsid w:val="D8052099"/>
    <w:rsid w:val="D824C2C4"/>
    <w:rsid w:val="D82B2CE2"/>
    <w:rsid w:val="D843BE60"/>
    <w:rsid w:val="D848A597"/>
    <w:rsid w:val="D849F11E"/>
    <w:rsid w:val="D8789F1B"/>
    <w:rsid w:val="D8A23A83"/>
    <w:rsid w:val="D8B1537F"/>
    <w:rsid w:val="D8D32F00"/>
    <w:rsid w:val="D8F427DC"/>
    <w:rsid w:val="D90CAF8D"/>
    <w:rsid w:val="D91AB9FD"/>
    <w:rsid w:val="D91D4739"/>
    <w:rsid w:val="D9233163"/>
    <w:rsid w:val="D928F2D9"/>
    <w:rsid w:val="D948581D"/>
    <w:rsid w:val="D981079D"/>
    <w:rsid w:val="D9855C9E"/>
    <w:rsid w:val="D99B2886"/>
    <w:rsid w:val="DA07B0BD"/>
    <w:rsid w:val="DA34FCA4"/>
    <w:rsid w:val="DA5C55F2"/>
    <w:rsid w:val="DA723A84"/>
    <w:rsid w:val="DA917B83"/>
    <w:rsid w:val="DA972EE4"/>
    <w:rsid w:val="DAA3DA50"/>
    <w:rsid w:val="DAB8396E"/>
    <w:rsid w:val="DAC95F6E"/>
    <w:rsid w:val="DAE0388C"/>
    <w:rsid w:val="DAEE0860"/>
    <w:rsid w:val="DAEF132E"/>
    <w:rsid w:val="DAF58012"/>
    <w:rsid w:val="DAF7F467"/>
    <w:rsid w:val="DB0CA18C"/>
    <w:rsid w:val="DB11ECFE"/>
    <w:rsid w:val="DB327C9A"/>
    <w:rsid w:val="DB47279F"/>
    <w:rsid w:val="DB935BC6"/>
    <w:rsid w:val="DB9988D9"/>
    <w:rsid w:val="DB9AFC20"/>
    <w:rsid w:val="DBC25A31"/>
    <w:rsid w:val="DBD304F9"/>
    <w:rsid w:val="DC072137"/>
    <w:rsid w:val="DC0E2026"/>
    <w:rsid w:val="DC35B63D"/>
    <w:rsid w:val="DC5F420B"/>
    <w:rsid w:val="DC7D1139"/>
    <w:rsid w:val="DCA16FA3"/>
    <w:rsid w:val="DCA9A883"/>
    <w:rsid w:val="DCB8EA34"/>
    <w:rsid w:val="DCBE5F84"/>
    <w:rsid w:val="DCCAC6D0"/>
    <w:rsid w:val="DD475A50"/>
    <w:rsid w:val="DD4DE6C2"/>
    <w:rsid w:val="DD5E66F2"/>
    <w:rsid w:val="DDB11F66"/>
    <w:rsid w:val="DDB7A9DD"/>
    <w:rsid w:val="DDBFA555"/>
    <w:rsid w:val="DDCD4D27"/>
    <w:rsid w:val="DDE2A464"/>
    <w:rsid w:val="DE0FBF2A"/>
    <w:rsid w:val="DE46551F"/>
    <w:rsid w:val="DE7B8EDD"/>
    <w:rsid w:val="DE924697"/>
    <w:rsid w:val="DECAF512"/>
    <w:rsid w:val="DED7661E"/>
    <w:rsid w:val="DEF5721B"/>
    <w:rsid w:val="DF2EAD82"/>
    <w:rsid w:val="DFB59815"/>
    <w:rsid w:val="DFC031D4"/>
    <w:rsid w:val="E03A0018"/>
    <w:rsid w:val="E03E8E4B"/>
    <w:rsid w:val="E040EAEF"/>
    <w:rsid w:val="E0457A0F"/>
    <w:rsid w:val="E0C3F2BD"/>
    <w:rsid w:val="E0D3B11F"/>
    <w:rsid w:val="E0EF89DA"/>
    <w:rsid w:val="E0F24C68"/>
    <w:rsid w:val="E0F7859B"/>
    <w:rsid w:val="E10ECCA0"/>
    <w:rsid w:val="E11413B6"/>
    <w:rsid w:val="E13EEDF5"/>
    <w:rsid w:val="E1458611"/>
    <w:rsid w:val="E1481BD5"/>
    <w:rsid w:val="E16C4E3C"/>
    <w:rsid w:val="E16EEAEE"/>
    <w:rsid w:val="E2351AEB"/>
    <w:rsid w:val="E257005A"/>
    <w:rsid w:val="E29FE4EF"/>
    <w:rsid w:val="E2A6C34A"/>
    <w:rsid w:val="E2B4300A"/>
    <w:rsid w:val="E2E26E1D"/>
    <w:rsid w:val="E2E3E1FB"/>
    <w:rsid w:val="E3117A1F"/>
    <w:rsid w:val="E339D04A"/>
    <w:rsid w:val="E33A0EEF"/>
    <w:rsid w:val="E356749A"/>
    <w:rsid w:val="E3580DB5"/>
    <w:rsid w:val="E35E9D1A"/>
    <w:rsid w:val="E36A1667"/>
    <w:rsid w:val="E38B5036"/>
    <w:rsid w:val="E3B08894"/>
    <w:rsid w:val="E3E9483B"/>
    <w:rsid w:val="E3F0DC36"/>
    <w:rsid w:val="E42FC2F3"/>
    <w:rsid w:val="E45ABC81"/>
    <w:rsid w:val="E47631E1"/>
    <w:rsid w:val="E4926057"/>
    <w:rsid w:val="E4A709D3"/>
    <w:rsid w:val="E4C8FEBA"/>
    <w:rsid w:val="E4DC404C"/>
    <w:rsid w:val="E4DD82E9"/>
    <w:rsid w:val="E5124097"/>
    <w:rsid w:val="E527CBF8"/>
    <w:rsid w:val="E53BFAF5"/>
    <w:rsid w:val="E5590D7F"/>
    <w:rsid w:val="E57778B8"/>
    <w:rsid w:val="E57A3DF6"/>
    <w:rsid w:val="E58159A2"/>
    <w:rsid w:val="E58F4FA2"/>
    <w:rsid w:val="E5C7A216"/>
    <w:rsid w:val="E5E7B991"/>
    <w:rsid w:val="E5E9B608"/>
    <w:rsid w:val="E5FE1D5D"/>
    <w:rsid w:val="E6885A85"/>
    <w:rsid w:val="E694A736"/>
    <w:rsid w:val="E6B6C3A6"/>
    <w:rsid w:val="E6DBF6F8"/>
    <w:rsid w:val="E6FD42FF"/>
    <w:rsid w:val="E6FF9CD6"/>
    <w:rsid w:val="E6FFA3B7"/>
    <w:rsid w:val="E758A151"/>
    <w:rsid w:val="E75A4D29"/>
    <w:rsid w:val="E7779049"/>
    <w:rsid w:val="E7AC3433"/>
    <w:rsid w:val="E7B3953C"/>
    <w:rsid w:val="E7E1F159"/>
    <w:rsid w:val="E7F1DCE0"/>
    <w:rsid w:val="E80C3101"/>
    <w:rsid w:val="E832AC1D"/>
    <w:rsid w:val="E845C4C9"/>
    <w:rsid w:val="E866EC4E"/>
    <w:rsid w:val="E89ED8CF"/>
    <w:rsid w:val="E8AFC93B"/>
    <w:rsid w:val="E8C72F0D"/>
    <w:rsid w:val="E8DEB6A2"/>
    <w:rsid w:val="E92655A1"/>
    <w:rsid w:val="E95F6BCC"/>
    <w:rsid w:val="E97B96BC"/>
    <w:rsid w:val="E9B37DDE"/>
    <w:rsid w:val="E9C9A71C"/>
    <w:rsid w:val="E9E3A4EE"/>
    <w:rsid w:val="EA03192E"/>
    <w:rsid w:val="EA04C315"/>
    <w:rsid w:val="EA09B34B"/>
    <w:rsid w:val="EA1C4038"/>
    <w:rsid w:val="EA1DFCC9"/>
    <w:rsid w:val="EA4B2D75"/>
    <w:rsid w:val="EADBC1C6"/>
    <w:rsid w:val="EB42877D"/>
    <w:rsid w:val="EB4DB023"/>
    <w:rsid w:val="EB52532A"/>
    <w:rsid w:val="EB61E55A"/>
    <w:rsid w:val="EB62F7B5"/>
    <w:rsid w:val="EB72404B"/>
    <w:rsid w:val="EB734D78"/>
    <w:rsid w:val="EB92B56F"/>
    <w:rsid w:val="EB94C074"/>
    <w:rsid w:val="EC205FCD"/>
    <w:rsid w:val="EC283477"/>
    <w:rsid w:val="EC3C7B29"/>
    <w:rsid w:val="EC606C23"/>
    <w:rsid w:val="EC805D75"/>
    <w:rsid w:val="EC88FC6D"/>
    <w:rsid w:val="EC9EA52E"/>
    <w:rsid w:val="ECA2C075"/>
    <w:rsid w:val="ECF8221C"/>
    <w:rsid w:val="ECF96544"/>
    <w:rsid w:val="ECFC70A7"/>
    <w:rsid w:val="ED066B1A"/>
    <w:rsid w:val="ED0C0B20"/>
    <w:rsid w:val="ED27CA0F"/>
    <w:rsid w:val="ED2B12A9"/>
    <w:rsid w:val="ED31F20F"/>
    <w:rsid w:val="ED4B6F71"/>
    <w:rsid w:val="ED55CC81"/>
    <w:rsid w:val="ED6ADD32"/>
    <w:rsid w:val="ED93422F"/>
    <w:rsid w:val="ED97786A"/>
    <w:rsid w:val="EDA5FF30"/>
    <w:rsid w:val="EDB75574"/>
    <w:rsid w:val="EDDC4CF3"/>
    <w:rsid w:val="EDEA95DA"/>
    <w:rsid w:val="EE0D359D"/>
    <w:rsid w:val="EE3B1833"/>
    <w:rsid w:val="EE4924DB"/>
    <w:rsid w:val="EE54E884"/>
    <w:rsid w:val="EE6701CD"/>
    <w:rsid w:val="EE9146C8"/>
    <w:rsid w:val="EF18A7C7"/>
    <w:rsid w:val="EF297E81"/>
    <w:rsid w:val="EF337AB9"/>
    <w:rsid w:val="EF43D4B4"/>
    <w:rsid w:val="EF61BC25"/>
    <w:rsid w:val="EF71C023"/>
    <w:rsid w:val="EF77DFD4"/>
    <w:rsid w:val="EF8D086F"/>
    <w:rsid w:val="EF9B50FC"/>
    <w:rsid w:val="EFB1F22D"/>
    <w:rsid w:val="EFB2EF7A"/>
    <w:rsid w:val="EFE316E5"/>
    <w:rsid w:val="F019F06F"/>
    <w:rsid w:val="F028541B"/>
    <w:rsid w:val="F0292489"/>
    <w:rsid w:val="F0565C28"/>
    <w:rsid w:val="F0B31E67"/>
    <w:rsid w:val="F0B6CC66"/>
    <w:rsid w:val="F0C09295"/>
    <w:rsid w:val="F0CCCC81"/>
    <w:rsid w:val="F0D1386A"/>
    <w:rsid w:val="F0DA2537"/>
    <w:rsid w:val="F116F8BF"/>
    <w:rsid w:val="F12FB1BE"/>
    <w:rsid w:val="F1493509"/>
    <w:rsid w:val="F154EDBD"/>
    <w:rsid w:val="F1992F37"/>
    <w:rsid w:val="F1C4E8DC"/>
    <w:rsid w:val="F1FA6A2B"/>
    <w:rsid w:val="F2175941"/>
    <w:rsid w:val="F2310AEC"/>
    <w:rsid w:val="F245AD60"/>
    <w:rsid w:val="F24A9BDF"/>
    <w:rsid w:val="F2991EB0"/>
    <w:rsid w:val="F2B0E2AF"/>
    <w:rsid w:val="F2BDC0A7"/>
    <w:rsid w:val="F2CB3AA7"/>
    <w:rsid w:val="F2DA7CF2"/>
    <w:rsid w:val="F30A4CA1"/>
    <w:rsid w:val="F34E4996"/>
    <w:rsid w:val="F3569D58"/>
    <w:rsid w:val="F35FC6D1"/>
    <w:rsid w:val="F37680D4"/>
    <w:rsid w:val="F38542DC"/>
    <w:rsid w:val="F3A4F195"/>
    <w:rsid w:val="F3A95578"/>
    <w:rsid w:val="F3AEBFEE"/>
    <w:rsid w:val="F3B048E7"/>
    <w:rsid w:val="F3B10FF1"/>
    <w:rsid w:val="F3BFB7D6"/>
    <w:rsid w:val="F3D04FB8"/>
    <w:rsid w:val="F3E617CB"/>
    <w:rsid w:val="F3F52E81"/>
    <w:rsid w:val="F3FE21C3"/>
    <w:rsid w:val="F4081C31"/>
    <w:rsid w:val="F4663CA6"/>
    <w:rsid w:val="F4C265A9"/>
    <w:rsid w:val="F4C2BF36"/>
    <w:rsid w:val="F4C84FB2"/>
    <w:rsid w:val="F4CBA48F"/>
    <w:rsid w:val="F4F1A37E"/>
    <w:rsid w:val="F525449C"/>
    <w:rsid w:val="F5406452"/>
    <w:rsid w:val="F57C2406"/>
    <w:rsid w:val="F58EACA3"/>
    <w:rsid w:val="F5A7845E"/>
    <w:rsid w:val="F5B98E1A"/>
    <w:rsid w:val="F5CC576E"/>
    <w:rsid w:val="F5CFB28D"/>
    <w:rsid w:val="F5E7F97B"/>
    <w:rsid w:val="F5F0CF7B"/>
    <w:rsid w:val="F5FC718F"/>
    <w:rsid w:val="F6239858"/>
    <w:rsid w:val="F669BFBD"/>
    <w:rsid w:val="F675AFAC"/>
    <w:rsid w:val="F6C57245"/>
    <w:rsid w:val="F715CDBF"/>
    <w:rsid w:val="F7191711"/>
    <w:rsid w:val="F7441814"/>
    <w:rsid w:val="F7655888"/>
    <w:rsid w:val="F7738E0D"/>
    <w:rsid w:val="F7809DC1"/>
    <w:rsid w:val="F78CC464"/>
    <w:rsid w:val="F793B679"/>
    <w:rsid w:val="F7EC345F"/>
    <w:rsid w:val="F7F6F93A"/>
    <w:rsid w:val="F805451E"/>
    <w:rsid w:val="F862B2FD"/>
    <w:rsid w:val="F86DB0BF"/>
    <w:rsid w:val="F870C67D"/>
    <w:rsid w:val="F87194EA"/>
    <w:rsid w:val="F87195CA"/>
    <w:rsid w:val="F879A527"/>
    <w:rsid w:val="F881FF56"/>
    <w:rsid w:val="F89D4C49"/>
    <w:rsid w:val="F8B06D90"/>
    <w:rsid w:val="F8B2617E"/>
    <w:rsid w:val="F8BAE890"/>
    <w:rsid w:val="F8C0209C"/>
    <w:rsid w:val="F8F28845"/>
    <w:rsid w:val="F9035A45"/>
    <w:rsid w:val="F96A4A18"/>
    <w:rsid w:val="F9A2E1A5"/>
    <w:rsid w:val="F9A5857D"/>
    <w:rsid w:val="F9C5A0F7"/>
    <w:rsid w:val="F9FD5B1A"/>
    <w:rsid w:val="FAC1B863"/>
    <w:rsid w:val="FAF947D7"/>
    <w:rsid w:val="FB0A1409"/>
    <w:rsid w:val="FB0FADFB"/>
    <w:rsid w:val="FB286F05"/>
    <w:rsid w:val="FB33CA39"/>
    <w:rsid w:val="FB5B28C4"/>
    <w:rsid w:val="FB62568E"/>
    <w:rsid w:val="FB6A4C7E"/>
    <w:rsid w:val="FB6FF72B"/>
    <w:rsid w:val="FB78E31B"/>
    <w:rsid w:val="FB91B4DC"/>
    <w:rsid w:val="FBB82040"/>
    <w:rsid w:val="FBC0E458"/>
    <w:rsid w:val="FBDF9C74"/>
    <w:rsid w:val="FBF8A880"/>
    <w:rsid w:val="FBFE3E01"/>
    <w:rsid w:val="FC39FEBB"/>
    <w:rsid w:val="FC3AA8C5"/>
    <w:rsid w:val="FC44DA94"/>
    <w:rsid w:val="FC585E1D"/>
    <w:rsid w:val="FC6700D4"/>
    <w:rsid w:val="FC8D38C3"/>
    <w:rsid w:val="FCA14831"/>
    <w:rsid w:val="FCC2BEEC"/>
    <w:rsid w:val="FD163EE9"/>
    <w:rsid w:val="FD311507"/>
    <w:rsid w:val="FD627B76"/>
    <w:rsid w:val="FD6324AA"/>
    <w:rsid w:val="FD9C4AEA"/>
    <w:rsid w:val="FDA2EA0E"/>
    <w:rsid w:val="FDBFFB94"/>
    <w:rsid w:val="FDC5D068"/>
    <w:rsid w:val="FDC7FE55"/>
    <w:rsid w:val="FE0B9E69"/>
    <w:rsid w:val="FE2F6577"/>
    <w:rsid w:val="FE3FE6EF"/>
    <w:rsid w:val="FE4091C5"/>
    <w:rsid w:val="FE4E0E23"/>
    <w:rsid w:val="FE57B36D"/>
    <w:rsid w:val="FEC2243E"/>
    <w:rsid w:val="FEE1AFEF"/>
    <w:rsid w:val="FF133CD2"/>
    <w:rsid w:val="FF1AE9B0"/>
    <w:rsid w:val="FF208389"/>
    <w:rsid w:val="FF2B75C2"/>
    <w:rsid w:val="FF36B95E"/>
    <w:rsid w:val="FF9D98BC"/>
    <w:rsid w:val="FFA4BA75"/>
    <w:rsid w:val="FFB85D1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
    <w:lsdException w:unhideWhenUsed="0" w:uiPriority="0" w:semiHidden="0" w:nam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0"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0" w:semiHidden="0" w:name=""/>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0"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0"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0"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0"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0"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0"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link w:val="258"/>
    <w:qFormat/>
    <w:uiPriority w:val="0"/>
    <w:pPr>
      <w:keepNext/>
      <w:keepLines/>
      <w:widowControl w:val="0"/>
      <w:spacing w:before="340" w:after="330" w:line="578" w:lineRule="auto"/>
      <w:ind w:left="0" w:right="0"/>
      <w:jc w:val="both"/>
      <w:outlineLvl w:val="0"/>
    </w:pPr>
    <w:rPr>
      <w:rFonts w:eastAsia="黑体"/>
      <w:b/>
      <w:bCs/>
      <w:kern w:val="44"/>
      <w:sz w:val="32"/>
      <w:szCs w:val="44"/>
    </w:rPr>
  </w:style>
  <w:style w:type="paragraph" w:styleId="3">
    <w:name w:val="heading 2"/>
    <w:basedOn w:val="1"/>
    <w:next w:val="1"/>
    <w:link w:val="112"/>
    <w:qFormat/>
    <w:uiPriority w:val="0"/>
    <w:pPr>
      <w:keepNext/>
      <w:keepLines/>
      <w:spacing w:before="60" w:after="60" w:line="413" w:lineRule="auto"/>
      <w:outlineLvl w:val="1"/>
    </w:pPr>
    <w:rPr>
      <w:rFonts w:ascii="Arial" w:hAnsi="Arial" w:eastAsia="黑体"/>
      <w:b/>
      <w:bCs/>
      <w:szCs w:val="32"/>
    </w:rPr>
  </w:style>
  <w:style w:type="paragraph" w:styleId="4">
    <w:name w:val="heading 3"/>
    <w:basedOn w:val="1"/>
    <w:next w:val="1"/>
    <w:link w:val="260"/>
    <w:qFormat/>
    <w:uiPriority w:val="0"/>
    <w:pPr>
      <w:keepNext/>
      <w:keepLines/>
      <w:widowControl w:val="0"/>
      <w:spacing w:before="260" w:after="260" w:line="415" w:lineRule="auto"/>
      <w:ind w:left="0" w:right="0"/>
      <w:jc w:val="both"/>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cs="Times New Roman"/>
      <w:b/>
      <w:bCs/>
      <w:sz w:val="28"/>
      <w:szCs w:val="28"/>
    </w:rPr>
  </w:style>
  <w:style w:type="paragraph" w:styleId="6">
    <w:name w:val="heading 5"/>
    <w:basedOn w:val="1"/>
    <w:next w:val="1"/>
    <w:qFormat/>
    <w:uiPriority w:val="0"/>
    <w:pPr>
      <w:keepNext/>
      <w:keepLines/>
      <w:tabs>
        <w:tab w:val="left" w:pos="1008"/>
      </w:tabs>
      <w:spacing w:before="280" w:after="290" w:line="376" w:lineRule="auto"/>
      <w:ind w:left="1008" w:hanging="1008"/>
      <w:outlineLvl w:val="4"/>
    </w:pPr>
    <w:rPr>
      <w:rFonts w:ascii="Times New Roman" w:hAnsi="Times New Roman" w:eastAsia="宋体" w:cs="Times New Roman"/>
      <w:b/>
      <w:bCs/>
      <w:sz w:val="28"/>
      <w:szCs w:val="28"/>
    </w:rPr>
  </w:style>
  <w:style w:type="paragraph" w:styleId="7">
    <w:name w:val="heading 6"/>
    <w:basedOn w:val="1"/>
    <w:next w:val="1"/>
    <w:qFormat/>
    <w:uiPriority w:val="0"/>
    <w:pPr>
      <w:keepNext/>
      <w:keepLines/>
      <w:tabs>
        <w:tab w:val="left" w:pos="1152"/>
      </w:tabs>
      <w:spacing w:before="240" w:after="64" w:line="320" w:lineRule="auto"/>
      <w:ind w:left="1152" w:hanging="1152"/>
      <w:outlineLvl w:val="5"/>
    </w:pPr>
    <w:rPr>
      <w:rFonts w:ascii="Arial" w:hAnsi="Arial" w:eastAsia="黑体" w:cs="Times New Roman"/>
      <w:b/>
      <w:bCs/>
      <w:sz w:val="24"/>
    </w:rPr>
  </w:style>
  <w:style w:type="paragraph" w:styleId="8">
    <w:name w:val="heading 7"/>
    <w:basedOn w:val="1"/>
    <w:next w:val="1"/>
    <w:qFormat/>
    <w:uiPriority w:val="0"/>
    <w:pPr>
      <w:keepNext/>
      <w:keepLines/>
      <w:tabs>
        <w:tab w:val="left" w:pos="1296"/>
      </w:tabs>
      <w:spacing w:before="240" w:after="64" w:line="320" w:lineRule="auto"/>
      <w:ind w:left="1296" w:hanging="1296"/>
      <w:outlineLvl w:val="6"/>
    </w:pPr>
    <w:rPr>
      <w:rFonts w:ascii="Times New Roman" w:hAnsi="Times New Roman" w:eastAsia="宋体" w:cs="Times New Roman"/>
      <w:b/>
      <w:bCs/>
      <w:sz w:val="24"/>
    </w:rPr>
  </w:style>
  <w:style w:type="paragraph" w:styleId="9">
    <w:name w:val="heading 8"/>
    <w:basedOn w:val="1"/>
    <w:next w:val="1"/>
    <w:qFormat/>
    <w:uiPriority w:val="0"/>
    <w:pPr>
      <w:keepNext/>
      <w:keepLines/>
      <w:tabs>
        <w:tab w:val="left" w:pos="1440"/>
      </w:tabs>
      <w:spacing w:before="240" w:after="64" w:line="320" w:lineRule="auto"/>
      <w:ind w:left="1440" w:hanging="1440"/>
      <w:outlineLvl w:val="7"/>
    </w:pPr>
    <w:rPr>
      <w:rFonts w:ascii="Arial" w:hAnsi="Arial" w:eastAsia="黑体" w:cs="Times New Roman"/>
      <w:sz w:val="24"/>
    </w:rPr>
  </w:style>
  <w:style w:type="paragraph" w:styleId="10">
    <w:name w:val="heading 9"/>
    <w:basedOn w:val="1"/>
    <w:next w:val="1"/>
    <w:link w:val="26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92">
    <w:name w:val="Default Paragraph Font"/>
    <w:uiPriority w:val="0"/>
    <w:rPr>
      <w:rFonts w:ascii="Times New Roman" w:hAnsi="Times New Roman" w:eastAsia="宋体"/>
    </w:rPr>
  </w:style>
  <w:style w:type="table" w:default="1" w:styleId="83">
    <w:name w:val="Normal Table"/>
    <w:uiPriority w:val="0"/>
    <w:rPr>
      <w:rFonts w:ascii="Times New Roman" w:hAnsi="Times New Roman" w:eastAsia="宋体" w:cs="Times New Roman"/>
    </w:rPr>
    <w:tblPr>
      <w:tblStyle w:val="83"/>
      <w:tblCellMar>
        <w:top w:w="0" w:type="dxa"/>
        <w:left w:w="108" w:type="dxa"/>
        <w:bottom w:w="0" w:type="dxa"/>
        <w:right w:w="108" w:type="dxa"/>
      </w:tblCellMar>
    </w:tblPr>
  </w:style>
  <w:style w:type="paragraph" w:styleId="11">
    <w:name w:val="List 3"/>
    <w:basedOn w:val="1"/>
    <w:uiPriority w:val="0"/>
    <w:pPr>
      <w:ind w:left="100" w:leftChars="400" w:hanging="200" w:hangingChars="200"/>
    </w:pPr>
    <w:rPr>
      <w:rFonts w:ascii="Times New Roman" w:hAnsi="Times New Roman" w:eastAsia="宋体" w:cs="Times New Roman"/>
      <w:sz w:val="24"/>
    </w:rPr>
  </w:style>
  <w:style w:type="paragraph" w:styleId="12">
    <w:name w:val="toc 7"/>
    <w:basedOn w:val="1"/>
    <w:next w:val="1"/>
    <w:uiPriority w:val="39"/>
    <w:pPr>
      <w:ind w:left="1260"/>
      <w:jc w:val="left"/>
    </w:pPr>
    <w:rPr>
      <w:rFonts w:ascii="Times New Roman" w:hAnsi="Times New Roman" w:eastAsia="宋体" w:cs="Times New Roman"/>
      <w:sz w:val="18"/>
      <w:szCs w:val="18"/>
    </w:rPr>
  </w:style>
  <w:style w:type="paragraph" w:styleId="13">
    <w:name w:val="List Number 2"/>
    <w:basedOn w:val="1"/>
    <w:uiPriority w:val="0"/>
    <w:pPr>
      <w:widowControl/>
      <w:tabs>
        <w:tab w:val="left" w:pos="780"/>
        <w:tab w:val="left" w:pos="840"/>
      </w:tabs>
      <w:ind w:left="840" w:hanging="420"/>
      <w:jc w:val="left"/>
    </w:pPr>
    <w:rPr>
      <w:rFonts w:ascii="宋体" w:hAnsi="宋体" w:eastAsia="宋体" w:cs="宋体"/>
      <w:kern w:val="0"/>
      <w:sz w:val="24"/>
    </w:rPr>
  </w:style>
  <w:style w:type="paragraph" w:styleId="14">
    <w:name w:val="Note Heading"/>
    <w:basedOn w:val="1"/>
    <w:next w:val="1"/>
    <w:uiPriority w:val="0"/>
    <w:pPr>
      <w:adjustRightInd w:val="0"/>
      <w:spacing w:line="360" w:lineRule="auto"/>
      <w:jc w:val="center"/>
      <w:textAlignment w:val="baseline"/>
    </w:pPr>
    <w:rPr>
      <w:rFonts w:ascii="Times New Roman" w:hAnsi="Times New Roman" w:eastAsia="宋体" w:cs="Times New Roman"/>
      <w:kern w:val="0"/>
      <w:sz w:val="28"/>
      <w:szCs w:val="20"/>
    </w:rPr>
  </w:style>
  <w:style w:type="paragraph" w:styleId="15">
    <w:name w:val="List Bullet 4"/>
    <w:basedOn w:val="1"/>
    <w:uiPriority w:val="0"/>
    <w:pPr>
      <w:widowControl/>
      <w:tabs>
        <w:tab w:val="left" w:pos="1440"/>
      </w:tabs>
      <w:spacing w:line="360" w:lineRule="auto"/>
      <w:ind w:left="780" w:hanging="360"/>
    </w:pPr>
    <w:rPr>
      <w:rFonts w:ascii="Arial" w:hAnsi="Arial" w:eastAsia="宋体" w:cs="Arial"/>
      <w:kern w:val="0"/>
      <w:sz w:val="24"/>
      <w:lang w:val="en-GB" w:eastAsia="en-GB"/>
    </w:rPr>
  </w:style>
  <w:style w:type="paragraph" w:styleId="16">
    <w:name w:val="index 8"/>
    <w:basedOn w:val="1"/>
    <w:next w:val="1"/>
    <w:uiPriority w:val="0"/>
    <w:pPr>
      <w:ind w:left="1680" w:hanging="210"/>
      <w:jc w:val="left"/>
    </w:pPr>
    <w:rPr>
      <w:rFonts w:ascii="Times New Roman" w:hAnsi="Times New Roman" w:eastAsia="宋体" w:cs="Times New Roman"/>
      <w:sz w:val="20"/>
      <w:szCs w:val="20"/>
    </w:rPr>
  </w:style>
  <w:style w:type="paragraph" w:styleId="17">
    <w:name w:val="E-mail Signature"/>
    <w:basedOn w:val="1"/>
    <w:uiPriority w:val="0"/>
    <w:pPr>
      <w:widowControl/>
      <w:jc w:val="left"/>
    </w:pPr>
    <w:rPr>
      <w:rFonts w:ascii="宋体" w:hAnsi="宋体" w:eastAsia="宋体" w:cs="宋体"/>
      <w:kern w:val="0"/>
      <w:sz w:val="24"/>
    </w:rPr>
  </w:style>
  <w:style w:type="paragraph" w:styleId="18">
    <w:name w:val="List Number"/>
    <w:basedOn w:val="1"/>
    <w:uiPriority w:val="0"/>
    <w:pPr>
      <w:widowControl/>
      <w:tabs>
        <w:tab w:val="left" w:pos="360"/>
      </w:tabs>
      <w:ind w:left="872" w:hanging="450"/>
      <w:jc w:val="left"/>
    </w:pPr>
    <w:rPr>
      <w:rFonts w:ascii="宋体" w:hAnsi="宋体" w:eastAsia="宋体" w:cs="宋体"/>
      <w:kern w:val="0"/>
      <w:sz w:val="24"/>
    </w:rPr>
  </w:style>
  <w:style w:type="paragraph" w:styleId="19">
    <w:name w:val="Normal Indent"/>
    <w:basedOn w:val="1"/>
    <w:link w:val="197"/>
    <w:uiPriority w:val="0"/>
    <w:pPr>
      <w:ind w:firstLine="420"/>
    </w:pPr>
    <w:rPr>
      <w:szCs w:val="20"/>
    </w:rPr>
  </w:style>
  <w:style w:type="paragraph" w:styleId="20">
    <w:name w:val="caption"/>
    <w:basedOn w:val="1"/>
    <w:next w:val="1"/>
    <w:qFormat/>
    <w:uiPriority w:val="0"/>
    <w:rPr>
      <w:rFonts w:ascii="Arial" w:hAnsi="Arial" w:eastAsia="黑体" w:cs="Arial"/>
      <w:sz w:val="20"/>
      <w:szCs w:val="20"/>
    </w:rPr>
  </w:style>
  <w:style w:type="paragraph" w:styleId="21">
    <w:name w:val="index 5"/>
    <w:basedOn w:val="1"/>
    <w:next w:val="1"/>
    <w:uiPriority w:val="0"/>
    <w:pPr>
      <w:ind w:left="1050" w:hanging="210"/>
      <w:jc w:val="left"/>
    </w:pPr>
    <w:rPr>
      <w:rFonts w:ascii="Times New Roman" w:hAnsi="Times New Roman" w:eastAsia="宋体" w:cs="Times New Roman"/>
      <w:sz w:val="20"/>
      <w:szCs w:val="20"/>
    </w:rPr>
  </w:style>
  <w:style w:type="paragraph" w:styleId="22">
    <w:name w:val="List Bullet"/>
    <w:basedOn w:val="1"/>
    <w:uiPriority w:val="0"/>
    <w:pPr>
      <w:keepLines/>
      <w:widowControl/>
      <w:tabs>
        <w:tab w:val="left" w:pos="360"/>
        <w:tab w:val="left" w:pos="778"/>
      </w:tabs>
      <w:spacing w:line="360" w:lineRule="auto"/>
      <w:ind w:left="641" w:hanging="357"/>
    </w:pPr>
    <w:rPr>
      <w:rFonts w:ascii="Arial" w:hAnsi="Arial" w:eastAsia="宋体" w:cs="Arial"/>
      <w:kern w:val="0"/>
      <w:sz w:val="24"/>
      <w:lang w:val="fr-FR" w:eastAsia="en-GB"/>
    </w:rPr>
  </w:style>
  <w:style w:type="paragraph" w:styleId="23">
    <w:name w:val="envelope address"/>
    <w:basedOn w:val="1"/>
    <w:uiPriority w:val="0"/>
    <w:pPr>
      <w:framePr w:w="7920" w:h="1980" w:hRule="exact" w:hSpace="180" w:wrap="around" w:vAnchor="margin" w:hAnchor="page" w:xAlign="center" w:yAlign="bottom"/>
      <w:widowControl/>
      <w:snapToGrid w:val="0"/>
      <w:ind w:left="100" w:leftChars="1400"/>
      <w:jc w:val="left"/>
    </w:pPr>
    <w:rPr>
      <w:rFonts w:ascii="Arial" w:hAnsi="Arial" w:eastAsia="宋体" w:cs="Arial"/>
      <w:kern w:val="0"/>
      <w:sz w:val="24"/>
    </w:rPr>
  </w:style>
  <w:style w:type="paragraph" w:styleId="24">
    <w:name w:val="Document Map"/>
    <w:basedOn w:val="1"/>
    <w:link w:val="215"/>
    <w:uiPriority w:val="0"/>
    <w:rPr>
      <w:rFonts w:ascii="宋体"/>
      <w:sz w:val="18"/>
      <w:szCs w:val="18"/>
    </w:rPr>
  </w:style>
  <w:style w:type="paragraph" w:styleId="25">
    <w:name w:val="toa heading"/>
    <w:basedOn w:val="1"/>
    <w:next w:val="1"/>
    <w:uiPriority w:val="0"/>
    <w:pPr>
      <w:adjustRightInd w:val="0"/>
      <w:spacing w:before="240" w:after="120" w:line="360" w:lineRule="auto"/>
      <w:jc w:val="center"/>
      <w:textAlignment w:val="baseline"/>
    </w:pPr>
    <w:rPr>
      <w:rFonts w:ascii="Times New Roman" w:hAnsi="Times New Roman" w:eastAsia="宋体" w:cs="Times New Roman"/>
      <w:smallCaps/>
      <w:kern w:val="0"/>
      <w:sz w:val="22"/>
      <w:szCs w:val="22"/>
      <w:u w:val="single"/>
    </w:rPr>
  </w:style>
  <w:style w:type="paragraph" w:styleId="26">
    <w:name w:val="annotation text"/>
    <w:basedOn w:val="1"/>
    <w:link w:val="126"/>
    <w:uiPriority w:val="0"/>
    <w:pPr>
      <w:jc w:val="left"/>
    </w:pPr>
  </w:style>
  <w:style w:type="paragraph" w:styleId="27">
    <w:name w:val="index 6"/>
    <w:basedOn w:val="1"/>
    <w:next w:val="1"/>
    <w:uiPriority w:val="0"/>
    <w:pPr>
      <w:ind w:left="1260" w:hanging="210"/>
      <w:jc w:val="left"/>
    </w:pPr>
    <w:rPr>
      <w:rFonts w:ascii="Times New Roman" w:hAnsi="Times New Roman" w:eastAsia="宋体" w:cs="Times New Roman"/>
      <w:sz w:val="20"/>
      <w:szCs w:val="20"/>
    </w:rPr>
  </w:style>
  <w:style w:type="paragraph" w:styleId="28">
    <w:name w:val="Salutation"/>
    <w:basedOn w:val="1"/>
    <w:next w:val="1"/>
    <w:uiPriority w:val="0"/>
    <w:rPr>
      <w:rFonts w:ascii="Times New Roman" w:hAnsi="Times New Roman" w:eastAsia="宋体" w:cs="Times New Roman"/>
      <w:sz w:val="24"/>
      <w:szCs w:val="28"/>
    </w:rPr>
  </w:style>
  <w:style w:type="paragraph" w:styleId="29">
    <w:name w:val="Body Text 3"/>
    <w:basedOn w:val="1"/>
    <w:link w:val="117"/>
    <w:uiPriority w:val="0"/>
    <w:pPr>
      <w:spacing w:after="120"/>
    </w:pPr>
    <w:rPr>
      <w:sz w:val="16"/>
      <w:szCs w:val="16"/>
    </w:rPr>
  </w:style>
  <w:style w:type="paragraph" w:styleId="30">
    <w:name w:val="Closing"/>
    <w:basedOn w:val="1"/>
    <w:uiPriority w:val="0"/>
    <w:pPr>
      <w:widowControl/>
      <w:ind w:left="100" w:leftChars="2100"/>
      <w:jc w:val="left"/>
    </w:pPr>
    <w:rPr>
      <w:rFonts w:ascii="宋体" w:hAnsi="宋体" w:eastAsia="宋体" w:cs="宋体"/>
      <w:kern w:val="0"/>
      <w:sz w:val="24"/>
    </w:rPr>
  </w:style>
  <w:style w:type="paragraph" w:styleId="31">
    <w:name w:val="List Bullet 3"/>
    <w:basedOn w:val="1"/>
    <w:uiPriority w:val="0"/>
    <w:pPr>
      <w:widowControl/>
      <w:tabs>
        <w:tab w:val="left" w:pos="720"/>
      </w:tabs>
      <w:ind w:left="720" w:hanging="360"/>
    </w:pPr>
    <w:rPr>
      <w:rFonts w:ascii="宋体" w:hAnsi="宋体" w:eastAsia="宋体" w:cs="宋体"/>
    </w:rPr>
  </w:style>
  <w:style w:type="paragraph" w:styleId="32">
    <w:name w:val="Body Text"/>
    <w:basedOn w:val="1"/>
    <w:link w:val="235"/>
    <w:uiPriority w:val="0"/>
    <w:pPr>
      <w:spacing w:after="120"/>
    </w:pPr>
  </w:style>
  <w:style w:type="paragraph" w:styleId="33">
    <w:name w:val="Body Text Indent"/>
    <w:basedOn w:val="1"/>
    <w:link w:val="169"/>
    <w:uiPriority w:val="0"/>
    <w:pPr>
      <w:widowControl w:val="0"/>
      <w:spacing w:before="0" w:after="120"/>
      <w:ind w:left="420" w:leftChars="200" w:right="0"/>
      <w:jc w:val="both"/>
    </w:pPr>
  </w:style>
  <w:style w:type="paragraph" w:styleId="34">
    <w:name w:val="List Number 3"/>
    <w:basedOn w:val="1"/>
    <w:uiPriority w:val="0"/>
    <w:pPr>
      <w:widowControl/>
      <w:tabs>
        <w:tab w:val="left" w:pos="1200"/>
      </w:tabs>
      <w:ind w:left="780" w:hanging="360"/>
      <w:jc w:val="left"/>
    </w:pPr>
    <w:rPr>
      <w:rFonts w:ascii="宋体" w:hAnsi="宋体" w:eastAsia="宋体" w:cs="宋体"/>
      <w:kern w:val="0"/>
      <w:sz w:val="24"/>
    </w:rPr>
  </w:style>
  <w:style w:type="paragraph" w:styleId="35">
    <w:name w:val="List 2"/>
    <w:basedOn w:val="1"/>
    <w:uiPriority w:val="0"/>
    <w:pPr>
      <w:ind w:left="100" w:leftChars="200" w:hanging="200" w:hangingChars="200"/>
    </w:pPr>
    <w:rPr>
      <w:rFonts w:ascii="Times New Roman" w:hAnsi="Times New Roman" w:eastAsia="宋体" w:cs="Times New Roman"/>
    </w:rPr>
  </w:style>
  <w:style w:type="paragraph" w:styleId="36">
    <w:name w:val="List Continue"/>
    <w:basedOn w:val="1"/>
    <w:uiPriority w:val="0"/>
    <w:pPr>
      <w:widowControl/>
      <w:spacing w:after="120"/>
      <w:ind w:left="420" w:leftChars="200"/>
    </w:pPr>
    <w:rPr>
      <w:rFonts w:ascii="宋体" w:hAnsi="宋体" w:eastAsia="宋体" w:cs="宋体"/>
    </w:rPr>
  </w:style>
  <w:style w:type="paragraph" w:styleId="37">
    <w:name w:val="Block Text"/>
    <w:basedOn w:val="1"/>
    <w:uiPriority w:val="0"/>
    <w:pPr>
      <w:adjustRightInd w:val="0"/>
      <w:snapToGrid w:val="0"/>
      <w:spacing w:line="480" w:lineRule="atLeast"/>
      <w:ind w:left="-57" w:right="69"/>
    </w:pPr>
    <w:rPr>
      <w:rFonts w:ascii="宋体" w:hAnsi="Times New Roman" w:eastAsia="宋体" w:cs="Times New Roman"/>
      <w:b/>
      <w:sz w:val="24"/>
      <w:szCs w:val="20"/>
    </w:rPr>
  </w:style>
  <w:style w:type="paragraph" w:styleId="38">
    <w:name w:val="List Bullet 2"/>
    <w:basedOn w:val="1"/>
    <w:uiPriority w:val="0"/>
    <w:pPr>
      <w:tabs>
        <w:tab w:val="left" w:pos="780"/>
      </w:tabs>
      <w:ind w:left="780" w:hanging="360"/>
    </w:pPr>
    <w:rPr>
      <w:rFonts w:ascii="Times New Roman" w:hAnsi="Times New Roman" w:eastAsia="宋体" w:cs="Times New Roman"/>
      <w:szCs w:val="20"/>
    </w:rPr>
  </w:style>
  <w:style w:type="paragraph" w:styleId="39">
    <w:name w:val="index 4"/>
    <w:basedOn w:val="1"/>
    <w:next w:val="1"/>
    <w:uiPriority w:val="0"/>
    <w:pPr>
      <w:ind w:left="840" w:hanging="210"/>
      <w:jc w:val="left"/>
    </w:pPr>
    <w:rPr>
      <w:rFonts w:ascii="Times New Roman" w:hAnsi="Times New Roman" w:eastAsia="宋体" w:cs="Times New Roman"/>
      <w:sz w:val="20"/>
      <w:szCs w:val="20"/>
    </w:rPr>
  </w:style>
  <w:style w:type="paragraph" w:styleId="40">
    <w:name w:val="toc 5"/>
    <w:basedOn w:val="1"/>
    <w:next w:val="1"/>
    <w:uiPriority w:val="39"/>
    <w:pPr>
      <w:ind w:left="840"/>
      <w:jc w:val="left"/>
    </w:pPr>
    <w:rPr>
      <w:rFonts w:ascii="Times New Roman" w:hAnsi="Times New Roman" w:eastAsia="宋体" w:cs="Times New Roman"/>
      <w:sz w:val="18"/>
      <w:szCs w:val="18"/>
    </w:rPr>
  </w:style>
  <w:style w:type="paragraph" w:styleId="41">
    <w:name w:val="toc 3"/>
    <w:basedOn w:val="1"/>
    <w:next w:val="1"/>
    <w:uiPriority w:val="39"/>
    <w:pPr>
      <w:widowControl w:val="0"/>
      <w:spacing w:before="0" w:after="0"/>
      <w:ind w:left="420" w:right="0"/>
      <w:jc w:val="left"/>
    </w:pPr>
    <w:rPr>
      <w:rFonts w:ascii="Times New Roman" w:hAnsi="Times New Roman" w:eastAsia="宋体" w:cs="Times New Roman"/>
      <w:i/>
      <w:iCs/>
      <w:kern w:val="2"/>
      <w:sz w:val="20"/>
      <w:szCs w:val="20"/>
      <w:lang w:val="en-US" w:eastAsia="zh-CN" w:bidi="ar-SA"/>
    </w:rPr>
  </w:style>
  <w:style w:type="paragraph" w:styleId="42">
    <w:name w:val="Plain Text"/>
    <w:basedOn w:val="1"/>
    <w:link w:val="109"/>
    <w:uiPriority w:val="0"/>
    <w:rPr>
      <w:rFonts w:ascii="宋体" w:hAnsi="Courier New"/>
      <w:szCs w:val="20"/>
    </w:rPr>
  </w:style>
  <w:style w:type="paragraph" w:styleId="43">
    <w:name w:val="List Bullet 5"/>
    <w:basedOn w:val="1"/>
    <w:uiPriority w:val="0"/>
    <w:pPr>
      <w:widowControl/>
      <w:tabs>
        <w:tab w:val="left" w:pos="0"/>
        <w:tab w:val="left" w:pos="2040"/>
      </w:tabs>
      <w:ind w:left="426" w:hanging="426"/>
      <w:jc w:val="left"/>
    </w:pPr>
    <w:rPr>
      <w:rFonts w:ascii="宋体" w:hAnsi="宋体" w:eastAsia="宋体" w:cs="宋体"/>
      <w:kern w:val="0"/>
      <w:sz w:val="24"/>
    </w:rPr>
  </w:style>
  <w:style w:type="paragraph" w:styleId="44">
    <w:name w:val="List Number 4"/>
    <w:basedOn w:val="1"/>
    <w:uiPriority w:val="0"/>
    <w:pPr>
      <w:widowControl/>
      <w:tabs>
        <w:tab w:val="left" w:pos="1620"/>
      </w:tabs>
      <w:jc w:val="left"/>
    </w:pPr>
    <w:rPr>
      <w:rFonts w:ascii="宋体" w:hAnsi="宋体" w:eastAsia="宋体" w:cs="宋体"/>
      <w:kern w:val="0"/>
      <w:sz w:val="24"/>
    </w:rPr>
  </w:style>
  <w:style w:type="paragraph" w:styleId="45">
    <w:name w:val="toc 8"/>
    <w:basedOn w:val="1"/>
    <w:next w:val="1"/>
    <w:uiPriority w:val="39"/>
    <w:pPr>
      <w:ind w:left="1470"/>
      <w:jc w:val="left"/>
    </w:pPr>
    <w:rPr>
      <w:rFonts w:ascii="Times New Roman" w:hAnsi="Times New Roman" w:eastAsia="宋体" w:cs="Times New Roman"/>
      <w:sz w:val="18"/>
      <w:szCs w:val="18"/>
    </w:rPr>
  </w:style>
  <w:style w:type="paragraph" w:styleId="46">
    <w:name w:val="index 3"/>
    <w:basedOn w:val="1"/>
    <w:next w:val="1"/>
    <w:uiPriority w:val="0"/>
    <w:pPr>
      <w:ind w:left="630" w:hanging="210"/>
      <w:jc w:val="left"/>
    </w:pPr>
    <w:rPr>
      <w:rFonts w:ascii="Times New Roman" w:hAnsi="Times New Roman" w:eastAsia="宋体" w:cs="Times New Roman"/>
      <w:sz w:val="20"/>
      <w:szCs w:val="20"/>
    </w:rPr>
  </w:style>
  <w:style w:type="paragraph" w:styleId="47">
    <w:name w:val="Date"/>
    <w:basedOn w:val="1"/>
    <w:next w:val="1"/>
    <w:link w:val="274"/>
    <w:uiPriority w:val="0"/>
    <w:rPr>
      <w:sz w:val="24"/>
      <w:szCs w:val="20"/>
    </w:rPr>
  </w:style>
  <w:style w:type="paragraph" w:styleId="48">
    <w:name w:val="Body Text Indent 2"/>
    <w:basedOn w:val="1"/>
    <w:link w:val="223"/>
    <w:uiPriority w:val="0"/>
    <w:pPr>
      <w:spacing w:after="120" w:line="480" w:lineRule="auto"/>
      <w:ind w:left="420" w:leftChars="200"/>
    </w:pPr>
    <w:rPr>
      <w:szCs w:val="20"/>
    </w:rPr>
  </w:style>
  <w:style w:type="paragraph" w:styleId="49">
    <w:name w:val="List Continue 5"/>
    <w:basedOn w:val="1"/>
    <w:uiPriority w:val="0"/>
    <w:pPr>
      <w:widowControl/>
      <w:spacing w:after="120"/>
      <w:ind w:left="2100" w:leftChars="1000"/>
      <w:jc w:val="left"/>
    </w:pPr>
    <w:rPr>
      <w:rFonts w:ascii="宋体" w:hAnsi="宋体" w:eastAsia="宋体" w:cs="宋体"/>
      <w:kern w:val="0"/>
      <w:sz w:val="24"/>
    </w:rPr>
  </w:style>
  <w:style w:type="paragraph" w:styleId="50">
    <w:name w:val="Balloon Text"/>
    <w:basedOn w:val="1"/>
    <w:link w:val="163"/>
    <w:uiPriority w:val="0"/>
    <w:rPr>
      <w:sz w:val="18"/>
      <w:szCs w:val="18"/>
    </w:rPr>
  </w:style>
  <w:style w:type="paragraph" w:styleId="51">
    <w:name w:val="footer"/>
    <w:basedOn w:val="1"/>
    <w:link w:val="255"/>
    <w:uiPriority w:val="0"/>
    <w:pPr>
      <w:widowControl w:val="0"/>
      <w:tabs>
        <w:tab w:val="center" w:pos="4140"/>
        <w:tab w:val="right" w:pos="8300"/>
      </w:tabs>
      <w:snapToGrid w:val="0"/>
      <w:spacing w:after="0"/>
      <w:jc w:val="left"/>
    </w:pPr>
    <w:rPr>
      <w:sz w:val="18"/>
      <w:szCs w:val="18"/>
    </w:rPr>
  </w:style>
  <w:style w:type="paragraph" w:styleId="52">
    <w:name w:val="envelope return"/>
    <w:basedOn w:val="1"/>
    <w:uiPriority w:val="0"/>
    <w:pPr>
      <w:widowControl/>
      <w:snapToGrid w:val="0"/>
      <w:jc w:val="left"/>
    </w:pPr>
    <w:rPr>
      <w:rFonts w:ascii="Arial" w:hAnsi="Arial" w:eastAsia="宋体" w:cs="Arial"/>
      <w:kern w:val="0"/>
      <w:sz w:val="24"/>
    </w:rPr>
  </w:style>
  <w:style w:type="paragraph" w:styleId="53">
    <w:name w:val="header"/>
    <w:basedOn w:val="1"/>
    <w:link w:val="185"/>
    <w:uiPriority w:val="0"/>
    <w:pPr>
      <w:widowControl w:val="0"/>
      <w:pBdr>
        <w:bottom w:val="single" w:color="000000" w:sz="6" w:space="1"/>
      </w:pBdr>
      <w:tabs>
        <w:tab w:val="center" w:pos="4140"/>
        <w:tab w:val="right" w:pos="8300"/>
      </w:tabs>
      <w:snapToGrid w:val="0"/>
      <w:spacing w:after="0"/>
      <w:jc w:val="center"/>
    </w:pPr>
    <w:rPr>
      <w:sz w:val="18"/>
      <w:szCs w:val="18"/>
    </w:rPr>
  </w:style>
  <w:style w:type="paragraph" w:styleId="54">
    <w:name w:val="Signature"/>
    <w:basedOn w:val="1"/>
    <w:uiPriority w:val="0"/>
    <w:pPr>
      <w:widowControl/>
      <w:ind w:left="100" w:leftChars="2100"/>
      <w:jc w:val="left"/>
    </w:pPr>
    <w:rPr>
      <w:rFonts w:ascii="宋体" w:hAnsi="宋体" w:eastAsia="宋体" w:cs="宋体"/>
      <w:kern w:val="0"/>
      <w:sz w:val="24"/>
    </w:rPr>
  </w:style>
  <w:style w:type="paragraph" w:styleId="55">
    <w:name w:val="toc 1"/>
    <w:basedOn w:val="1"/>
    <w:next w:val="1"/>
    <w:uiPriority w:val="39"/>
    <w:pPr>
      <w:widowControl w:val="0"/>
      <w:spacing w:before="120" w:after="120"/>
      <w:ind w:left="0" w:right="0"/>
      <w:jc w:val="left"/>
    </w:pPr>
    <w:rPr>
      <w:rFonts w:ascii="Times New Roman" w:hAnsi="Times New Roman" w:eastAsia="宋体" w:cs="Times New Roman"/>
      <w:b/>
      <w:bCs/>
      <w:caps/>
      <w:kern w:val="2"/>
      <w:sz w:val="20"/>
      <w:szCs w:val="20"/>
      <w:lang w:val="en-US" w:eastAsia="zh-CN" w:bidi="ar-SA"/>
    </w:rPr>
  </w:style>
  <w:style w:type="paragraph" w:styleId="56">
    <w:name w:val="List Continue 4"/>
    <w:basedOn w:val="1"/>
    <w:uiPriority w:val="0"/>
    <w:pPr>
      <w:widowControl/>
      <w:spacing w:after="120"/>
      <w:ind w:left="1680" w:leftChars="800"/>
      <w:jc w:val="left"/>
    </w:pPr>
    <w:rPr>
      <w:rFonts w:ascii="宋体" w:hAnsi="宋体" w:eastAsia="宋体" w:cs="宋体"/>
      <w:kern w:val="0"/>
      <w:sz w:val="24"/>
    </w:rPr>
  </w:style>
  <w:style w:type="paragraph" w:styleId="57">
    <w:name w:val="toc 4"/>
    <w:basedOn w:val="1"/>
    <w:next w:val="1"/>
    <w:uiPriority w:val="39"/>
    <w:pPr>
      <w:ind w:left="630"/>
      <w:jc w:val="left"/>
    </w:pPr>
    <w:rPr>
      <w:rFonts w:ascii="Times New Roman" w:hAnsi="Times New Roman" w:eastAsia="宋体" w:cs="Times New Roman"/>
      <w:sz w:val="18"/>
      <w:szCs w:val="18"/>
    </w:rPr>
  </w:style>
  <w:style w:type="paragraph" w:styleId="58">
    <w:name w:val="index heading"/>
    <w:basedOn w:val="1"/>
    <w:next w:val="59"/>
    <w:uiPriority w:val="0"/>
    <w:pPr>
      <w:spacing w:before="120" w:after="120"/>
      <w:jc w:val="left"/>
    </w:pPr>
    <w:rPr>
      <w:rFonts w:ascii="Times New Roman" w:hAnsi="Times New Roman" w:eastAsia="宋体" w:cs="Times New Roman"/>
      <w:b/>
      <w:bCs/>
      <w:i/>
      <w:iCs/>
      <w:sz w:val="20"/>
      <w:szCs w:val="20"/>
    </w:rPr>
  </w:style>
  <w:style w:type="paragraph" w:styleId="59">
    <w:name w:val="index 1"/>
    <w:basedOn w:val="1"/>
    <w:next w:val="1"/>
    <w:uiPriority w:val="0"/>
    <w:pPr>
      <w:ind w:left="210" w:hanging="210"/>
      <w:jc w:val="left"/>
    </w:pPr>
    <w:rPr>
      <w:rFonts w:ascii="Times New Roman" w:hAnsi="Times New Roman" w:eastAsia="宋体" w:cs="Times New Roman"/>
      <w:sz w:val="20"/>
      <w:szCs w:val="20"/>
    </w:rPr>
  </w:style>
  <w:style w:type="paragraph" w:styleId="60">
    <w:name w:val="Subtitle"/>
    <w:basedOn w:val="1"/>
    <w:qFormat/>
    <w:uiPriority w:val="0"/>
    <w:pPr>
      <w:widowControl/>
      <w:spacing w:before="240" w:after="60" w:line="312" w:lineRule="auto"/>
      <w:jc w:val="center"/>
      <w:outlineLvl w:val="1"/>
    </w:pPr>
    <w:rPr>
      <w:rFonts w:ascii="Arial" w:hAnsi="Arial" w:eastAsia="宋体" w:cs="Arial"/>
      <w:b/>
      <w:bCs/>
      <w:kern w:val="28"/>
      <w:sz w:val="32"/>
      <w:szCs w:val="32"/>
    </w:rPr>
  </w:style>
  <w:style w:type="paragraph" w:styleId="61">
    <w:name w:val="List Number 5"/>
    <w:basedOn w:val="1"/>
    <w:uiPriority w:val="0"/>
    <w:pPr>
      <w:widowControl/>
      <w:tabs>
        <w:tab w:val="left" w:pos="2040"/>
      </w:tabs>
      <w:ind w:left="870" w:hanging="450"/>
      <w:jc w:val="left"/>
    </w:pPr>
    <w:rPr>
      <w:rFonts w:ascii="宋体" w:hAnsi="宋体" w:eastAsia="宋体" w:cs="宋体"/>
      <w:kern w:val="0"/>
      <w:sz w:val="24"/>
    </w:rPr>
  </w:style>
  <w:style w:type="paragraph" w:styleId="62">
    <w:name w:val="List"/>
    <w:basedOn w:val="1"/>
    <w:uiPriority w:val="0"/>
    <w:pPr>
      <w:tabs>
        <w:tab w:val="left" w:pos="1727"/>
        <w:tab w:val="left" w:pos="1884"/>
      </w:tabs>
      <w:spacing w:line="300" w:lineRule="auto"/>
      <w:ind w:left="420" w:hanging="420"/>
      <w:jc w:val="center"/>
      <w:outlineLvl w:val="0"/>
    </w:pPr>
    <w:rPr>
      <w:rFonts w:ascii="宋体" w:hAnsi="Times New Roman" w:eastAsia="宋体" w:cs="宋体"/>
      <w:sz w:val="24"/>
    </w:rPr>
  </w:style>
  <w:style w:type="paragraph" w:styleId="63">
    <w:name w:val="footnote text"/>
    <w:basedOn w:val="1"/>
    <w:link w:val="270"/>
    <w:uiPriority w:val="0"/>
    <w:pPr>
      <w:snapToGrid w:val="0"/>
      <w:ind w:firstLine="425"/>
      <w:jc w:val="left"/>
    </w:pPr>
    <w:rPr>
      <w:sz w:val="18"/>
      <w:szCs w:val="20"/>
    </w:rPr>
  </w:style>
  <w:style w:type="paragraph" w:styleId="64">
    <w:name w:val="toc 6"/>
    <w:basedOn w:val="1"/>
    <w:next w:val="1"/>
    <w:uiPriority w:val="39"/>
    <w:pPr>
      <w:ind w:left="1050"/>
      <w:jc w:val="left"/>
    </w:pPr>
    <w:rPr>
      <w:rFonts w:ascii="Times New Roman" w:hAnsi="Times New Roman" w:eastAsia="宋体" w:cs="Times New Roman"/>
      <w:sz w:val="18"/>
      <w:szCs w:val="18"/>
    </w:rPr>
  </w:style>
  <w:style w:type="paragraph" w:styleId="65">
    <w:name w:val="List 5"/>
    <w:basedOn w:val="1"/>
    <w:uiPriority w:val="0"/>
    <w:pPr>
      <w:widowControl/>
      <w:ind w:left="100" w:leftChars="800" w:hanging="200" w:hangingChars="200"/>
      <w:jc w:val="left"/>
    </w:pPr>
    <w:rPr>
      <w:rFonts w:ascii="宋体" w:hAnsi="宋体" w:eastAsia="宋体" w:cs="宋体"/>
      <w:kern w:val="0"/>
      <w:sz w:val="24"/>
    </w:rPr>
  </w:style>
  <w:style w:type="paragraph" w:styleId="66">
    <w:name w:val="Body Text Indent 3"/>
    <w:basedOn w:val="1"/>
    <w:link w:val="224"/>
    <w:uiPriority w:val="0"/>
    <w:pPr>
      <w:spacing w:after="120"/>
      <w:ind w:left="420" w:leftChars="200"/>
    </w:pPr>
    <w:rPr>
      <w:sz w:val="16"/>
      <w:szCs w:val="16"/>
    </w:rPr>
  </w:style>
  <w:style w:type="paragraph" w:styleId="67">
    <w:name w:val="index 7"/>
    <w:basedOn w:val="1"/>
    <w:next w:val="1"/>
    <w:uiPriority w:val="0"/>
    <w:pPr>
      <w:ind w:left="1470" w:hanging="210"/>
      <w:jc w:val="left"/>
    </w:pPr>
    <w:rPr>
      <w:rFonts w:ascii="Times New Roman" w:hAnsi="Times New Roman" w:eastAsia="宋体" w:cs="Times New Roman"/>
      <w:sz w:val="20"/>
      <w:szCs w:val="20"/>
    </w:rPr>
  </w:style>
  <w:style w:type="paragraph" w:styleId="68">
    <w:name w:val="index 9"/>
    <w:basedOn w:val="1"/>
    <w:next w:val="1"/>
    <w:uiPriority w:val="0"/>
    <w:pPr>
      <w:ind w:left="1890" w:hanging="210"/>
      <w:jc w:val="left"/>
    </w:pPr>
    <w:rPr>
      <w:rFonts w:ascii="Times New Roman" w:hAnsi="Times New Roman" w:eastAsia="宋体" w:cs="Times New Roman"/>
      <w:sz w:val="20"/>
      <w:szCs w:val="20"/>
    </w:rPr>
  </w:style>
  <w:style w:type="paragraph" w:styleId="69">
    <w:name w:val="toc 2"/>
    <w:basedOn w:val="1"/>
    <w:next w:val="1"/>
    <w:uiPriority w:val="39"/>
    <w:pPr>
      <w:widowControl w:val="0"/>
      <w:spacing w:before="0" w:after="0"/>
      <w:ind w:left="210" w:right="0"/>
      <w:jc w:val="left"/>
    </w:pPr>
    <w:rPr>
      <w:rFonts w:ascii="Times New Roman" w:hAnsi="Times New Roman" w:eastAsia="宋体" w:cs="Times New Roman"/>
      <w:smallCaps/>
      <w:kern w:val="2"/>
      <w:sz w:val="20"/>
      <w:szCs w:val="20"/>
      <w:lang w:val="en-US" w:eastAsia="zh-CN" w:bidi="ar-SA"/>
    </w:rPr>
  </w:style>
  <w:style w:type="paragraph" w:styleId="70">
    <w:name w:val="toc 9"/>
    <w:basedOn w:val="1"/>
    <w:next w:val="1"/>
    <w:uiPriority w:val="39"/>
    <w:pPr>
      <w:ind w:left="1680"/>
      <w:jc w:val="left"/>
    </w:pPr>
    <w:rPr>
      <w:rFonts w:ascii="Times New Roman" w:hAnsi="Times New Roman" w:eastAsia="宋体" w:cs="Times New Roman"/>
      <w:sz w:val="18"/>
      <w:szCs w:val="18"/>
    </w:rPr>
  </w:style>
  <w:style w:type="paragraph" w:styleId="71">
    <w:name w:val="Body Text 2"/>
    <w:basedOn w:val="1"/>
    <w:link w:val="278"/>
    <w:uiPriority w:val="0"/>
    <w:pPr>
      <w:spacing w:after="120" w:line="480" w:lineRule="auto"/>
    </w:pPr>
    <w:rPr>
      <w:szCs w:val="20"/>
    </w:rPr>
  </w:style>
  <w:style w:type="paragraph" w:styleId="72">
    <w:name w:val="List 4"/>
    <w:basedOn w:val="1"/>
    <w:uiPriority w:val="0"/>
    <w:pPr>
      <w:widowControl/>
      <w:ind w:left="100" w:leftChars="600" w:hanging="200" w:hangingChars="200"/>
    </w:pPr>
    <w:rPr>
      <w:rFonts w:ascii="宋体" w:hAnsi="宋体" w:eastAsia="宋体" w:cs="宋体"/>
    </w:rPr>
  </w:style>
  <w:style w:type="paragraph" w:styleId="73">
    <w:name w:val="List Continue 2"/>
    <w:basedOn w:val="1"/>
    <w:uiPriority w:val="0"/>
    <w:pPr>
      <w:widowControl/>
      <w:spacing w:after="120"/>
      <w:ind w:left="840" w:leftChars="400"/>
    </w:pPr>
    <w:rPr>
      <w:rFonts w:ascii="宋体" w:hAnsi="宋体" w:eastAsia="宋体" w:cs="宋体"/>
    </w:rPr>
  </w:style>
  <w:style w:type="paragraph" w:styleId="74">
    <w:name w:val="Message Header"/>
    <w:basedOn w:val="1"/>
    <w:uiPriority w:val="0"/>
    <w:pPr>
      <w:widowControl/>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Arial" w:hAnsi="Arial" w:eastAsia="宋体" w:cs="Arial"/>
      <w:kern w:val="0"/>
      <w:sz w:val="24"/>
    </w:rPr>
  </w:style>
  <w:style w:type="paragraph" w:styleId="75">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0"/>
    </w:rPr>
  </w:style>
  <w:style w:type="paragraph" w:styleId="76">
    <w:name w:val="Normal (Web)"/>
    <w:basedOn w:val="1"/>
    <w:uiPriority w:val="0"/>
    <w:pPr>
      <w:widowControl/>
      <w:spacing w:before="100" w:beforeAutospacing="1" w:after="100" w:afterAutospacing="1"/>
      <w:ind w:left="0" w:right="0"/>
      <w:jc w:val="left"/>
    </w:pPr>
    <w:rPr>
      <w:rFonts w:ascii="宋体" w:hAnsi="宋体" w:eastAsia="宋体" w:cs="宋体"/>
      <w:kern w:val="0"/>
      <w:sz w:val="24"/>
      <w:szCs w:val="24"/>
      <w:lang w:val="en-US" w:eastAsia="zh-CN" w:bidi="ar-SA"/>
    </w:rPr>
  </w:style>
  <w:style w:type="paragraph" w:styleId="77">
    <w:name w:val="List Continue 3"/>
    <w:basedOn w:val="1"/>
    <w:uiPriority w:val="0"/>
    <w:pPr>
      <w:spacing w:after="120"/>
      <w:ind w:left="1260" w:leftChars="600"/>
    </w:pPr>
    <w:rPr>
      <w:rFonts w:ascii="Times New Roman" w:hAnsi="Times New Roman" w:eastAsia="宋体" w:cs="Times New Roman"/>
      <w:sz w:val="24"/>
    </w:rPr>
  </w:style>
  <w:style w:type="paragraph" w:styleId="78">
    <w:name w:val="index 2"/>
    <w:basedOn w:val="1"/>
    <w:next w:val="1"/>
    <w:uiPriority w:val="0"/>
    <w:pPr>
      <w:ind w:left="420" w:hanging="210"/>
      <w:jc w:val="left"/>
    </w:pPr>
    <w:rPr>
      <w:rFonts w:ascii="Times New Roman" w:hAnsi="Times New Roman" w:eastAsia="宋体" w:cs="Times New Roman"/>
      <w:sz w:val="20"/>
      <w:szCs w:val="20"/>
    </w:rPr>
  </w:style>
  <w:style w:type="paragraph" w:styleId="79">
    <w:name w:val="Title"/>
    <w:basedOn w:val="1"/>
    <w:qFormat/>
    <w:uiPriority w:val="0"/>
    <w:pPr>
      <w:jc w:val="center"/>
    </w:pPr>
    <w:rPr>
      <w:rFonts w:ascii="Arial" w:hAnsi="Arial" w:eastAsia="宋体" w:cs="Arial"/>
      <w:b/>
      <w:sz w:val="32"/>
      <w:u w:val="single"/>
    </w:rPr>
  </w:style>
  <w:style w:type="paragraph" w:styleId="80">
    <w:name w:val="annotation subject"/>
    <w:basedOn w:val="26"/>
    <w:next w:val="26"/>
    <w:link w:val="105"/>
    <w:uiPriority w:val="0"/>
    <w:rPr>
      <w:b/>
      <w:bCs/>
      <w:sz w:val="24"/>
    </w:rPr>
  </w:style>
  <w:style w:type="paragraph" w:styleId="81">
    <w:name w:val="Body Text First Indent"/>
    <w:basedOn w:val="1"/>
    <w:uiPriority w:val="0"/>
    <w:pPr>
      <w:spacing w:after="120"/>
      <w:ind w:firstLine="420" w:firstLineChars="100"/>
    </w:pPr>
    <w:rPr>
      <w:rFonts w:ascii="Times New Roman" w:hAnsi="Times New Roman" w:eastAsia="宋体" w:cs="Times New Roman"/>
    </w:rPr>
  </w:style>
  <w:style w:type="paragraph" w:styleId="82">
    <w:name w:val="Body Text First Indent 2"/>
    <w:basedOn w:val="33"/>
    <w:link w:val="281"/>
    <w:uiPriority w:val="0"/>
    <w:pPr>
      <w:widowControl w:val="0"/>
      <w:spacing w:before="0" w:after="120"/>
      <w:ind w:left="420" w:right="0" w:firstLine="200"/>
      <w:jc w:val="both"/>
    </w:pPr>
    <w:rPr>
      <w:szCs w:val="20"/>
    </w:rPr>
  </w:style>
  <w:style w:type="table" w:styleId="84">
    <w:name w:val="Table Grid"/>
    <w:basedOn w:val="83"/>
    <w:uiPriority w:val="0"/>
    <w:pPr>
      <w:widowControl w:val="0"/>
      <w:jc w:val="both"/>
    </w:pPr>
    <w:rPr>
      <w:rFonts w:ascii="Times New Roman" w:hAnsi="Times New Roman" w:eastAsia="宋体" w:cs="Times New Roman"/>
    </w:rPr>
    <w:tblPr>
      <w:tblStyle w:val="8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5">
    <w:name w:val="Medium Grid 3"/>
    <w:basedOn w:val="83"/>
    <w:uiPriority w:val="0"/>
    <w:rPr>
      <w:rFonts w:ascii="Times New Roman" w:hAnsi="Times New Roman" w:eastAsia="宋体" w:cs="Times New Roman"/>
    </w:rPr>
    <w:tblPr>
      <w:tblStyle w:val="83"/>
      <w:tblStyleRowBandSize w:val="1"/>
      <w:tblStyleColBandSize w:val="1"/>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C0C0C0"/>
    </w:tcPr>
    <w:tblStylePr w:type="firstRow">
      <w:rPr>
        <w:b/>
        <w:bCs/>
        <w:i w:val="0"/>
        <w:iCs w:val="0"/>
        <w:color w:val="FFFFFF"/>
      </w:rPr>
      <w:tblPr>
        <w:tblStyle w:val="83"/>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000000"/>
      </w:tcPr>
    </w:tblStylePr>
    <w:tblStylePr w:type="lastRow">
      <w:rPr>
        <w:b/>
        <w:bCs/>
        <w:i w:val="0"/>
        <w:iCs w:val="0"/>
        <w:color w:val="FFFFFF"/>
      </w:rPr>
      <w:tblPr>
        <w:tblStyle w:val="83"/>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000000"/>
      </w:tcPr>
    </w:tblStylePr>
    <w:tblStylePr w:type="firstCol">
      <w:rPr>
        <w:b/>
        <w:bCs/>
        <w:i w:val="0"/>
        <w:iCs w:val="0"/>
        <w:color w:val="FFFFFF"/>
      </w:rPr>
      <w:tblPr>
        <w:tblStyle w:val="83"/>
      </w:tblPr>
      <w:tcPr>
        <w:tcBorders>
          <w:top w:val="nil"/>
          <w:left w:val="nil"/>
          <w:bottom w:val="single" w:color="CCE8CF" w:sz="8" w:space="0"/>
          <w:right w:val="single" w:color="CCE8CF" w:sz="24" w:space="0"/>
          <w:insideH w:val="nil"/>
          <w:insideV w:val="nil"/>
          <w:tl2br w:val="nil"/>
          <w:tr2bl w:val="nil"/>
        </w:tcBorders>
        <w:shd w:val="clear" w:color="auto" w:fill="000000"/>
      </w:tcPr>
    </w:tblStylePr>
    <w:tblStylePr w:type="lastCol">
      <w:rPr>
        <w:b/>
        <w:bCs/>
        <w:i w:val="0"/>
        <w:iCs w:val="0"/>
        <w:color w:val="FFFFFF"/>
      </w:rPr>
      <w:tblPr>
        <w:tblStyle w:val="83"/>
      </w:tblPr>
      <w:tcPr>
        <w:tcBorders>
          <w:top w:val="nil"/>
          <w:left w:val="nil"/>
          <w:bottom w:val="single" w:color="CCE8CF" w:sz="24" w:space="0"/>
          <w:right w:val="nil"/>
          <w:insideH w:val="nil"/>
          <w:insideV w:val="nil"/>
          <w:tl2br w:val="nil"/>
          <w:tr2bl w:val="nil"/>
        </w:tcBorders>
        <w:shd w:val="clear" w:color="auto" w:fill="000000"/>
      </w:tcPr>
    </w:tblStylePr>
    <w:tblStylePr w:type="band1Vert">
      <w:tblPr>
        <w:tblStyle w:val="83"/>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808080"/>
      </w:tcPr>
    </w:tblStylePr>
    <w:tblStylePr w:type="band1Horz">
      <w:tblPr>
        <w:tblStyle w:val="83"/>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808080"/>
      </w:tcPr>
    </w:tblStylePr>
  </w:style>
  <w:style w:type="table" w:styleId="86">
    <w:name w:val="Medium Grid 3 Accent 1"/>
    <w:basedOn w:val="83"/>
    <w:uiPriority w:val="0"/>
    <w:rPr>
      <w:rFonts w:ascii="Times New Roman" w:hAnsi="Times New Roman" w:eastAsia="宋体" w:cs="Times New Roman"/>
    </w:rPr>
    <w:tblPr>
      <w:tblStyle w:val="83"/>
      <w:tblStyleRowBandSize w:val="1"/>
      <w:tblStyleColBandSize w:val="1"/>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3DFEE"/>
    </w:tcPr>
    <w:tblStylePr w:type="firstRow">
      <w:rPr>
        <w:b/>
        <w:bCs/>
        <w:i w:val="0"/>
        <w:iCs w:val="0"/>
        <w:color w:val="FFFFFF"/>
      </w:rPr>
      <w:tblPr>
        <w:tblStyle w:val="83"/>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4F81BD"/>
      </w:tcPr>
    </w:tblStylePr>
    <w:tblStylePr w:type="lastRow">
      <w:rPr>
        <w:b/>
        <w:bCs/>
        <w:i w:val="0"/>
        <w:iCs w:val="0"/>
        <w:color w:val="FFFFFF"/>
      </w:rPr>
      <w:tblPr>
        <w:tblStyle w:val="83"/>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4F81BD"/>
      </w:tcPr>
    </w:tblStylePr>
    <w:tblStylePr w:type="firstCol">
      <w:rPr>
        <w:b/>
        <w:bCs/>
        <w:i w:val="0"/>
        <w:iCs w:val="0"/>
        <w:color w:val="FFFFFF"/>
      </w:rPr>
      <w:tblPr>
        <w:tblStyle w:val="83"/>
      </w:tblPr>
      <w:tcPr>
        <w:tcBorders>
          <w:top w:val="nil"/>
          <w:left w:val="nil"/>
          <w:bottom w:val="single" w:color="CCE8CF" w:sz="8" w:space="0"/>
          <w:right w:val="single" w:color="CCE8CF" w:sz="24" w:space="0"/>
          <w:insideH w:val="nil"/>
          <w:insideV w:val="nil"/>
          <w:tl2br w:val="nil"/>
          <w:tr2bl w:val="nil"/>
        </w:tcBorders>
        <w:shd w:val="clear" w:color="auto" w:fill="4F81BD"/>
      </w:tcPr>
    </w:tblStylePr>
    <w:tblStylePr w:type="lastCol">
      <w:rPr>
        <w:b/>
        <w:bCs/>
        <w:i w:val="0"/>
        <w:iCs w:val="0"/>
        <w:color w:val="FFFFFF"/>
      </w:rPr>
      <w:tblPr>
        <w:tblStyle w:val="83"/>
      </w:tblPr>
      <w:tcPr>
        <w:tcBorders>
          <w:top w:val="nil"/>
          <w:left w:val="nil"/>
          <w:bottom w:val="single" w:color="CCE8CF" w:sz="24" w:space="0"/>
          <w:right w:val="nil"/>
          <w:insideH w:val="nil"/>
          <w:insideV w:val="nil"/>
          <w:tl2br w:val="nil"/>
          <w:tr2bl w:val="nil"/>
        </w:tcBorders>
        <w:shd w:val="clear" w:color="auto" w:fill="4F81BD"/>
      </w:tcPr>
    </w:tblStylePr>
    <w:tblStylePr w:type="band1Vert">
      <w:tblPr>
        <w:tblStyle w:val="83"/>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A7BFDE"/>
      </w:tcPr>
    </w:tblStylePr>
    <w:tblStylePr w:type="band1Horz">
      <w:tblPr>
        <w:tblStyle w:val="83"/>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A7BFDE"/>
      </w:tcPr>
    </w:tblStylePr>
  </w:style>
  <w:style w:type="table" w:styleId="87">
    <w:name w:val="Medium Grid 3 Accent 2"/>
    <w:basedOn w:val="83"/>
    <w:uiPriority w:val="0"/>
    <w:rPr>
      <w:rFonts w:ascii="Times New Roman" w:hAnsi="Times New Roman" w:eastAsia="宋体" w:cs="Times New Roman"/>
    </w:rPr>
    <w:tblPr>
      <w:tblStyle w:val="83"/>
      <w:tblStyleRowBandSize w:val="1"/>
      <w:tblStyleColBandSize w:val="1"/>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FD3D2"/>
    </w:tcPr>
    <w:tblStylePr w:type="firstRow">
      <w:rPr>
        <w:b/>
        <w:bCs/>
        <w:i w:val="0"/>
        <w:iCs w:val="0"/>
        <w:color w:val="FFFFFF"/>
      </w:rPr>
      <w:tblPr>
        <w:tblStyle w:val="83"/>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C0504D"/>
      </w:tcPr>
    </w:tblStylePr>
    <w:tblStylePr w:type="lastRow">
      <w:rPr>
        <w:b/>
        <w:bCs/>
        <w:i w:val="0"/>
        <w:iCs w:val="0"/>
        <w:color w:val="FFFFFF"/>
      </w:rPr>
      <w:tblPr>
        <w:tblStyle w:val="83"/>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C0504D"/>
      </w:tcPr>
    </w:tblStylePr>
    <w:tblStylePr w:type="firstCol">
      <w:rPr>
        <w:b/>
        <w:bCs/>
        <w:i w:val="0"/>
        <w:iCs w:val="0"/>
        <w:color w:val="FFFFFF"/>
      </w:rPr>
      <w:tblPr>
        <w:tblStyle w:val="83"/>
      </w:tblPr>
      <w:tcPr>
        <w:tcBorders>
          <w:top w:val="nil"/>
          <w:left w:val="nil"/>
          <w:bottom w:val="single" w:color="CCE8CF" w:sz="8" w:space="0"/>
          <w:right w:val="single" w:color="CCE8CF" w:sz="24" w:space="0"/>
          <w:insideH w:val="nil"/>
          <w:insideV w:val="nil"/>
          <w:tl2br w:val="nil"/>
          <w:tr2bl w:val="nil"/>
        </w:tcBorders>
        <w:shd w:val="clear" w:color="auto" w:fill="C0504D"/>
      </w:tcPr>
    </w:tblStylePr>
    <w:tblStylePr w:type="lastCol">
      <w:rPr>
        <w:b/>
        <w:bCs/>
        <w:i w:val="0"/>
        <w:iCs w:val="0"/>
        <w:color w:val="FFFFFF"/>
      </w:rPr>
      <w:tblPr>
        <w:tblStyle w:val="83"/>
      </w:tblPr>
      <w:tcPr>
        <w:tcBorders>
          <w:top w:val="nil"/>
          <w:left w:val="nil"/>
          <w:bottom w:val="single" w:color="CCE8CF" w:sz="24" w:space="0"/>
          <w:right w:val="nil"/>
          <w:insideH w:val="nil"/>
          <w:insideV w:val="nil"/>
          <w:tl2br w:val="nil"/>
          <w:tr2bl w:val="nil"/>
        </w:tcBorders>
        <w:shd w:val="clear" w:color="auto" w:fill="C0504D"/>
      </w:tcPr>
    </w:tblStylePr>
    <w:tblStylePr w:type="band1Vert">
      <w:tblPr>
        <w:tblStyle w:val="83"/>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DFA7A6"/>
      </w:tcPr>
    </w:tblStylePr>
    <w:tblStylePr w:type="band1Horz">
      <w:tblPr>
        <w:tblStyle w:val="83"/>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DFA7A6"/>
      </w:tcPr>
    </w:tblStylePr>
  </w:style>
  <w:style w:type="table" w:styleId="88">
    <w:name w:val="Medium Grid 3 Accent 3"/>
    <w:basedOn w:val="83"/>
    <w:uiPriority w:val="0"/>
    <w:rPr>
      <w:rFonts w:ascii="Times New Roman" w:hAnsi="Times New Roman" w:eastAsia="宋体" w:cs="Times New Roman"/>
    </w:rPr>
    <w:tblPr>
      <w:tblStyle w:val="83"/>
      <w:tblStyleRowBandSize w:val="1"/>
      <w:tblStyleColBandSize w:val="1"/>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6EED5"/>
    </w:tcPr>
    <w:tblStylePr w:type="firstRow">
      <w:rPr>
        <w:b/>
        <w:bCs/>
        <w:i w:val="0"/>
        <w:iCs w:val="0"/>
        <w:color w:val="FFFFFF"/>
      </w:rPr>
      <w:tblPr>
        <w:tblStyle w:val="83"/>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9BBB59"/>
      </w:tcPr>
    </w:tblStylePr>
    <w:tblStylePr w:type="lastRow">
      <w:rPr>
        <w:b/>
        <w:bCs/>
        <w:i w:val="0"/>
        <w:iCs w:val="0"/>
        <w:color w:val="FFFFFF"/>
      </w:rPr>
      <w:tblPr>
        <w:tblStyle w:val="83"/>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9BBB59"/>
      </w:tcPr>
    </w:tblStylePr>
    <w:tblStylePr w:type="firstCol">
      <w:rPr>
        <w:b/>
        <w:bCs/>
        <w:i w:val="0"/>
        <w:iCs w:val="0"/>
        <w:color w:val="FFFFFF"/>
      </w:rPr>
      <w:tblPr>
        <w:tblStyle w:val="83"/>
      </w:tblPr>
      <w:tcPr>
        <w:tcBorders>
          <w:top w:val="nil"/>
          <w:left w:val="nil"/>
          <w:bottom w:val="single" w:color="CCE8CF" w:sz="8" w:space="0"/>
          <w:right w:val="single" w:color="CCE8CF" w:sz="24" w:space="0"/>
          <w:insideH w:val="nil"/>
          <w:insideV w:val="nil"/>
          <w:tl2br w:val="nil"/>
          <w:tr2bl w:val="nil"/>
        </w:tcBorders>
        <w:shd w:val="clear" w:color="auto" w:fill="9BBB59"/>
      </w:tcPr>
    </w:tblStylePr>
    <w:tblStylePr w:type="lastCol">
      <w:rPr>
        <w:b/>
        <w:bCs/>
        <w:i w:val="0"/>
        <w:iCs w:val="0"/>
        <w:color w:val="FFFFFF"/>
      </w:rPr>
      <w:tblPr>
        <w:tblStyle w:val="83"/>
      </w:tblPr>
      <w:tcPr>
        <w:tcBorders>
          <w:top w:val="nil"/>
          <w:left w:val="nil"/>
          <w:bottom w:val="single" w:color="CCE8CF" w:sz="24" w:space="0"/>
          <w:right w:val="nil"/>
          <w:insideH w:val="nil"/>
          <w:insideV w:val="nil"/>
          <w:tl2br w:val="nil"/>
          <w:tr2bl w:val="nil"/>
        </w:tcBorders>
        <w:shd w:val="clear" w:color="auto" w:fill="9BBB59"/>
      </w:tcPr>
    </w:tblStylePr>
    <w:tblStylePr w:type="band1Vert">
      <w:tblPr>
        <w:tblStyle w:val="83"/>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CDDDAC"/>
      </w:tcPr>
    </w:tblStylePr>
    <w:tblStylePr w:type="band1Horz">
      <w:tblPr>
        <w:tblStyle w:val="83"/>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CDDDAC"/>
      </w:tcPr>
    </w:tblStylePr>
  </w:style>
  <w:style w:type="table" w:styleId="89">
    <w:name w:val="Medium Grid 3 Accent 4"/>
    <w:basedOn w:val="83"/>
    <w:uiPriority w:val="0"/>
    <w:rPr>
      <w:rFonts w:ascii="Times New Roman" w:hAnsi="Times New Roman" w:eastAsia="宋体" w:cs="Times New Roman"/>
    </w:rPr>
    <w:tblPr>
      <w:tblStyle w:val="83"/>
      <w:tblStyleRowBandSize w:val="1"/>
      <w:tblStyleColBandSize w:val="1"/>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FD8E8"/>
    </w:tcPr>
    <w:tblStylePr w:type="firstRow">
      <w:rPr>
        <w:b/>
        <w:bCs/>
        <w:i w:val="0"/>
        <w:iCs w:val="0"/>
        <w:color w:val="FFFFFF"/>
      </w:rPr>
      <w:tblPr>
        <w:tblStyle w:val="83"/>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8064A2"/>
      </w:tcPr>
    </w:tblStylePr>
    <w:tblStylePr w:type="lastRow">
      <w:rPr>
        <w:b/>
        <w:bCs/>
        <w:i w:val="0"/>
        <w:iCs w:val="0"/>
        <w:color w:val="FFFFFF"/>
      </w:rPr>
      <w:tblPr>
        <w:tblStyle w:val="83"/>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8064A2"/>
      </w:tcPr>
    </w:tblStylePr>
    <w:tblStylePr w:type="firstCol">
      <w:rPr>
        <w:b/>
        <w:bCs/>
        <w:i w:val="0"/>
        <w:iCs w:val="0"/>
        <w:color w:val="FFFFFF"/>
      </w:rPr>
      <w:tblPr>
        <w:tblStyle w:val="83"/>
      </w:tblPr>
      <w:tcPr>
        <w:tcBorders>
          <w:top w:val="nil"/>
          <w:left w:val="nil"/>
          <w:bottom w:val="single" w:color="CCE8CF" w:sz="8" w:space="0"/>
          <w:right w:val="single" w:color="CCE8CF" w:sz="24" w:space="0"/>
          <w:insideH w:val="nil"/>
          <w:insideV w:val="nil"/>
          <w:tl2br w:val="nil"/>
          <w:tr2bl w:val="nil"/>
        </w:tcBorders>
        <w:shd w:val="clear" w:color="auto" w:fill="8064A2"/>
      </w:tcPr>
    </w:tblStylePr>
    <w:tblStylePr w:type="lastCol">
      <w:rPr>
        <w:b/>
        <w:bCs/>
        <w:i w:val="0"/>
        <w:iCs w:val="0"/>
        <w:color w:val="FFFFFF"/>
      </w:rPr>
      <w:tblPr>
        <w:tblStyle w:val="83"/>
      </w:tblPr>
      <w:tcPr>
        <w:tcBorders>
          <w:top w:val="nil"/>
          <w:left w:val="nil"/>
          <w:bottom w:val="single" w:color="CCE8CF" w:sz="24" w:space="0"/>
          <w:right w:val="nil"/>
          <w:insideH w:val="nil"/>
          <w:insideV w:val="nil"/>
          <w:tl2br w:val="nil"/>
          <w:tr2bl w:val="nil"/>
        </w:tcBorders>
        <w:shd w:val="clear" w:color="auto" w:fill="8064A2"/>
      </w:tcPr>
    </w:tblStylePr>
    <w:tblStylePr w:type="band1Vert">
      <w:tblPr>
        <w:tblStyle w:val="83"/>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BFB1D0"/>
      </w:tcPr>
    </w:tblStylePr>
    <w:tblStylePr w:type="band1Horz">
      <w:tblPr>
        <w:tblStyle w:val="83"/>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BFB1D0"/>
      </w:tcPr>
    </w:tblStylePr>
  </w:style>
  <w:style w:type="table" w:styleId="90">
    <w:name w:val="Medium Grid 3 Accent 5"/>
    <w:basedOn w:val="83"/>
    <w:uiPriority w:val="0"/>
    <w:rPr>
      <w:rFonts w:ascii="Times New Roman" w:hAnsi="Times New Roman" w:eastAsia="宋体" w:cs="Times New Roman"/>
    </w:rPr>
    <w:tblPr>
      <w:tblStyle w:val="83"/>
      <w:tblStyleRowBandSize w:val="1"/>
      <w:tblStyleColBandSize w:val="1"/>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2EAF1"/>
    </w:tcPr>
    <w:tblStylePr w:type="firstRow">
      <w:rPr>
        <w:b/>
        <w:bCs/>
        <w:i w:val="0"/>
        <w:iCs w:val="0"/>
        <w:color w:val="FFFFFF"/>
      </w:rPr>
      <w:tblPr>
        <w:tblStyle w:val="83"/>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4BACC6"/>
      </w:tcPr>
    </w:tblStylePr>
    <w:tblStylePr w:type="lastRow">
      <w:rPr>
        <w:b/>
        <w:bCs/>
        <w:i w:val="0"/>
        <w:iCs w:val="0"/>
        <w:color w:val="FFFFFF"/>
      </w:rPr>
      <w:tblPr>
        <w:tblStyle w:val="83"/>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4BACC6"/>
      </w:tcPr>
    </w:tblStylePr>
    <w:tblStylePr w:type="firstCol">
      <w:rPr>
        <w:b/>
        <w:bCs/>
        <w:i w:val="0"/>
        <w:iCs w:val="0"/>
        <w:color w:val="FFFFFF"/>
      </w:rPr>
      <w:tblPr>
        <w:tblStyle w:val="83"/>
      </w:tblPr>
      <w:tcPr>
        <w:tcBorders>
          <w:top w:val="nil"/>
          <w:left w:val="nil"/>
          <w:bottom w:val="single" w:color="CCE8CF" w:sz="8" w:space="0"/>
          <w:right w:val="single" w:color="CCE8CF" w:sz="24" w:space="0"/>
          <w:insideH w:val="nil"/>
          <w:insideV w:val="nil"/>
          <w:tl2br w:val="nil"/>
          <w:tr2bl w:val="nil"/>
        </w:tcBorders>
        <w:shd w:val="clear" w:color="auto" w:fill="4BACC6"/>
      </w:tcPr>
    </w:tblStylePr>
    <w:tblStylePr w:type="lastCol">
      <w:rPr>
        <w:b/>
        <w:bCs/>
        <w:i w:val="0"/>
        <w:iCs w:val="0"/>
        <w:color w:val="FFFFFF"/>
      </w:rPr>
      <w:tblPr>
        <w:tblStyle w:val="83"/>
      </w:tblPr>
      <w:tcPr>
        <w:tcBorders>
          <w:top w:val="nil"/>
          <w:left w:val="nil"/>
          <w:bottom w:val="single" w:color="CCE8CF" w:sz="24" w:space="0"/>
          <w:right w:val="nil"/>
          <w:insideH w:val="nil"/>
          <w:insideV w:val="nil"/>
          <w:tl2br w:val="nil"/>
          <w:tr2bl w:val="nil"/>
        </w:tcBorders>
        <w:shd w:val="clear" w:color="auto" w:fill="4BACC6"/>
      </w:tcPr>
    </w:tblStylePr>
    <w:tblStylePr w:type="band1Vert">
      <w:tblPr>
        <w:tblStyle w:val="83"/>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A5D5E2"/>
      </w:tcPr>
    </w:tblStylePr>
    <w:tblStylePr w:type="band1Horz">
      <w:tblPr>
        <w:tblStyle w:val="83"/>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A5D5E2"/>
      </w:tcPr>
    </w:tblStylePr>
  </w:style>
  <w:style w:type="table" w:styleId="91">
    <w:name w:val="Medium Grid 3 Accent 6"/>
    <w:basedOn w:val="83"/>
    <w:uiPriority w:val="0"/>
    <w:rPr>
      <w:rFonts w:ascii="Times New Roman" w:hAnsi="Times New Roman" w:eastAsia="宋体" w:cs="Times New Roman"/>
    </w:rPr>
    <w:tblPr>
      <w:tblStyle w:val="83"/>
      <w:tblStyleRowBandSize w:val="1"/>
      <w:tblStyleColBandSize w:val="1"/>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FDE4D0"/>
    </w:tcPr>
    <w:tblStylePr w:type="firstRow">
      <w:rPr>
        <w:b/>
        <w:bCs/>
        <w:i w:val="0"/>
        <w:iCs w:val="0"/>
        <w:color w:val="FFFFFF"/>
      </w:rPr>
      <w:tblPr>
        <w:tblStyle w:val="83"/>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F79646"/>
      </w:tcPr>
    </w:tblStylePr>
    <w:tblStylePr w:type="lastRow">
      <w:rPr>
        <w:b/>
        <w:bCs/>
        <w:i w:val="0"/>
        <w:iCs w:val="0"/>
        <w:color w:val="FFFFFF"/>
      </w:rPr>
      <w:tblPr>
        <w:tblStyle w:val="83"/>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F79646"/>
      </w:tcPr>
    </w:tblStylePr>
    <w:tblStylePr w:type="firstCol">
      <w:rPr>
        <w:b/>
        <w:bCs/>
        <w:i w:val="0"/>
        <w:iCs w:val="0"/>
        <w:color w:val="FFFFFF"/>
      </w:rPr>
      <w:tblPr>
        <w:tblStyle w:val="83"/>
      </w:tblPr>
      <w:tcPr>
        <w:tcBorders>
          <w:top w:val="nil"/>
          <w:left w:val="nil"/>
          <w:bottom w:val="single" w:color="CCE8CF" w:sz="8" w:space="0"/>
          <w:right w:val="single" w:color="CCE8CF" w:sz="24" w:space="0"/>
          <w:insideH w:val="nil"/>
          <w:insideV w:val="nil"/>
          <w:tl2br w:val="nil"/>
          <w:tr2bl w:val="nil"/>
        </w:tcBorders>
        <w:shd w:val="clear" w:color="auto" w:fill="F79646"/>
      </w:tcPr>
    </w:tblStylePr>
    <w:tblStylePr w:type="lastCol">
      <w:rPr>
        <w:b/>
        <w:bCs/>
        <w:i w:val="0"/>
        <w:iCs w:val="0"/>
        <w:color w:val="FFFFFF"/>
      </w:rPr>
      <w:tblPr>
        <w:tblStyle w:val="83"/>
      </w:tblPr>
      <w:tcPr>
        <w:tcBorders>
          <w:top w:val="nil"/>
          <w:left w:val="nil"/>
          <w:bottom w:val="single" w:color="CCE8CF" w:sz="24" w:space="0"/>
          <w:right w:val="nil"/>
          <w:insideH w:val="nil"/>
          <w:insideV w:val="nil"/>
          <w:tl2br w:val="nil"/>
          <w:tr2bl w:val="nil"/>
        </w:tcBorders>
        <w:shd w:val="clear" w:color="auto" w:fill="F79646"/>
      </w:tcPr>
    </w:tblStylePr>
    <w:tblStylePr w:type="band1Vert">
      <w:tblPr>
        <w:tblStyle w:val="83"/>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FBCAA2"/>
      </w:tcPr>
    </w:tblStylePr>
    <w:tblStylePr w:type="band1Horz">
      <w:tblPr>
        <w:tblStyle w:val="83"/>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FBCAA2"/>
      </w:tcPr>
    </w:tblStylePr>
  </w:style>
  <w:style w:type="character" w:styleId="93">
    <w:name w:val="Strong"/>
    <w:qFormat/>
    <w:uiPriority w:val="0"/>
    <w:rPr>
      <w:rFonts w:ascii="Times New Roman" w:hAnsi="Times New Roman" w:eastAsia="宋体" w:cs="Times New Roman"/>
      <w:b/>
      <w:bCs/>
    </w:rPr>
  </w:style>
  <w:style w:type="character" w:styleId="94">
    <w:name w:val="page number"/>
    <w:uiPriority w:val="0"/>
    <w:rPr>
      <w:rFonts w:ascii="Times New Roman" w:hAnsi="Times New Roman" w:eastAsia="宋体"/>
    </w:rPr>
  </w:style>
  <w:style w:type="character" w:styleId="95">
    <w:name w:val="FollowedHyperlink"/>
    <w:uiPriority w:val="0"/>
    <w:rPr>
      <w:rFonts w:ascii="Times New Roman" w:hAnsi="Times New Roman" w:eastAsia="宋体" w:cs="Times New Roman"/>
      <w:color w:val="800080"/>
      <w:u w:val="single"/>
    </w:rPr>
  </w:style>
  <w:style w:type="character" w:styleId="96">
    <w:name w:val="Emphasis"/>
    <w:qFormat/>
    <w:uiPriority w:val="0"/>
    <w:rPr>
      <w:rFonts w:ascii="Arial Black" w:hAnsi="Arial Black" w:eastAsia="黑体" w:cs="Times New Roman"/>
      <w:b/>
      <w:spacing w:val="0"/>
      <w:sz w:val="21"/>
    </w:rPr>
  </w:style>
  <w:style w:type="character" w:styleId="97">
    <w:name w:val="Hyperlink"/>
    <w:uiPriority w:val="99"/>
    <w:rPr>
      <w:rFonts w:ascii="Times New Roman" w:hAnsi="Times New Roman" w:eastAsia="宋体" w:cs="Times New Roman"/>
      <w:color w:val="0000FF"/>
      <w:u w:val="single"/>
    </w:rPr>
  </w:style>
  <w:style w:type="character" w:styleId="98">
    <w:name w:val="annotation reference"/>
    <w:uiPriority w:val="0"/>
    <w:rPr>
      <w:rFonts w:ascii="Times New Roman" w:hAnsi="Times New Roman" w:eastAsia="宋体" w:cs="Times New Roman"/>
      <w:sz w:val="21"/>
      <w:szCs w:val="21"/>
    </w:rPr>
  </w:style>
  <w:style w:type="character" w:styleId="99">
    <w:name w:val="footnote reference"/>
    <w:uiPriority w:val="0"/>
    <w:rPr>
      <w:rFonts w:ascii="Times New Roman" w:hAnsi="Times New Roman" w:eastAsia="宋体" w:cs="Times New Roman"/>
      <w:vertAlign w:val="superscript"/>
    </w:rPr>
  </w:style>
  <w:style w:type="character" w:customStyle="1" w:styleId="100">
    <w:name w:val="Title Char"/>
    <w:uiPriority w:val="0"/>
    <w:rPr>
      <w:rFonts w:ascii="Cambria" w:hAnsi="Cambria" w:eastAsia="宋体" w:cs="Times New Roman"/>
      <w:b/>
      <w:sz w:val="32"/>
      <w:lang w:bidi="ar-SA"/>
    </w:rPr>
  </w:style>
  <w:style w:type="character" w:customStyle="1" w:styleId="101">
    <w:name w:val=" Char Char24"/>
    <w:uiPriority w:val="0"/>
    <w:rPr>
      <w:rFonts w:ascii="Times New Roman" w:hAnsi="Times New Roman" w:eastAsia="宋体" w:cs="Times New Roman"/>
      <w:kern w:val="2"/>
      <w:sz w:val="18"/>
      <w:szCs w:val="18"/>
    </w:rPr>
  </w:style>
  <w:style w:type="character" w:customStyle="1" w:styleId="102">
    <w:name w:val="Char Char19"/>
    <w:uiPriority w:val="0"/>
    <w:rPr>
      <w:rFonts w:ascii="Arial" w:hAnsi="Arial" w:eastAsia="宋体" w:cs="Times New Roman"/>
      <w:b/>
      <w:bCs/>
      <w:szCs w:val="28"/>
    </w:rPr>
  </w:style>
  <w:style w:type="character" w:customStyle="1" w:styleId="103">
    <w:name w:val="Date Char"/>
    <w:uiPriority w:val="0"/>
    <w:rPr>
      <w:rFonts w:ascii="Times New Roman" w:hAnsi="Times New Roman" w:eastAsia="仿宋_GB2312" w:cs="Times New Roman"/>
      <w:color w:val="FF0000"/>
      <w:sz w:val="24"/>
      <w:szCs w:val="24"/>
    </w:rPr>
  </w:style>
  <w:style w:type="character" w:customStyle="1" w:styleId="104">
    <w:name w:val=" Char Char23"/>
    <w:uiPriority w:val="0"/>
    <w:rPr>
      <w:rFonts w:ascii="Times New Roman" w:hAnsi="Times New Roman" w:eastAsia="宋体" w:cs="Times New Roman"/>
      <w:kern w:val="2"/>
      <w:sz w:val="18"/>
      <w:szCs w:val="18"/>
    </w:rPr>
  </w:style>
  <w:style w:type="character" w:customStyle="1" w:styleId="105">
    <w:name w:val="批注主题 Char"/>
    <w:link w:val="80"/>
    <w:uiPriority w:val="0"/>
    <w:rPr>
      <w:rFonts w:ascii="Times New Roman" w:hAnsi="Times New Roman" w:eastAsia="宋体" w:cs="Times New Roman"/>
      <w:b/>
      <w:bCs/>
      <w:kern w:val="2"/>
      <w:sz w:val="24"/>
      <w:szCs w:val="24"/>
      <w:lang w:bidi="ar-SA"/>
    </w:rPr>
  </w:style>
  <w:style w:type="character" w:customStyle="1" w:styleId="106">
    <w:name w:val="牛元镇标题2 Char"/>
    <w:link w:val="107"/>
    <w:uiPriority w:val="0"/>
    <w:rPr>
      <w:rFonts w:ascii="Arial" w:hAnsi="Arial" w:eastAsia="宋体" w:cs="宋体"/>
      <w:color w:val="0000FF"/>
      <w:kern w:val="44"/>
      <w:sz w:val="24"/>
      <w:szCs w:val="24"/>
      <w:lang w:val="en-US" w:eastAsia="zh-CN" w:bidi="ar-SA"/>
    </w:rPr>
  </w:style>
  <w:style w:type="paragraph" w:customStyle="1" w:styleId="107">
    <w:name w:val="牛元镇标题2"/>
    <w:basedOn w:val="1"/>
    <w:link w:val="106"/>
    <w:uiPriority w:val="0"/>
    <w:pPr>
      <w:keepNext/>
      <w:keepLines/>
      <w:adjustRightInd w:val="0"/>
      <w:snapToGrid w:val="0"/>
      <w:spacing w:line="336" w:lineRule="auto"/>
      <w:ind w:right="240" w:rightChars="100" w:firstLine="280" w:firstLineChars="100"/>
      <w:textAlignment w:val="baseline"/>
      <w:outlineLvl w:val="0"/>
    </w:pPr>
    <w:rPr>
      <w:rFonts w:ascii="Arial" w:hAnsi="Arial" w:cs="宋体"/>
      <w:color w:val="0000FF"/>
      <w:kern w:val="44"/>
      <w:sz w:val="24"/>
    </w:rPr>
  </w:style>
  <w:style w:type="character" w:styleId="108">
    <w:name w:val=""/>
    <w:qFormat/>
    <w:uiPriority w:val="0"/>
    <w:rPr>
      <w:rFonts w:ascii="Times New Roman" w:hAnsi="Times New Roman" w:eastAsia="宋体" w:cs="Times New Roman"/>
      <w:b/>
      <w:i/>
      <w:sz w:val="24"/>
      <w:u w:val="single"/>
    </w:rPr>
  </w:style>
  <w:style w:type="character" w:customStyle="1" w:styleId="109">
    <w:name w:val="纯文本 Char3"/>
    <w:link w:val="42"/>
    <w:uiPriority w:val="0"/>
    <w:rPr>
      <w:rFonts w:ascii="宋体" w:hAnsi="Courier New" w:eastAsia="宋体" w:cs="Times New Roman"/>
      <w:kern w:val="2"/>
      <w:sz w:val="21"/>
      <w:lang w:val="en-US" w:eastAsia="zh-CN" w:bidi="ar-SA"/>
    </w:rPr>
  </w:style>
  <w:style w:type="character" w:customStyle="1" w:styleId="110">
    <w:name w:val="Char Char20"/>
    <w:uiPriority w:val="0"/>
    <w:rPr>
      <w:rFonts w:ascii="Times New Roman" w:hAnsi="Times New Roman" w:eastAsia="宋体" w:cs="Times New Roman"/>
      <w:b/>
      <w:bCs/>
      <w:sz w:val="24"/>
      <w:szCs w:val="32"/>
    </w:rPr>
  </w:style>
  <w:style w:type="character" w:customStyle="1" w:styleId="111">
    <w:name w:val="正文文字 Char Char"/>
    <w:uiPriority w:val="0"/>
    <w:rPr>
      <w:rFonts w:ascii="Times New Roman" w:hAnsi="Times New Roman" w:eastAsia="宋体" w:cs="Times New Roman"/>
      <w:sz w:val="28"/>
      <w:lang w:val="en-US" w:eastAsia="zh-CN" w:bidi="ar-SA"/>
    </w:rPr>
  </w:style>
  <w:style w:type="character" w:customStyle="1" w:styleId="112">
    <w:name w:val="标题 2 Char"/>
    <w:link w:val="3"/>
    <w:uiPriority w:val="0"/>
    <w:rPr>
      <w:rFonts w:ascii="Arial" w:hAnsi="Arial" w:eastAsia="黑体" w:cs="Times New Roman"/>
      <w:b/>
      <w:bCs/>
      <w:kern w:val="2"/>
      <w:sz w:val="21"/>
      <w:szCs w:val="32"/>
      <w:lang w:val="en-US" w:eastAsia="zh-CN" w:bidi="ar-SA"/>
    </w:rPr>
  </w:style>
  <w:style w:type="character" w:customStyle="1" w:styleId="113">
    <w:name w:val="内容 Char"/>
    <w:link w:val="114"/>
    <w:uiPriority w:val="0"/>
    <w:rPr>
      <w:rFonts w:ascii="Times New Roman" w:hAnsi="Times New Roman" w:eastAsia="宋体" w:cs="Times New Roman"/>
      <w:kern w:val="2"/>
      <w:sz w:val="28"/>
      <w:szCs w:val="28"/>
      <w:lang w:val="en-US" w:eastAsia="zh-CN" w:bidi="ar-SA"/>
    </w:rPr>
  </w:style>
  <w:style w:type="paragraph" w:customStyle="1" w:styleId="114">
    <w:name w:val="内容"/>
    <w:basedOn w:val="1"/>
    <w:link w:val="113"/>
    <w:uiPriority w:val="0"/>
    <w:pPr>
      <w:adjustRightInd w:val="0"/>
      <w:snapToGrid w:val="0"/>
      <w:spacing w:line="360" w:lineRule="auto"/>
      <w:ind w:left="280" w:leftChars="100" w:right="280" w:rightChars="100" w:firstLine="560" w:firstLineChars="200"/>
    </w:pPr>
    <w:rPr>
      <w:sz w:val="28"/>
      <w:szCs w:val="28"/>
    </w:rPr>
  </w:style>
  <w:style w:type="character" w:customStyle="1" w:styleId="115">
    <w:name w:val="1.1标题 2 Char Char"/>
    <w:uiPriority w:val="0"/>
    <w:rPr>
      <w:rFonts w:ascii="黑体" w:hAnsi="Verdana" w:eastAsia="黑体" w:cs="Times New Roman"/>
      <w:b/>
      <w:bCs/>
      <w:snapToGrid w:val="0"/>
      <w:kern w:val="2"/>
      <w:sz w:val="30"/>
      <w:szCs w:val="28"/>
      <w:lang w:val="en-US" w:eastAsia="zh-CN" w:bidi="ar-SA"/>
    </w:rPr>
  </w:style>
  <w:style w:type="character" w:customStyle="1" w:styleId="116">
    <w:name w:val=" Char Char33"/>
    <w:uiPriority w:val="0"/>
    <w:rPr>
      <w:rFonts w:ascii="Times New Roman" w:hAnsi="Times New Roman" w:eastAsia="宋体" w:cs="Times New Roman"/>
      <w:b/>
      <w:bCs/>
      <w:kern w:val="44"/>
      <w:sz w:val="44"/>
      <w:szCs w:val="44"/>
      <w:lang w:val="en-US" w:eastAsia="zh-CN" w:bidi="ar-SA"/>
    </w:rPr>
  </w:style>
  <w:style w:type="character" w:customStyle="1" w:styleId="117">
    <w:name w:val="正文文本 3 Char"/>
    <w:link w:val="29"/>
    <w:uiPriority w:val="0"/>
    <w:rPr>
      <w:rFonts w:ascii="Times New Roman" w:hAnsi="Times New Roman" w:eastAsia="宋体" w:cs="Times New Roman"/>
      <w:kern w:val="2"/>
      <w:sz w:val="16"/>
      <w:szCs w:val="16"/>
      <w:lang w:val="en-US" w:eastAsia="zh-CN" w:bidi="ar-SA"/>
    </w:rPr>
  </w:style>
  <w:style w:type="character" w:customStyle="1" w:styleId="118">
    <w:name w:val="批注文字 Char"/>
    <w:uiPriority w:val="0"/>
    <w:rPr>
      <w:rFonts w:ascii="Times New Roman" w:hAnsi="Times New Roman" w:eastAsia="宋体" w:cs="Times New Roman"/>
      <w:kern w:val="2"/>
      <w:sz w:val="21"/>
      <w:szCs w:val="24"/>
    </w:rPr>
  </w:style>
  <w:style w:type="character" w:customStyle="1" w:styleId="119">
    <w:name w:val=" Char Char14"/>
    <w:uiPriority w:val="0"/>
    <w:rPr>
      <w:rFonts w:ascii="Times New Roman" w:hAnsi="Times New Roman" w:eastAsia="宋体" w:cs="Times New Roman"/>
      <w:kern w:val="2"/>
      <w:sz w:val="28"/>
      <w:lang w:val="en-US" w:eastAsia="zh-CN"/>
    </w:rPr>
  </w:style>
  <w:style w:type="character" w:styleId="120">
    <w:name w:val=""/>
    <w:qFormat/>
    <w:uiPriority w:val="0"/>
    <w:rPr>
      <w:rFonts w:ascii="Times New Roman" w:hAnsi="Times New Roman" w:eastAsia="宋体" w:cs="Times New Roman"/>
      <w:i/>
      <w:color w:val="5A5A5A"/>
    </w:rPr>
  </w:style>
  <w:style w:type="character" w:customStyle="1" w:styleId="121">
    <w:name w:val="纯文本 Char Char Char2"/>
    <w:aliases w:val="纯文本 Char Char Char Char Char Char2,纯文本 Char Char Char Char Char3"/>
    <w:uiPriority w:val="0"/>
    <w:rPr>
      <w:rFonts w:ascii="宋体" w:hAnsi="Plotter" w:eastAsia="宋体" w:cs="Times New Roman"/>
      <w:kern w:val="2"/>
      <w:sz w:val="21"/>
      <w:lang w:val="en-US" w:eastAsia="zh-CN" w:bidi="ar-SA"/>
    </w:rPr>
  </w:style>
  <w:style w:type="character" w:customStyle="1" w:styleId="122">
    <w:name w:val="图名 Char"/>
    <w:uiPriority w:val="0"/>
    <w:rPr>
      <w:rFonts w:ascii="楷体_GB2312" w:hAnsi="宋体" w:eastAsia="楷体_GB2312" w:cs="Times New Roman"/>
      <w:kern w:val="2"/>
      <w:sz w:val="21"/>
      <w:szCs w:val="24"/>
      <w:lang w:val="en-US" w:eastAsia="zh-CN" w:bidi="ar-SA"/>
    </w:rPr>
  </w:style>
  <w:style w:type="character" w:customStyle="1" w:styleId="123">
    <w:name w:val="Char Char22"/>
    <w:uiPriority w:val="0"/>
    <w:rPr>
      <w:rFonts w:ascii="Times New Roman" w:hAnsi="Times New Roman" w:eastAsia="宋体" w:cs="Times New Roman"/>
      <w:b/>
      <w:bCs/>
      <w:kern w:val="44"/>
      <w:sz w:val="32"/>
      <w:szCs w:val="44"/>
    </w:rPr>
  </w:style>
  <w:style w:type="character" w:customStyle="1" w:styleId="124">
    <w:name w:val="标题03 Char1"/>
    <w:aliases w:val="1.1.1 Char1,Level 3 Head Char1,H3 Char1,level_3 Char1,PIM 3 Char1,h3 Char1,3 Char1,3rd level Char1,l3 Char1,list 3 Char1,Head 3 Char,CT Char,条标题 Char,Otsikko 3 Char,Heading Char,标题 3 Char Char Char,标题 3 Char Char1,1.1.1 Char Char,H3 Char Char"/>
    <w:uiPriority w:val="0"/>
    <w:rPr>
      <w:rFonts w:ascii="Times New Roman" w:hAnsi="Times New Roman" w:eastAsia="宋体" w:cs="Times New Roman"/>
      <w:b/>
      <w:bCs/>
      <w:kern w:val="2"/>
      <w:sz w:val="32"/>
      <w:szCs w:val="32"/>
      <w:lang w:val="en-US" w:eastAsia="zh-CN" w:bidi="ar-SA"/>
    </w:rPr>
  </w:style>
  <w:style w:type="character" w:customStyle="1" w:styleId="125">
    <w:name w:val="正文手行缩进2字 Char"/>
    <w:uiPriority w:val="0"/>
    <w:rPr>
      <w:rFonts w:ascii="Times New Roman" w:hAnsi="Times New Roman" w:eastAsia="宋体" w:cs="Times New Roman"/>
      <w:kern w:val="2"/>
      <w:sz w:val="28"/>
      <w:szCs w:val="28"/>
      <w:lang w:val="en-US" w:eastAsia="zh-CN" w:bidi="ar-SA"/>
    </w:rPr>
  </w:style>
  <w:style w:type="character" w:customStyle="1" w:styleId="126">
    <w:name w:val="批注文字 Char3"/>
    <w:link w:val="26"/>
    <w:uiPriority w:val="0"/>
    <w:rPr>
      <w:rFonts w:ascii="Times New Roman" w:hAnsi="Times New Roman" w:eastAsia="宋体" w:cs="Times New Roman"/>
      <w:kern w:val="2"/>
      <w:sz w:val="21"/>
      <w:szCs w:val="24"/>
      <w:lang w:val="en-US" w:eastAsia="zh-CN" w:bidi="ar-SA"/>
    </w:rPr>
  </w:style>
  <w:style w:type="character" w:customStyle="1" w:styleId="127">
    <w:name w:val="标题 3 Char Char Char Char Char"/>
    <w:uiPriority w:val="0"/>
    <w:rPr>
      <w:rFonts w:ascii="仿宋_GB2312" w:hAnsi="Verdana" w:eastAsia="仿宋_GB2312" w:cs="Times New Roman"/>
      <w:b/>
      <w:bCs/>
      <w:snapToGrid w:val="0"/>
      <w:sz w:val="28"/>
      <w:szCs w:val="28"/>
      <w:lang w:val="en-US" w:eastAsia="en-US" w:bidi="ar-SA"/>
    </w:rPr>
  </w:style>
  <w:style w:type="character" w:customStyle="1" w:styleId="128">
    <w:name w:val="标题 Char2"/>
    <w:uiPriority w:val="0"/>
    <w:rPr>
      <w:rFonts w:ascii="Cambria" w:hAnsi="Cambria" w:eastAsia="宋体" w:cs="Times New Roman"/>
      <w:b/>
      <w:bCs/>
      <w:sz w:val="32"/>
      <w:szCs w:val="32"/>
    </w:rPr>
  </w:style>
  <w:style w:type="character" w:customStyle="1" w:styleId="129">
    <w:name w:val="标题5 Char Char"/>
    <w:link w:val="130"/>
    <w:uiPriority w:val="0"/>
    <w:rPr>
      <w:rFonts w:ascii="Arial" w:hAnsi="Arial" w:eastAsia="宋体" w:cs="Times New Roman"/>
      <w:b/>
      <w:bCs/>
      <w:sz w:val="24"/>
      <w:szCs w:val="32"/>
      <w:lang w:bidi="ar-SA"/>
    </w:rPr>
  </w:style>
  <w:style w:type="paragraph" w:customStyle="1" w:styleId="130">
    <w:name w:val="标题5"/>
    <w:basedOn w:val="4"/>
    <w:link w:val="129"/>
    <w:uiPriority w:val="0"/>
    <w:pPr>
      <w:spacing w:line="413" w:lineRule="auto"/>
    </w:pPr>
    <w:rPr>
      <w:rFonts w:ascii="Arial" w:hAnsi="Arial"/>
      <w:kern w:val="0"/>
      <w:sz w:val="24"/>
    </w:rPr>
  </w:style>
  <w:style w:type="character" w:customStyle="1" w:styleId="131">
    <w:name w:val="标题 5 Char"/>
    <w:aliases w:val="MB5 Char,b5 Char,Cover Page Howden Title Char,标题1.1.1.1.1 Char,H5 Char,. (1.) Char"/>
    <w:link w:val="132"/>
    <w:uiPriority w:val="0"/>
    <w:rPr>
      <w:rFonts w:ascii="Times New Roman" w:hAnsi="Times New Roman" w:eastAsia="宋体" w:cs="Times New Roman"/>
      <w:b/>
      <w:sz w:val="28"/>
      <w:lang w:bidi="ar-SA"/>
    </w:rPr>
  </w:style>
  <w:style w:type="paragraph" w:customStyle="1" w:styleId="132">
    <w:name w:val="heading 5"/>
    <w:basedOn w:val="1"/>
    <w:next w:val="133"/>
    <w:link w:val="131"/>
    <w:uiPriority w:val="0"/>
    <w:pPr>
      <w:tabs>
        <w:tab w:val="left" w:pos="-709"/>
        <w:tab w:val="left" w:pos="284"/>
        <w:tab w:val="left" w:pos="851"/>
      </w:tabs>
      <w:snapToGrid w:val="0"/>
      <w:spacing w:line="300" w:lineRule="auto"/>
      <w:ind w:left="2520" w:hanging="420"/>
      <w:textAlignment w:val="baseline"/>
      <w:outlineLvl w:val="4"/>
    </w:pPr>
    <w:rPr>
      <w:b/>
      <w:kern w:val="0"/>
      <w:sz w:val="28"/>
      <w:szCs w:val="20"/>
    </w:rPr>
  </w:style>
  <w:style w:type="paragraph" w:customStyle="1" w:styleId="133">
    <w:name w:val="Normal Indent"/>
    <w:basedOn w:val="1"/>
    <w:uiPriority w:val="0"/>
    <w:pPr>
      <w:tabs>
        <w:tab w:val="left" w:pos="-709"/>
        <w:tab w:val="left" w:pos="284"/>
      </w:tabs>
      <w:spacing w:line="300" w:lineRule="auto"/>
      <w:ind w:firstLine="510"/>
      <w:jc w:val="center"/>
      <w:textAlignment w:val="baseline"/>
    </w:pPr>
    <w:rPr>
      <w:rFonts w:hint="eastAsia" w:ascii="宋体" w:hAnsi="Times New Roman" w:eastAsia="宋体" w:cs="Times New Roman"/>
      <w:sz w:val="24"/>
      <w:szCs w:val="20"/>
    </w:rPr>
  </w:style>
  <w:style w:type="character" w:customStyle="1" w:styleId="134">
    <w:name w:val=" Char Char6"/>
    <w:uiPriority w:val="0"/>
    <w:rPr>
      <w:rFonts w:ascii="仿宋_GB2312" w:hAnsi="华文中宋" w:eastAsia="仿宋_GB2312" w:cs="Times New Roman"/>
      <w:b/>
      <w:kern w:val="2"/>
      <w:sz w:val="32"/>
      <w:lang w:val="en-US" w:eastAsia="zh-CN"/>
    </w:rPr>
  </w:style>
  <w:style w:type="character" w:customStyle="1" w:styleId="135">
    <w:name w:val="表头图名 Char"/>
    <w:link w:val="136"/>
    <w:uiPriority w:val="0"/>
    <w:rPr>
      <w:rFonts w:ascii="宋体" w:hAnsi="宋体" w:eastAsia="黑体" w:cs="Times New Roman"/>
      <w:w w:val="90"/>
      <w:kern w:val="2"/>
      <w:sz w:val="24"/>
      <w:szCs w:val="21"/>
      <w:lang w:val="en-US" w:eastAsia="zh-CN" w:bidi="ar-SA"/>
    </w:rPr>
  </w:style>
  <w:style w:type="paragraph" w:customStyle="1" w:styleId="136">
    <w:name w:val="表头图名"/>
    <w:basedOn w:val="137"/>
    <w:link w:val="135"/>
    <w:uiPriority w:val="0"/>
    <w:pPr>
      <w:widowControl w:val="0"/>
      <w:adjustRightInd w:val="0"/>
      <w:spacing w:line="240" w:lineRule="exact"/>
      <w:ind w:firstLine="0" w:firstLineChars="0"/>
      <w:jc w:val="both"/>
      <w:textAlignment w:val="baseline"/>
    </w:pPr>
    <w:rPr>
      <w:rFonts w:ascii="宋体" w:hAnsi="宋体" w:eastAsia="黑体"/>
      <w:sz w:val="24"/>
      <w:szCs w:val="21"/>
    </w:rPr>
  </w:style>
  <w:style w:type="paragraph" w:customStyle="1" w:styleId="137">
    <w:name w:val="说明书正文"/>
    <w:link w:val="209"/>
    <w:uiPriority w:val="0"/>
    <w:pPr>
      <w:spacing w:line="480" w:lineRule="exact"/>
      <w:ind w:firstLine="200" w:firstLineChars="200"/>
    </w:pPr>
    <w:rPr>
      <w:rFonts w:eastAsia="方正书宋简体"/>
      <w:w w:val="90"/>
      <w:kern w:val="2"/>
      <w:sz w:val="32"/>
      <w:szCs w:val="32"/>
      <w:lang w:val="en-US" w:eastAsia="zh-CN" w:bidi="ar-SA"/>
    </w:rPr>
  </w:style>
  <w:style w:type="character" w:customStyle="1" w:styleId="138">
    <w:name w:val="Heading 2 Char"/>
    <w:uiPriority w:val="0"/>
    <w:rPr>
      <w:rFonts w:ascii="Arial" w:hAnsi="Arial" w:eastAsia="仿宋_GB2312" w:cs="Times New Roman"/>
      <w:b/>
      <w:bCs/>
      <w:sz w:val="32"/>
      <w:szCs w:val="32"/>
    </w:rPr>
  </w:style>
  <w:style w:type="character" w:customStyle="1" w:styleId="139">
    <w:name w:val="林宝辉 标题1 Char"/>
    <w:link w:val="140"/>
    <w:uiPriority w:val="0"/>
    <w:rPr>
      <w:rFonts w:ascii="Times New Roman" w:hAnsi="Times New Roman" w:eastAsia="新宋体" w:cs="Times New Roman"/>
      <w:b/>
      <w:bCs/>
      <w:kern w:val="2"/>
      <w:sz w:val="28"/>
      <w:szCs w:val="28"/>
      <w:lang w:bidi="ar-SA"/>
    </w:rPr>
  </w:style>
  <w:style w:type="paragraph" w:customStyle="1" w:styleId="140">
    <w:name w:val="林宝辉 标题1"/>
    <w:basedOn w:val="1"/>
    <w:link w:val="139"/>
    <w:uiPriority w:val="0"/>
    <w:pPr>
      <w:tabs>
        <w:tab w:val="left" w:pos="397"/>
        <w:tab w:val="left" w:pos="960"/>
      </w:tabs>
      <w:spacing w:line="360" w:lineRule="auto"/>
      <w:ind w:left="960" w:hanging="480"/>
      <w:jc w:val="center"/>
      <w:outlineLvl w:val="0"/>
    </w:pPr>
    <w:rPr>
      <w:rFonts w:eastAsia="新宋体"/>
      <w:b/>
      <w:bCs/>
      <w:sz w:val="28"/>
      <w:szCs w:val="28"/>
    </w:rPr>
  </w:style>
  <w:style w:type="character" w:customStyle="1" w:styleId="141">
    <w:name w:val="Body Text Indent 2 Char"/>
    <w:uiPriority w:val="0"/>
    <w:rPr>
      <w:rFonts w:ascii="Times New Roman" w:hAnsi="Times New Roman" w:eastAsia="仿宋_GB2312" w:cs="Times New Roman"/>
      <w:sz w:val="24"/>
      <w:szCs w:val="24"/>
    </w:rPr>
  </w:style>
  <w:style w:type="character" w:customStyle="1" w:styleId="142">
    <w:name w:val="批注文字 Char1"/>
    <w:uiPriority w:val="0"/>
    <w:rPr>
      <w:rFonts w:ascii="Times New Roman" w:hAnsi="Times New Roman" w:eastAsia="宋体" w:cs="Times New Roman"/>
      <w:szCs w:val="24"/>
    </w:rPr>
  </w:style>
  <w:style w:type="character" w:customStyle="1" w:styleId="143">
    <w:name w:val="Char Char24"/>
    <w:uiPriority w:val="0"/>
    <w:rPr>
      <w:rFonts w:ascii="Times New Roman" w:hAnsi="Times New Roman" w:eastAsia="宋体" w:cs="Times New Roman"/>
      <w:b/>
      <w:bCs/>
      <w:kern w:val="44"/>
      <w:sz w:val="32"/>
      <w:szCs w:val="44"/>
      <w:lang w:val="en-US" w:eastAsia="zh-CN" w:bidi="ar-SA"/>
    </w:rPr>
  </w:style>
  <w:style w:type="character" w:customStyle="1" w:styleId="144">
    <w:name w:val="纯文本 Char2"/>
    <w:uiPriority w:val="0"/>
    <w:rPr>
      <w:rFonts w:ascii="宋体" w:hAnsi="Tms Rmn" w:eastAsia="宋体" w:cs="Times New Roman"/>
      <w:sz w:val="21"/>
    </w:rPr>
  </w:style>
  <w:style w:type="character" w:customStyle="1" w:styleId="145">
    <w:name w:val="表头11 Char"/>
    <w:link w:val="146"/>
    <w:uiPriority w:val="0"/>
    <w:rPr>
      <w:rFonts w:ascii="Times New Roman" w:hAnsi="Times New Roman" w:eastAsia="黑体" w:cs="Times New Roman"/>
      <w:sz w:val="24"/>
      <w:szCs w:val="24"/>
      <w:lang w:val="en-US" w:eastAsia="zh-CN" w:bidi="ar-SA"/>
    </w:rPr>
  </w:style>
  <w:style w:type="paragraph" w:customStyle="1" w:styleId="146">
    <w:name w:val="表头11"/>
    <w:basedOn w:val="1"/>
    <w:link w:val="145"/>
    <w:uiPriority w:val="0"/>
    <w:pPr>
      <w:adjustRightInd w:val="0"/>
      <w:snapToGrid w:val="0"/>
      <w:spacing w:before="156" w:beforeLines="50" w:line="300" w:lineRule="auto"/>
      <w:ind w:firstLine="200" w:firstLineChars="200"/>
    </w:pPr>
    <w:rPr>
      <w:rFonts w:eastAsia="黑体"/>
      <w:kern w:val="0"/>
      <w:sz w:val="24"/>
    </w:rPr>
  </w:style>
  <w:style w:type="character" w:customStyle="1" w:styleId="147">
    <w:name w:val="表名 Char"/>
    <w:link w:val="148"/>
    <w:uiPriority w:val="0"/>
    <w:rPr>
      <w:rFonts w:ascii="黑体" w:hAnsi="Times New Roman" w:eastAsia="黑体" w:cs="Times New Roman"/>
      <w:sz w:val="24"/>
      <w:lang w:val="en-US" w:eastAsia="zh-CN" w:bidi="ar-SA"/>
    </w:rPr>
  </w:style>
  <w:style w:type="paragraph" w:customStyle="1" w:styleId="148">
    <w:name w:val="表名"/>
    <w:basedOn w:val="1"/>
    <w:link w:val="147"/>
    <w:uiPriority w:val="0"/>
    <w:pPr>
      <w:adjustRightInd w:val="0"/>
      <w:snapToGrid w:val="0"/>
      <w:spacing w:before="156" w:beforeLines="50" w:after="31" w:afterLines="10" w:line="300" w:lineRule="auto"/>
      <w:jc w:val="center"/>
    </w:pPr>
    <w:rPr>
      <w:rFonts w:ascii="黑体" w:eastAsia="黑体"/>
      <w:kern w:val="0"/>
      <w:sz w:val="24"/>
      <w:szCs w:val="20"/>
    </w:rPr>
  </w:style>
  <w:style w:type="character" w:customStyle="1" w:styleId="149">
    <w:name w:val="表格文字居中 Char1"/>
    <w:link w:val="150"/>
    <w:uiPriority w:val="0"/>
    <w:rPr>
      <w:rFonts w:ascii="宋体" w:hAnsi="Times New Roman" w:eastAsia="宋体" w:cs="宋体"/>
      <w:kern w:val="2"/>
      <w:sz w:val="24"/>
      <w:szCs w:val="24"/>
      <w:lang w:val="en-US" w:eastAsia="zh-CN" w:bidi="ar-SA"/>
    </w:rPr>
  </w:style>
  <w:style w:type="paragraph" w:customStyle="1" w:styleId="150">
    <w:name w:val="表格文字居中"/>
    <w:basedOn w:val="81"/>
    <w:link w:val="149"/>
    <w:uiPriority w:val="0"/>
    <w:pPr>
      <w:keepNext/>
      <w:keepLines/>
      <w:tabs>
        <w:tab w:val="left" w:pos="628"/>
        <w:tab w:val="left" w:pos="1727"/>
        <w:tab w:val="left" w:pos="1884"/>
        <w:tab w:val="left" w:pos="7252"/>
      </w:tabs>
      <w:snapToGrid w:val="0"/>
      <w:spacing w:before="100" w:beforeAutospacing="1" w:after="0"/>
      <w:ind w:firstLine="0" w:firstLineChars="0"/>
      <w:jc w:val="center"/>
      <w:outlineLvl w:val="0"/>
    </w:pPr>
    <w:rPr>
      <w:rFonts w:ascii="宋体" w:cs="宋体"/>
      <w:sz w:val="24"/>
    </w:rPr>
  </w:style>
  <w:style w:type="character" w:customStyle="1" w:styleId="151">
    <w:name w:val="正文（首行缩进两字） Char Char"/>
    <w:uiPriority w:val="0"/>
    <w:rPr>
      <w:rFonts w:ascii="Times New Roman" w:hAnsi="Times New Roman" w:eastAsia="宋体" w:cs="Times New Roman"/>
      <w:kern w:val="2"/>
      <w:sz w:val="21"/>
      <w:lang w:val="en-US" w:eastAsia="zh-CN"/>
    </w:rPr>
  </w:style>
  <w:style w:type="character" w:customStyle="1" w:styleId="152">
    <w:name w:val="标题2 Char2"/>
    <w:aliases w:val="1.1标题 2 Char2,1.1 Char2,sect 1.2 Char2,H2 Char2,H21 Char2,R2 Char2,h2 Char2,Level 2 Topic Heading Char2,Reset numbering Char2,Heading 2 Hidden Char2,Heading 2 CCBS Char2,heading 2 Char2,l2 Char2,2nd level Char2,Header 2 Char2,Titre3 Char"/>
    <w:uiPriority w:val="0"/>
    <w:rPr>
      <w:rFonts w:ascii="Arial" w:hAnsi="Arial" w:eastAsia="宋体" w:cs="Times New Roman"/>
      <w:b/>
      <w:bCs/>
      <w:snapToGrid w:val="0"/>
      <w:kern w:val="2"/>
      <w:sz w:val="28"/>
      <w:szCs w:val="32"/>
      <w:lang w:val="en-US" w:eastAsia="zh-CN" w:bidi="ar-SA"/>
    </w:rPr>
  </w:style>
  <w:style w:type="character" w:customStyle="1" w:styleId="153">
    <w:name w:val="cucd-1 Char"/>
    <w:uiPriority w:val="0"/>
    <w:rPr>
      <w:rFonts w:ascii="Times New Roman" w:hAnsi="Times New Roman" w:eastAsia="黑体" w:cs="Times New Roman"/>
      <w:b/>
      <w:kern w:val="2"/>
      <w:sz w:val="36"/>
      <w:lang w:val="en-US" w:eastAsia="zh-CN" w:bidi="ar-SA"/>
    </w:rPr>
  </w:style>
  <w:style w:type="character" w:customStyle="1" w:styleId="154">
    <w:name w:val=" Char Char11"/>
    <w:uiPriority w:val="0"/>
    <w:rPr>
      <w:rFonts w:ascii="Arial" w:hAnsi="Arial" w:eastAsia="黑体" w:cs="Times New Roman"/>
      <w:b/>
      <w:sz w:val="24"/>
      <w:lang w:val="en-US" w:eastAsia="zh-CN"/>
    </w:rPr>
  </w:style>
  <w:style w:type="character" w:customStyle="1" w:styleId="155">
    <w:name w:val="引用 Char"/>
    <w:uiPriority w:val="0"/>
    <w:rPr>
      <w:rFonts w:ascii="Calibri" w:hAnsi="Calibri" w:eastAsia="宋体" w:cs="Times New Roman"/>
      <w:i/>
      <w:sz w:val="24"/>
      <w:lang w:val="en-US" w:eastAsia="en-US"/>
    </w:rPr>
  </w:style>
  <w:style w:type="character" w:customStyle="1" w:styleId="156">
    <w:name w:val="Heading 3 Char"/>
    <w:uiPriority w:val="0"/>
    <w:rPr>
      <w:rFonts w:ascii="Times New Roman" w:hAnsi="Times New Roman" w:eastAsia="仿宋_GB2312" w:cs="Times New Roman"/>
      <w:b/>
      <w:bCs/>
      <w:sz w:val="32"/>
      <w:szCs w:val="32"/>
    </w:rPr>
  </w:style>
  <w:style w:type="character" w:customStyle="1" w:styleId="157">
    <w:name w:val="标题4 Char"/>
    <w:uiPriority w:val="0"/>
    <w:rPr>
      <w:rFonts w:ascii="黑体" w:hAnsi="Arial" w:eastAsia="黑体" w:cs="Times New Roman"/>
      <w:b/>
      <w:bCs/>
      <w:snapToGrid w:val="0"/>
      <w:color w:val="FF00FF"/>
      <w:sz w:val="24"/>
      <w:szCs w:val="28"/>
      <w:lang w:val="en-US" w:eastAsia="zh-CN" w:bidi="ar-SA"/>
    </w:rPr>
  </w:style>
  <w:style w:type="character" w:customStyle="1" w:styleId="158">
    <w:name w:val="批注文字 Char2"/>
    <w:uiPriority w:val="0"/>
    <w:rPr>
      <w:rFonts w:ascii="Times New Roman" w:hAnsi="Times New Roman" w:eastAsia="宋体" w:cs="Times New Roman"/>
      <w:kern w:val="2"/>
      <w:sz w:val="21"/>
      <w:szCs w:val="24"/>
      <w:lang w:val="en-US" w:eastAsia="zh-CN" w:bidi="ar-SA"/>
    </w:rPr>
  </w:style>
  <w:style w:type="character" w:customStyle="1" w:styleId="159">
    <w:name w:val=" Char Char10"/>
    <w:uiPriority w:val="0"/>
    <w:rPr>
      <w:rFonts w:ascii="Times New Roman" w:hAnsi="Times New Roman" w:eastAsia="宋体" w:cs="Times New Roman"/>
      <w:b/>
      <w:sz w:val="24"/>
      <w:lang w:val="en-US" w:eastAsia="zh-CN"/>
    </w:rPr>
  </w:style>
  <w:style w:type="character" w:customStyle="1" w:styleId="160">
    <w:name w:val="引用 Char2"/>
    <w:uiPriority w:val="0"/>
    <w:rPr>
      <w:rFonts w:ascii="Times New Roman" w:hAnsi="Times New Roman" w:eastAsia="宋体" w:cs="Times New Roman"/>
      <w:i/>
      <w:iCs/>
      <w:color w:val="000000"/>
      <w:kern w:val="2"/>
      <w:sz w:val="21"/>
      <w:szCs w:val="24"/>
    </w:rPr>
  </w:style>
  <w:style w:type="character" w:customStyle="1" w:styleId="161">
    <w:name w:val="Heading 4 Char"/>
    <w:uiPriority w:val="0"/>
    <w:rPr>
      <w:rFonts w:ascii="Arial" w:hAnsi="Arial" w:eastAsia="宋体" w:cs="Times New Roman"/>
      <w:b/>
      <w:bCs/>
      <w:kern w:val="2"/>
      <w:sz w:val="21"/>
      <w:szCs w:val="28"/>
      <w:lang w:val="en-US" w:eastAsia="zh-CN" w:bidi="ar-SA"/>
    </w:rPr>
  </w:style>
  <w:style w:type="character" w:customStyle="1" w:styleId="162">
    <w:name w:val="font161"/>
    <w:uiPriority w:val="0"/>
    <w:rPr>
      <w:rFonts w:ascii="Times New Roman" w:hAnsi="Times New Roman" w:eastAsia="宋体" w:cs="Times New Roman"/>
      <w:b/>
      <w:bCs/>
      <w:sz w:val="32"/>
      <w:szCs w:val="32"/>
    </w:rPr>
  </w:style>
  <w:style w:type="character" w:customStyle="1" w:styleId="163">
    <w:name w:val="批注框文本 Char"/>
    <w:link w:val="50"/>
    <w:uiPriority w:val="0"/>
    <w:rPr>
      <w:rFonts w:ascii="Times New Roman" w:hAnsi="Times New Roman" w:eastAsia="宋体" w:cs="Times New Roman"/>
      <w:kern w:val="2"/>
      <w:sz w:val="18"/>
      <w:szCs w:val="18"/>
      <w:lang w:bidi="ar-SA"/>
    </w:rPr>
  </w:style>
  <w:style w:type="character" w:customStyle="1" w:styleId="164">
    <w:name w:val="明显引用 Char1"/>
    <w:uiPriority w:val="0"/>
    <w:rPr>
      <w:rFonts w:ascii="Times New Roman" w:hAnsi="Times New Roman" w:eastAsia="宋体" w:cs="Times New Roman"/>
      <w:b/>
      <w:bCs/>
      <w:i/>
      <w:iCs/>
      <w:color w:val="4F81BD"/>
      <w:szCs w:val="24"/>
    </w:rPr>
  </w:style>
  <w:style w:type="character" w:customStyle="1" w:styleId="165">
    <w:name w:val="表格 Char"/>
    <w:link w:val="166"/>
    <w:uiPriority w:val="0"/>
    <w:rPr>
      <w:rFonts w:ascii="宋体" w:hAnsi="宋体" w:eastAsia="宋体" w:cs="Times New Roman"/>
      <w:spacing w:val="-10"/>
      <w:kern w:val="2"/>
      <w:sz w:val="24"/>
      <w:lang w:val="en-US" w:eastAsia="zh-CN" w:bidi="ar-SA"/>
    </w:rPr>
  </w:style>
  <w:style w:type="paragraph" w:customStyle="1" w:styleId="166">
    <w:name w:val="表格"/>
    <w:basedOn w:val="1"/>
    <w:link w:val="165"/>
    <w:uiPriority w:val="0"/>
    <w:pPr>
      <w:adjustRightInd w:val="0"/>
      <w:snapToGrid w:val="0"/>
      <w:spacing w:line="360" w:lineRule="exact"/>
      <w:jc w:val="center"/>
    </w:pPr>
    <w:rPr>
      <w:rFonts w:ascii="宋体" w:hAnsi="宋体"/>
      <w:spacing w:val="-10"/>
      <w:sz w:val="24"/>
      <w:szCs w:val="20"/>
    </w:rPr>
  </w:style>
  <w:style w:type="character" w:customStyle="1" w:styleId="167">
    <w:name w:val="马学海内容 Char"/>
    <w:link w:val="168"/>
    <w:uiPriority w:val="0"/>
    <w:rPr>
      <w:rFonts w:ascii="新宋体" w:hAnsi="新宋体" w:eastAsia="宋体" w:cs="Times New Roman"/>
      <w:kern w:val="44"/>
      <w:sz w:val="24"/>
      <w:szCs w:val="24"/>
      <w:lang w:val="en-US" w:eastAsia="zh-CN" w:bidi="ar-SA"/>
    </w:rPr>
  </w:style>
  <w:style w:type="paragraph" w:customStyle="1" w:styleId="168">
    <w:name w:val="马学海内容"/>
    <w:basedOn w:val="1"/>
    <w:link w:val="167"/>
    <w:uiPriority w:val="0"/>
    <w:pPr>
      <w:tabs>
        <w:tab w:val="left" w:pos="5725"/>
        <w:tab w:val="left" w:pos="5880"/>
      </w:tabs>
      <w:spacing w:line="360" w:lineRule="auto"/>
      <w:ind w:firstLine="200" w:firstLineChars="200"/>
    </w:pPr>
    <w:rPr>
      <w:rFonts w:ascii="新宋体" w:hAnsi="新宋体"/>
      <w:kern w:val="44"/>
      <w:sz w:val="24"/>
    </w:rPr>
  </w:style>
  <w:style w:type="character" w:customStyle="1" w:styleId="169">
    <w:name w:val="正文文本缩进 Char"/>
    <w:link w:val="33"/>
    <w:uiPriority w:val="0"/>
    <w:rPr>
      <w:rFonts w:ascii="Times New Roman" w:hAnsi="Times New Roman" w:eastAsia="宋体" w:cs="Times New Roman"/>
      <w:kern w:val="2"/>
      <w:sz w:val="21"/>
      <w:szCs w:val="24"/>
      <w:lang w:val="en-US" w:eastAsia="zh-CN" w:bidi="ar-SA"/>
    </w:rPr>
  </w:style>
  <w:style w:type="character" w:customStyle="1" w:styleId="170">
    <w:name w:val="表头 Char"/>
    <w:link w:val="171"/>
    <w:uiPriority w:val="0"/>
    <w:rPr>
      <w:rFonts w:ascii="黑体" w:hAnsi="宋体" w:eastAsia="黑体" w:cs="黑体"/>
      <w:kern w:val="2"/>
      <w:sz w:val="24"/>
      <w:szCs w:val="24"/>
      <w:lang w:val="en-US" w:eastAsia="zh-CN" w:bidi="ar-SA"/>
    </w:rPr>
  </w:style>
  <w:style w:type="paragraph" w:customStyle="1" w:styleId="171">
    <w:name w:val="表头"/>
    <w:basedOn w:val="1"/>
    <w:next w:val="1"/>
    <w:link w:val="170"/>
    <w:uiPriority w:val="0"/>
    <w:pPr>
      <w:tabs>
        <w:tab w:val="left" w:pos="5450"/>
      </w:tabs>
      <w:adjustRightInd w:val="0"/>
      <w:snapToGrid w:val="0"/>
      <w:ind w:left="-1" w:leftChars="-7" w:right="280" w:rightChars="100" w:hanging="19" w:hangingChars="8"/>
      <w:jc w:val="center"/>
    </w:pPr>
    <w:rPr>
      <w:rFonts w:ascii="黑体" w:hAnsi="宋体" w:eastAsia="黑体" w:cs="黑体"/>
      <w:sz w:val="24"/>
    </w:rPr>
  </w:style>
  <w:style w:type="character" w:customStyle="1" w:styleId="172">
    <w:name w:val="正文文本 Char1"/>
    <w:uiPriority w:val="0"/>
    <w:rPr>
      <w:rFonts w:ascii="Times New Roman" w:hAnsi="Times New Roman" w:eastAsia="宋体" w:cs="Times New Roman"/>
      <w:kern w:val="2"/>
      <w:sz w:val="21"/>
      <w:szCs w:val="22"/>
    </w:rPr>
  </w:style>
  <w:style w:type="character" w:customStyle="1" w:styleId="173">
    <w:name w:val="批注主题 Char1"/>
    <w:uiPriority w:val="0"/>
    <w:rPr>
      <w:rFonts w:ascii="Times New Roman" w:hAnsi="Times New Roman" w:eastAsia="宋体" w:cs="Times New Roman"/>
      <w:b/>
      <w:bCs/>
      <w:szCs w:val="24"/>
    </w:rPr>
  </w:style>
  <w:style w:type="character" w:customStyle="1" w:styleId="174">
    <w:name w:val="工作范围4 Char"/>
    <w:link w:val="175"/>
    <w:uiPriority w:val="0"/>
    <w:rPr>
      <w:rFonts w:ascii="Times New Roman" w:hAnsi="Times New Roman" w:eastAsia="宋体" w:cs="Times New Roman"/>
      <w:kern w:val="2"/>
      <w:sz w:val="24"/>
      <w:szCs w:val="24"/>
      <w:lang w:val="en-US" w:eastAsia="zh-CN" w:bidi="ar-SA"/>
    </w:rPr>
  </w:style>
  <w:style w:type="paragraph" w:customStyle="1" w:styleId="175">
    <w:name w:val="工作范围4"/>
    <w:basedOn w:val="1"/>
    <w:link w:val="174"/>
    <w:uiPriority w:val="0"/>
    <w:pPr>
      <w:tabs>
        <w:tab w:val="left" w:pos="792"/>
      </w:tabs>
      <w:spacing w:line="360" w:lineRule="auto"/>
      <w:ind w:left="792"/>
    </w:pPr>
    <w:rPr>
      <w:sz w:val="24"/>
    </w:rPr>
  </w:style>
  <w:style w:type="character" w:customStyle="1" w:styleId="176">
    <w:name w:val="正文 + 宋体 Char"/>
    <w:aliases w:val="加粗 Char,加宽量  1.6 磅 Char"/>
    <w:uiPriority w:val="0"/>
    <w:rPr>
      <w:rFonts w:ascii="Times New Roman" w:hAnsi="Times New Roman" w:eastAsia="宋体" w:cs="Times New Roman"/>
      <w:b/>
      <w:spacing w:val="32"/>
      <w:kern w:val="2"/>
      <w:sz w:val="24"/>
      <w:szCs w:val="24"/>
      <w:lang w:val="en-US" w:eastAsia="zh-CN" w:bidi="ar-SA"/>
    </w:rPr>
  </w:style>
  <w:style w:type="character" w:customStyle="1" w:styleId="177">
    <w:name w:val="标题 1 Char Char Char"/>
    <w:uiPriority w:val="0"/>
    <w:rPr>
      <w:rFonts w:ascii="宋体" w:hAnsi="Times New Roman" w:eastAsia="宋体" w:cs="Times New Roman"/>
      <w:b/>
      <w:color w:val="000000"/>
      <w:kern w:val="32"/>
      <w:sz w:val="32"/>
      <w:szCs w:val="32"/>
      <w:lang w:val="en-US" w:eastAsia="zh-CN" w:bidi="ar-SA"/>
    </w:rPr>
  </w:style>
  <w:style w:type="character" w:customStyle="1" w:styleId="178">
    <w:name w:val="批注框文本 Char1"/>
    <w:uiPriority w:val="0"/>
    <w:rPr>
      <w:rFonts w:ascii="Times New Roman" w:hAnsi="Times New Roman" w:eastAsia="宋体" w:cs="Times New Roman"/>
      <w:sz w:val="18"/>
      <w:szCs w:val="18"/>
    </w:rPr>
  </w:style>
  <w:style w:type="character" w:customStyle="1" w:styleId="179">
    <w:name w:val="Document Map Char"/>
    <w:uiPriority w:val="0"/>
    <w:rPr>
      <w:rFonts w:ascii="Times New Roman" w:hAnsi="Times New Roman" w:eastAsia="宋体" w:cs="Times New Roman"/>
      <w:kern w:val="2"/>
      <w:sz w:val="21"/>
      <w:szCs w:val="24"/>
      <w:lang w:val="en-US" w:eastAsia="zh-CN" w:bidi="ar-SA"/>
    </w:rPr>
  </w:style>
  <w:style w:type="character" w:customStyle="1" w:styleId="180">
    <w:name w:val="textcontents"/>
    <w:uiPriority w:val="0"/>
    <w:rPr>
      <w:rFonts w:ascii="Times New Roman" w:hAnsi="Times New Roman" w:eastAsia="宋体" w:cs="Times New Roman"/>
    </w:rPr>
  </w:style>
  <w:style w:type="character" w:customStyle="1" w:styleId="181">
    <w:name w:val="黑~正文文本 Char"/>
    <w:link w:val="182"/>
    <w:uiPriority w:val="0"/>
    <w:rPr>
      <w:rFonts w:ascii="Times New Roman" w:hAnsi="Times New Roman" w:eastAsia="宋体" w:cs="Times New Roman"/>
      <w:kern w:val="2"/>
      <w:sz w:val="24"/>
      <w:szCs w:val="21"/>
      <w:lang w:val="en-US" w:eastAsia="zh-CN" w:bidi="ar-SA"/>
    </w:rPr>
  </w:style>
  <w:style w:type="paragraph" w:customStyle="1" w:styleId="182">
    <w:name w:val="黑~正文文本"/>
    <w:basedOn w:val="48"/>
    <w:link w:val="181"/>
    <w:uiPriority w:val="0"/>
    <w:pPr>
      <w:spacing w:before="156" w:beforeLines="50" w:after="0" w:line="360" w:lineRule="auto"/>
      <w:ind w:left="0" w:leftChars="0" w:firstLine="480" w:firstLineChars="200"/>
    </w:pPr>
    <w:rPr>
      <w:sz w:val="24"/>
      <w:szCs w:val="21"/>
      <w:lang w:val="en-US" w:eastAsia="zh-CN"/>
    </w:rPr>
  </w:style>
  <w:style w:type="character" w:customStyle="1" w:styleId="183">
    <w:name w:val="正文1234"/>
    <w:uiPriority w:val="0"/>
    <w:rPr>
      <w:rFonts w:ascii="仿宋_GB2312" w:hAnsi="Verdana" w:eastAsia="仿宋_GB2312" w:cs="Times New Roman"/>
      <w:b/>
      <w:bCs/>
      <w:snapToGrid w:val="0"/>
      <w:sz w:val="28"/>
      <w:szCs w:val="28"/>
      <w:lang w:val="en-US" w:eastAsia="en-US" w:bidi="ar-SA"/>
    </w:rPr>
  </w:style>
  <w:style w:type="character" w:customStyle="1" w:styleId="184">
    <w:name w:val="纯文本 Char Char Char Char"/>
    <w:uiPriority w:val="0"/>
    <w:rPr>
      <w:rFonts w:ascii="宋体" w:hAnsi="Plotter" w:eastAsia="宋体" w:cs="Times New Roman"/>
      <w:kern w:val="2"/>
      <w:sz w:val="21"/>
      <w:lang w:val="en-US" w:eastAsia="zh-CN" w:bidi="ar-SA"/>
    </w:rPr>
  </w:style>
  <w:style w:type="character" w:customStyle="1" w:styleId="185">
    <w:name w:val="页眉 Char"/>
    <w:link w:val="53"/>
    <w:uiPriority w:val="0"/>
    <w:rPr>
      <w:rFonts w:ascii="Times New Roman" w:hAnsi="Times New Roman" w:eastAsia="宋体" w:cs="Times New Roman"/>
      <w:kern w:val="2"/>
      <w:sz w:val="18"/>
      <w:szCs w:val="18"/>
      <w:lang w:bidi="ar-SA"/>
    </w:rPr>
  </w:style>
  <w:style w:type="character" w:customStyle="1" w:styleId="186">
    <w:name w:val="正文A Char"/>
    <w:link w:val="187"/>
    <w:uiPriority w:val="0"/>
    <w:rPr>
      <w:rFonts w:ascii="Times New Roman" w:hAnsi="宋体" w:eastAsia="宋体" w:cs="Times New Roman"/>
      <w:snapToGrid w:val="0"/>
      <w:color w:val="FF0000"/>
      <w:sz w:val="24"/>
      <w:szCs w:val="24"/>
      <w:lang w:val="en-US" w:eastAsia="zh-CN" w:bidi="ar-SA"/>
    </w:rPr>
  </w:style>
  <w:style w:type="paragraph" w:customStyle="1" w:styleId="187">
    <w:name w:val="正文A"/>
    <w:basedOn w:val="1"/>
    <w:link w:val="186"/>
    <w:uiPriority w:val="0"/>
    <w:pPr>
      <w:adjustRightInd w:val="0"/>
      <w:snapToGrid w:val="0"/>
      <w:spacing w:before="156" w:beforeLines="50" w:line="360" w:lineRule="auto"/>
      <w:ind w:right="420" w:rightChars="200" w:firstLine="540" w:firstLineChars="225"/>
      <w:jc w:val="left"/>
    </w:pPr>
    <w:rPr>
      <w:rFonts w:hAnsi="宋体"/>
      <w:snapToGrid w:val="0"/>
      <w:color w:val="FF0000"/>
      <w:kern w:val="0"/>
      <w:sz w:val="24"/>
    </w:rPr>
  </w:style>
  <w:style w:type="character" w:customStyle="1" w:styleId="188">
    <w:name w:val="正文缩进 Char"/>
    <w:uiPriority w:val="0"/>
    <w:rPr>
      <w:rFonts w:ascii="Arial" w:hAnsi="Arial" w:eastAsia="宋体" w:cs="Arial"/>
      <w:kern w:val="2"/>
      <w:sz w:val="24"/>
      <w:szCs w:val="24"/>
      <w:lang w:val="en-US" w:eastAsia="zh-CN"/>
    </w:rPr>
  </w:style>
  <w:style w:type="character" w:customStyle="1" w:styleId="189">
    <w:name w:val="文档结构图 Char1"/>
    <w:uiPriority w:val="0"/>
    <w:rPr>
      <w:rFonts w:ascii="宋体" w:hAnsi="Times New Roman" w:eastAsia="宋体" w:cs="Times New Roman"/>
      <w:sz w:val="18"/>
      <w:szCs w:val="18"/>
    </w:rPr>
  </w:style>
  <w:style w:type="character" w:customStyle="1" w:styleId="190">
    <w:name w:val="Comment Subject Char"/>
    <w:uiPriority w:val="0"/>
    <w:rPr>
      <w:rFonts w:ascii="Times New Roman" w:hAnsi="Times New Roman" w:eastAsia="宋体" w:cs="Times New Roman"/>
      <w:b/>
      <w:sz w:val="24"/>
      <w:lang w:bidi="ar-SA"/>
    </w:rPr>
  </w:style>
  <w:style w:type="character" w:customStyle="1" w:styleId="191">
    <w:name w:val="标题 Char1"/>
    <w:uiPriority w:val="0"/>
    <w:rPr>
      <w:rFonts w:ascii="Cambria" w:hAnsi="Cambria" w:eastAsia="宋体" w:cs="Times New Roman"/>
      <w:b/>
      <w:bCs/>
      <w:sz w:val="32"/>
      <w:szCs w:val="32"/>
    </w:rPr>
  </w:style>
  <w:style w:type="character" w:customStyle="1" w:styleId="192">
    <w:name w:val="Footnote Text Char"/>
    <w:uiPriority w:val="0"/>
    <w:rPr>
      <w:rFonts w:ascii="Times New Roman" w:hAnsi="Times New Roman" w:eastAsia="宋体" w:cs="Times New Roman"/>
      <w:sz w:val="18"/>
      <w:lang w:val="en-US" w:eastAsia="zh-CN" w:bidi="ar-SA"/>
    </w:rPr>
  </w:style>
  <w:style w:type="character" w:customStyle="1" w:styleId="193">
    <w:name w:val="标题 7 Char"/>
    <w:aliases w:val="项标题(1) Char"/>
    <w:link w:val="194"/>
    <w:uiPriority w:val="0"/>
    <w:rPr>
      <w:rFonts w:ascii="Times New Roman" w:hAnsi="Times New Roman" w:eastAsia="宋体" w:cs="Times New Roman"/>
      <w:b/>
      <w:sz w:val="24"/>
      <w:lang w:bidi="ar-SA"/>
    </w:rPr>
  </w:style>
  <w:style w:type="paragraph" w:customStyle="1" w:styleId="194">
    <w:name w:val="heading 7"/>
    <w:basedOn w:val="1"/>
    <w:next w:val="133"/>
    <w:link w:val="193"/>
    <w:uiPriority w:val="0"/>
    <w:pPr>
      <w:keepNext/>
      <w:keepLines/>
      <w:tabs>
        <w:tab w:val="left" w:pos="-709"/>
        <w:tab w:val="left" w:pos="284"/>
      </w:tabs>
      <w:spacing w:before="240" w:after="64" w:line="320" w:lineRule="atLeast"/>
      <w:ind w:left="3360" w:hanging="420"/>
      <w:textAlignment w:val="baseline"/>
      <w:outlineLvl w:val="6"/>
    </w:pPr>
    <w:rPr>
      <w:b/>
      <w:kern w:val="0"/>
      <w:sz w:val="24"/>
      <w:szCs w:val="20"/>
    </w:rPr>
  </w:style>
  <w:style w:type="character" w:customStyle="1" w:styleId="195">
    <w:name w:val="标题－4 Char"/>
    <w:uiPriority w:val="0"/>
    <w:rPr>
      <w:rFonts w:ascii="黑体" w:hAnsi="黑体" w:eastAsia="黑体" w:cs="Times New Roman"/>
      <w:b/>
      <w:bCs/>
      <w:snapToGrid w:val="0"/>
      <w:color w:val="008000"/>
      <w:sz w:val="28"/>
      <w:szCs w:val="28"/>
      <w:lang w:val="en-US" w:eastAsia="zh-CN" w:bidi="ar-SA"/>
    </w:rPr>
  </w:style>
  <w:style w:type="character" w:customStyle="1" w:styleId="196">
    <w:name w:val=" Char Char2"/>
    <w:uiPriority w:val="0"/>
    <w:rPr>
      <w:rFonts w:ascii="Times New Roman" w:hAnsi="Times New Roman" w:eastAsia="宋体" w:cs="Times New Roman"/>
      <w:kern w:val="2"/>
      <w:sz w:val="18"/>
      <w:lang w:val="en-US" w:eastAsia="zh-CN"/>
    </w:rPr>
  </w:style>
  <w:style w:type="character" w:customStyle="1" w:styleId="197">
    <w:name w:val="正文缩进 Char2"/>
    <w:link w:val="19"/>
    <w:uiPriority w:val="0"/>
    <w:rPr>
      <w:rFonts w:ascii="Times New Roman" w:hAnsi="Times New Roman" w:eastAsia="宋体" w:cs="Times New Roman"/>
      <w:kern w:val="2"/>
      <w:sz w:val="21"/>
      <w:lang w:val="en-US" w:eastAsia="zh-CN" w:bidi="ar-SA"/>
    </w:rPr>
  </w:style>
  <w:style w:type="character" w:customStyle="1" w:styleId="198">
    <w:name w:val="报告正文 Char1"/>
    <w:link w:val="199"/>
    <w:uiPriority w:val="0"/>
    <w:rPr>
      <w:rFonts w:ascii="宋体" w:hAnsi="Times New Roman" w:eastAsia="宋体" w:cs="宋体"/>
      <w:kern w:val="2"/>
      <w:sz w:val="28"/>
      <w:szCs w:val="28"/>
      <w:lang w:val="en-US" w:eastAsia="zh-CN" w:bidi="ar-SA"/>
    </w:rPr>
  </w:style>
  <w:style w:type="paragraph" w:customStyle="1" w:styleId="199">
    <w:name w:val="报告正文"/>
    <w:basedOn w:val="1"/>
    <w:link w:val="198"/>
    <w:uiPriority w:val="0"/>
    <w:pPr>
      <w:adjustRightInd w:val="0"/>
      <w:snapToGrid w:val="0"/>
      <w:spacing w:line="300" w:lineRule="auto"/>
    </w:pPr>
    <w:rPr>
      <w:rFonts w:ascii="宋体" w:cs="宋体"/>
      <w:sz w:val="28"/>
      <w:szCs w:val="28"/>
    </w:rPr>
  </w:style>
  <w:style w:type="character" w:customStyle="1" w:styleId="200">
    <w:name w:val="正文（首行缩进两字） Char"/>
    <w:uiPriority w:val="0"/>
    <w:rPr>
      <w:rFonts w:ascii="Times New Roman" w:hAnsi="Times New Roman" w:eastAsia="宋体" w:cs="Times New Roman"/>
      <w:kern w:val="2"/>
      <w:sz w:val="28"/>
      <w:lang w:val="en-US" w:eastAsia="zh-CN"/>
    </w:rPr>
  </w:style>
  <w:style w:type="character" w:customStyle="1" w:styleId="201">
    <w:name w:val="正文首行缩进 Char"/>
    <w:uiPriority w:val="0"/>
    <w:rPr>
      <w:rFonts w:ascii="仿宋_GB2312" w:hAnsi="Verdana" w:eastAsia="宋体" w:cs="Times New Roman"/>
      <w:b/>
      <w:bCs/>
      <w:snapToGrid w:val="0"/>
      <w:kern w:val="2"/>
      <w:sz w:val="24"/>
      <w:szCs w:val="24"/>
      <w:lang w:val="en-US" w:eastAsia="zh-CN" w:bidi="ar-SA"/>
    </w:rPr>
  </w:style>
  <w:style w:type="character" w:customStyle="1" w:styleId="202">
    <w:name w:val="apple-converted-space"/>
    <w:uiPriority w:val="0"/>
    <w:rPr>
      <w:rFonts w:ascii="Times New Roman" w:hAnsi="Times New Roman" w:eastAsia="宋体" w:cs="Times New Roman"/>
    </w:rPr>
  </w:style>
  <w:style w:type="character" w:customStyle="1" w:styleId="203">
    <w:name w:val="正文 Char"/>
    <w:uiPriority w:val="0"/>
    <w:rPr>
      <w:rFonts w:ascii="仿宋_GB2312" w:hAnsi="Verdana" w:eastAsia="宋体" w:cs="Times New Roman"/>
      <w:b/>
      <w:bCs/>
      <w:snapToGrid w:val="0"/>
      <w:kern w:val="2"/>
      <w:sz w:val="24"/>
      <w:szCs w:val="24"/>
      <w:lang w:val="en-US" w:eastAsia="zh-CN" w:bidi="ar-SA"/>
    </w:rPr>
  </w:style>
  <w:style w:type="character" w:customStyle="1" w:styleId="204">
    <w:name w:val="表字 Char"/>
    <w:link w:val="205"/>
    <w:uiPriority w:val="0"/>
    <w:rPr>
      <w:rFonts w:ascii="Times New Roman" w:hAnsi="Times New Roman" w:eastAsia="宋体" w:cs="Times New Roman"/>
      <w:kern w:val="2"/>
      <w:sz w:val="24"/>
      <w:szCs w:val="24"/>
      <w:lang w:val="en-US" w:eastAsia="zh-CN" w:bidi="ar-SA"/>
    </w:rPr>
  </w:style>
  <w:style w:type="paragraph" w:customStyle="1" w:styleId="205">
    <w:name w:val="表字"/>
    <w:basedOn w:val="1"/>
    <w:link w:val="204"/>
    <w:uiPriority w:val="0"/>
    <w:pPr>
      <w:keepNext/>
      <w:widowControl/>
      <w:spacing w:line="360" w:lineRule="exact"/>
      <w:jc w:val="left"/>
    </w:pPr>
    <w:rPr>
      <w:sz w:val="24"/>
    </w:rPr>
  </w:style>
  <w:style w:type="character" w:customStyle="1" w:styleId="206">
    <w:name w:val="工作范围3 Char"/>
    <w:link w:val="207"/>
    <w:uiPriority w:val="0"/>
    <w:rPr>
      <w:rFonts w:ascii="Times New Roman" w:hAnsi="Times New Roman" w:eastAsia="宋体" w:cs="宋体"/>
      <w:bCs/>
      <w:kern w:val="2"/>
      <w:sz w:val="24"/>
      <w:szCs w:val="24"/>
      <w:lang w:val="en-US" w:eastAsia="zh-CN" w:bidi="ar-SA"/>
    </w:rPr>
  </w:style>
  <w:style w:type="paragraph" w:customStyle="1" w:styleId="207">
    <w:name w:val="工作范围3"/>
    <w:basedOn w:val="4"/>
    <w:next w:val="1"/>
    <w:link w:val="206"/>
    <w:uiPriority w:val="0"/>
    <w:pPr>
      <w:keepNext w:val="0"/>
      <w:keepLines w:val="0"/>
      <w:tabs>
        <w:tab w:val="left" w:pos="482"/>
      </w:tabs>
      <w:spacing w:before="0" w:after="0" w:line="360" w:lineRule="auto"/>
    </w:pPr>
    <w:rPr>
      <w:rFonts w:cs="宋体"/>
      <w:b w:val="0"/>
      <w:sz w:val="24"/>
      <w:szCs w:val="24"/>
    </w:rPr>
  </w:style>
  <w:style w:type="character" w:customStyle="1" w:styleId="208">
    <w:name w:val="日期 Char1"/>
    <w:uiPriority w:val="0"/>
    <w:rPr>
      <w:rFonts w:ascii="Times New Roman" w:hAnsi="Times New Roman" w:eastAsia="宋体" w:cs="Times New Roman"/>
      <w:szCs w:val="24"/>
    </w:rPr>
  </w:style>
  <w:style w:type="character" w:customStyle="1" w:styleId="209">
    <w:name w:val="说明书正文 Char"/>
    <w:link w:val="137"/>
    <w:uiPriority w:val="0"/>
    <w:rPr>
      <w:rFonts w:eastAsia="方正书宋简体"/>
      <w:w w:val="90"/>
      <w:kern w:val="2"/>
      <w:sz w:val="32"/>
      <w:szCs w:val="32"/>
      <w:lang w:val="en-US" w:eastAsia="zh-CN" w:bidi="ar-SA"/>
    </w:rPr>
  </w:style>
  <w:style w:type="character" w:customStyle="1" w:styleId="210">
    <w:name w:val="章 Char"/>
    <w:aliases w:val="章标题 Char,b1 Char,章节标题 Char Char"/>
    <w:uiPriority w:val="0"/>
    <w:rPr>
      <w:rFonts w:ascii="Times New Roman" w:hAnsi="Times New Roman" w:eastAsia="宋体" w:cs="Times New Roman"/>
      <w:b/>
      <w:kern w:val="44"/>
      <w:sz w:val="44"/>
      <w:lang w:val="en-US" w:eastAsia="zh-CN"/>
    </w:rPr>
  </w:style>
  <w:style w:type="character" w:customStyle="1" w:styleId="211">
    <w:name w:val="Char Char9"/>
    <w:uiPriority w:val="0"/>
    <w:rPr>
      <w:rFonts w:ascii="Times New Roman" w:hAnsi="Times New Roman" w:eastAsia="宋体" w:cs="Times New Roman"/>
      <w:b/>
      <w:bCs/>
      <w:kern w:val="44"/>
      <w:sz w:val="32"/>
      <w:szCs w:val="44"/>
      <w:lang w:val="en-US" w:eastAsia="zh-CN" w:bidi="ar-SA"/>
    </w:rPr>
  </w:style>
  <w:style w:type="character" w:customStyle="1" w:styleId="212">
    <w:name w:val="Comment Text Char"/>
    <w:uiPriority w:val="0"/>
    <w:rPr>
      <w:rFonts w:ascii="Times New Roman" w:hAnsi="Times New Roman" w:eastAsia="宋体" w:cs="Times New Roman"/>
      <w:sz w:val="24"/>
      <w:szCs w:val="24"/>
    </w:rPr>
  </w:style>
  <w:style w:type="character" w:customStyle="1" w:styleId="213">
    <w:name w:val="规范正文 Char"/>
    <w:link w:val="214"/>
    <w:uiPriority w:val="0"/>
    <w:rPr>
      <w:rFonts w:eastAsia="Times New Roman"/>
      <w:w w:val="95"/>
      <w:kern w:val="2"/>
      <w:sz w:val="24"/>
      <w:szCs w:val="24"/>
      <w:lang w:val="en-US" w:eastAsia="zh-CN" w:bidi="ar-SA"/>
    </w:rPr>
  </w:style>
  <w:style w:type="paragraph" w:customStyle="1" w:styleId="214">
    <w:name w:val="规范正文"/>
    <w:link w:val="213"/>
    <w:uiPriority w:val="0"/>
    <w:pPr>
      <w:adjustRightInd w:val="0"/>
      <w:snapToGrid w:val="0"/>
      <w:spacing w:line="312" w:lineRule="auto"/>
    </w:pPr>
    <w:rPr>
      <w:rFonts w:eastAsia="Times New Roman"/>
      <w:w w:val="95"/>
      <w:kern w:val="2"/>
      <w:sz w:val="24"/>
      <w:szCs w:val="24"/>
      <w:lang w:val="en-US" w:eastAsia="zh-CN" w:bidi="ar-SA"/>
    </w:rPr>
  </w:style>
  <w:style w:type="character" w:customStyle="1" w:styleId="215">
    <w:name w:val="文档结构图 Char"/>
    <w:link w:val="24"/>
    <w:uiPriority w:val="0"/>
    <w:rPr>
      <w:rFonts w:ascii="宋体" w:hAnsi="Times New Roman" w:eastAsia="宋体" w:cs="Times New Roman"/>
      <w:kern w:val="2"/>
      <w:sz w:val="18"/>
      <w:szCs w:val="18"/>
    </w:rPr>
  </w:style>
  <w:style w:type="character" w:customStyle="1" w:styleId="216">
    <w:name w:val="批注文字 Char Char"/>
    <w:uiPriority w:val="0"/>
    <w:rPr>
      <w:rFonts w:ascii="宋体" w:hAnsi="Times New Roman" w:eastAsia="宋体" w:cs="Times New Roman"/>
      <w:sz w:val="28"/>
      <w:szCs w:val="20"/>
    </w:rPr>
  </w:style>
  <w:style w:type="character" w:customStyle="1" w:styleId="217">
    <w:name w:val="标题 Char"/>
    <w:uiPriority w:val="0"/>
    <w:rPr>
      <w:rFonts w:ascii="黑体" w:hAnsi="Arial" w:eastAsia="黑体" w:cs="Arial"/>
      <w:bCs/>
      <w:kern w:val="2"/>
      <w:sz w:val="72"/>
      <w:szCs w:val="32"/>
      <w:lang w:val="en-US" w:eastAsia="zh-CN" w:bidi="ar-SA"/>
    </w:rPr>
  </w:style>
  <w:style w:type="character" w:customStyle="1" w:styleId="218">
    <w:name w:val="表头1-1 Char"/>
    <w:link w:val="219"/>
    <w:uiPriority w:val="0"/>
    <w:rPr>
      <w:rFonts w:ascii="Times New Roman" w:hAnsi="Times New Roman" w:eastAsia="黑体" w:cs="Times New Roman"/>
      <w:kern w:val="2"/>
      <w:sz w:val="24"/>
      <w:szCs w:val="24"/>
      <w:lang w:val="en-US" w:eastAsia="zh-CN" w:bidi="ar-SA"/>
    </w:rPr>
  </w:style>
  <w:style w:type="paragraph" w:customStyle="1" w:styleId="219">
    <w:name w:val="表头1-1"/>
    <w:basedOn w:val="205"/>
    <w:link w:val="218"/>
    <w:uiPriority w:val="0"/>
    <w:pPr>
      <w:spacing w:before="156" w:beforeLines="50" w:line="300" w:lineRule="auto"/>
      <w:ind w:firstLine="200" w:firstLineChars="200"/>
    </w:pPr>
    <w:rPr>
      <w:rFonts w:eastAsia="黑体"/>
    </w:rPr>
  </w:style>
  <w:style w:type="character" w:customStyle="1" w:styleId="220">
    <w:name w:val="标题 2 Char2"/>
    <w:aliases w:val="节标题 1.1 Char,标题 1.1 Char,MB2 Char,Titre 2 SP Char,标题 2 Char Char1,标题 2 Char Char Char Char Char Char Char Char,标题 2 Char1 Char,标题 2 Char Char Char,标题 2 Char Char Char Char Char Char Char Char Char Char Char Char Char Char Char "/>
    <w:link w:val="221"/>
    <w:uiPriority w:val="0"/>
    <w:rPr>
      <w:rFonts w:ascii="Cambria" w:hAnsi="Cambria" w:eastAsia="宋体" w:cs="Times New Roman"/>
      <w:b/>
      <w:sz w:val="32"/>
      <w:lang w:bidi="ar-SA"/>
    </w:rPr>
  </w:style>
  <w:style w:type="paragraph" w:customStyle="1" w:styleId="221">
    <w:name w:val="heading 2"/>
    <w:basedOn w:val="1"/>
    <w:next w:val="133"/>
    <w:link w:val="220"/>
    <w:uiPriority w:val="0"/>
    <w:pPr>
      <w:tabs>
        <w:tab w:val="left" w:pos="-709"/>
        <w:tab w:val="left" w:pos="284"/>
      </w:tabs>
      <w:spacing w:line="300" w:lineRule="auto"/>
      <w:ind w:left="1260" w:hanging="420"/>
      <w:textAlignment w:val="baseline"/>
      <w:outlineLvl w:val="1"/>
    </w:pPr>
    <w:rPr>
      <w:rFonts w:ascii="Cambria" w:hAnsi="Cambria"/>
      <w:b/>
      <w:kern w:val="0"/>
      <w:sz w:val="32"/>
      <w:szCs w:val="20"/>
    </w:rPr>
  </w:style>
  <w:style w:type="character" w:customStyle="1" w:styleId="222">
    <w:name w:val="纯文本 Char"/>
    <w:uiPriority w:val="0"/>
    <w:rPr>
      <w:rFonts w:ascii="宋体" w:hAnsi="Courier New" w:eastAsia="宋体" w:cs="Courier New"/>
      <w:kern w:val="2"/>
      <w:sz w:val="21"/>
      <w:szCs w:val="21"/>
    </w:rPr>
  </w:style>
  <w:style w:type="character" w:customStyle="1" w:styleId="223">
    <w:name w:val="正文文本缩进 2 Char"/>
    <w:link w:val="48"/>
    <w:uiPriority w:val="0"/>
    <w:rPr>
      <w:rFonts w:ascii="Times New Roman" w:hAnsi="Times New Roman" w:eastAsia="宋体" w:cs="Times New Roman"/>
      <w:kern w:val="2"/>
      <w:sz w:val="21"/>
      <w:lang w:bidi="ar-SA"/>
    </w:rPr>
  </w:style>
  <w:style w:type="character" w:customStyle="1" w:styleId="224">
    <w:name w:val="正文文本缩进 3 Char"/>
    <w:link w:val="66"/>
    <w:uiPriority w:val="0"/>
    <w:rPr>
      <w:rFonts w:ascii="Times New Roman" w:hAnsi="Times New Roman" w:eastAsia="宋体" w:cs="Times New Roman"/>
      <w:kern w:val="2"/>
      <w:sz w:val="16"/>
      <w:szCs w:val="16"/>
      <w:lang w:bidi="ar-SA"/>
    </w:rPr>
  </w:style>
  <w:style w:type="character" w:customStyle="1" w:styleId="225">
    <w:name w:val="Char Char6"/>
    <w:uiPriority w:val="0"/>
    <w:rPr>
      <w:rFonts w:ascii="Times New Roman" w:hAnsi="Times New Roman" w:eastAsia="宋体" w:cs="Times New Roman"/>
      <w:b/>
      <w:bCs/>
      <w:kern w:val="44"/>
      <w:sz w:val="32"/>
      <w:szCs w:val="44"/>
      <w:lang w:val="en-US" w:eastAsia="zh-CN" w:bidi="ar-SA"/>
    </w:rPr>
  </w:style>
  <w:style w:type="character" w:customStyle="1" w:styleId="226">
    <w:name w:val=" Char Char13"/>
    <w:uiPriority w:val="0"/>
    <w:rPr>
      <w:rFonts w:ascii="宋体" w:hAnsi="Courier New" w:eastAsia="宋体" w:cs="Times New Roman"/>
      <w:sz w:val="21"/>
      <w:szCs w:val="21"/>
      <w:lang w:bidi="ar-SA"/>
    </w:rPr>
  </w:style>
  <w:style w:type="character" w:customStyle="1" w:styleId="227">
    <w:name w:val="Balloon Text Char"/>
    <w:uiPriority w:val="0"/>
    <w:rPr>
      <w:rFonts w:ascii="Times New Roman" w:hAnsi="Times New Roman" w:eastAsia="宋体" w:cs="Times New Roman"/>
      <w:sz w:val="18"/>
      <w:lang w:bidi="ar-SA"/>
    </w:rPr>
  </w:style>
  <w:style w:type="character" w:customStyle="1" w:styleId="228">
    <w:name w:val="引用 Char1"/>
    <w:uiPriority w:val="0"/>
    <w:rPr>
      <w:rFonts w:ascii="Times New Roman" w:hAnsi="Times New Roman" w:eastAsia="宋体" w:cs="Times New Roman"/>
      <w:i/>
      <w:iCs/>
      <w:color w:val="000000"/>
      <w:szCs w:val="24"/>
    </w:rPr>
  </w:style>
  <w:style w:type="character" w:customStyle="1" w:styleId="229">
    <w:name w:val="表格文字居中（小四） Char"/>
    <w:link w:val="230"/>
    <w:uiPriority w:val="0"/>
    <w:rPr>
      <w:rFonts w:ascii="宋体" w:hAnsi="宋体" w:eastAsia="宋体" w:cs="宋体"/>
      <w:kern w:val="2"/>
      <w:sz w:val="21"/>
      <w:szCs w:val="21"/>
      <w:lang w:val="en-US" w:eastAsia="zh-CN" w:bidi="ar-SA"/>
    </w:rPr>
  </w:style>
  <w:style w:type="paragraph" w:customStyle="1" w:styleId="230">
    <w:name w:val="表格文字居中（小四）"/>
    <w:basedOn w:val="137"/>
    <w:link w:val="229"/>
    <w:uiPriority w:val="0"/>
    <w:pPr>
      <w:widowControl w:val="0"/>
      <w:adjustRightInd w:val="0"/>
      <w:snapToGrid w:val="0"/>
      <w:spacing w:line="240" w:lineRule="auto"/>
      <w:ind w:right="-122" w:rightChars="-58" w:firstLine="0" w:firstLineChars="0"/>
      <w:jc w:val="center"/>
    </w:pPr>
    <w:rPr>
      <w:rFonts w:ascii="宋体" w:hAnsi="宋体" w:eastAsia="宋体" w:cs="宋体"/>
      <w:w w:val="100"/>
      <w:sz w:val="21"/>
      <w:szCs w:val="21"/>
    </w:rPr>
  </w:style>
  <w:style w:type="character" w:customStyle="1" w:styleId="231">
    <w:name w:val="图头 Char"/>
    <w:link w:val="232"/>
    <w:uiPriority w:val="0"/>
    <w:rPr>
      <w:rFonts w:ascii="Times New Roman" w:hAnsi="Times New Roman" w:eastAsia="黑体" w:cs="Times New Roman"/>
      <w:kern w:val="2"/>
      <w:sz w:val="24"/>
      <w:szCs w:val="24"/>
      <w:lang w:val="en-US" w:eastAsia="zh-CN" w:bidi="ar-SA"/>
    </w:rPr>
  </w:style>
  <w:style w:type="paragraph" w:customStyle="1" w:styleId="232">
    <w:name w:val="图头"/>
    <w:basedOn w:val="1"/>
    <w:link w:val="231"/>
    <w:uiPriority w:val="0"/>
    <w:pPr>
      <w:spacing w:before="156" w:beforeLines="50" w:line="300" w:lineRule="auto"/>
      <w:jc w:val="center"/>
    </w:pPr>
    <w:rPr>
      <w:rFonts w:eastAsia="黑体"/>
      <w:sz w:val="24"/>
    </w:rPr>
  </w:style>
  <w:style w:type="character" w:customStyle="1" w:styleId="233">
    <w:name w:val="正文：样式 小四 首行缩进:  0.74 厘米 行距: 1.5 倍行距 Char"/>
    <w:link w:val="234"/>
    <w:uiPriority w:val="0"/>
    <w:rPr>
      <w:rFonts w:ascii="Times New Roman" w:hAnsi="Times New Roman" w:eastAsia="宋体" w:cs="宋体"/>
      <w:kern w:val="2"/>
      <w:sz w:val="24"/>
      <w:lang w:val="en-US" w:eastAsia="zh-CN" w:bidi="ar-SA"/>
    </w:rPr>
  </w:style>
  <w:style w:type="paragraph" w:customStyle="1" w:styleId="234">
    <w:name w:val="正文：样式 小四 首行缩进:  0.74 厘米 行距: 1.5 倍行距"/>
    <w:basedOn w:val="1"/>
    <w:link w:val="233"/>
    <w:uiPriority w:val="0"/>
    <w:pPr>
      <w:spacing w:line="360" w:lineRule="auto"/>
      <w:ind w:firstLine="420"/>
    </w:pPr>
    <w:rPr>
      <w:rFonts w:cs="宋体"/>
      <w:sz w:val="24"/>
      <w:szCs w:val="20"/>
    </w:rPr>
  </w:style>
  <w:style w:type="character" w:customStyle="1" w:styleId="235">
    <w:name w:val="正文文本 Char2"/>
    <w:link w:val="32"/>
    <w:uiPriority w:val="0"/>
    <w:rPr>
      <w:rFonts w:ascii="Times New Roman" w:hAnsi="Times New Roman" w:eastAsia="宋体" w:cs="Times New Roman"/>
      <w:kern w:val="2"/>
      <w:sz w:val="21"/>
      <w:szCs w:val="24"/>
      <w:lang w:val="en-US" w:eastAsia="zh-CN" w:bidi="ar-SA"/>
    </w:rPr>
  </w:style>
  <w:style w:type="character" w:customStyle="1" w:styleId="236">
    <w:name w:val="3级标题 Char"/>
    <w:link w:val="237"/>
    <w:uiPriority w:val="0"/>
    <w:rPr>
      <w:rFonts w:ascii="Times New Roman" w:hAnsi="Times New Roman" w:eastAsia="宋体" w:cs="Times New Roman"/>
      <w:bCs/>
      <w:sz w:val="24"/>
      <w:szCs w:val="32"/>
      <w:lang w:val="en-US" w:eastAsia="zh-CN" w:bidi="ar-SA"/>
    </w:rPr>
  </w:style>
  <w:style w:type="paragraph" w:customStyle="1" w:styleId="237">
    <w:name w:val="3级标题"/>
    <w:basedOn w:val="4"/>
    <w:link w:val="236"/>
    <w:uiPriority w:val="0"/>
    <w:pPr>
      <w:widowControl/>
      <w:adjustRightInd w:val="0"/>
      <w:snapToGrid w:val="0"/>
      <w:spacing w:before="156" w:beforeLines="50" w:after="0" w:line="300" w:lineRule="auto"/>
      <w:jc w:val="left"/>
    </w:pPr>
    <w:rPr>
      <w:b w:val="0"/>
      <w:kern w:val="0"/>
      <w:sz w:val="24"/>
    </w:rPr>
  </w:style>
  <w:style w:type="character" w:customStyle="1" w:styleId="238">
    <w:name w:val="Heading 1 Char"/>
    <w:uiPriority w:val="0"/>
    <w:rPr>
      <w:rFonts w:ascii="Times New Roman" w:hAnsi="Times New Roman" w:eastAsia="仿宋_GB2312" w:cs="Times New Roman"/>
      <w:b/>
      <w:bCs/>
      <w:kern w:val="44"/>
      <w:sz w:val="44"/>
      <w:szCs w:val="44"/>
    </w:rPr>
  </w:style>
  <w:style w:type="character" w:customStyle="1" w:styleId="239">
    <w:name w:val="报告正文 Char"/>
    <w:uiPriority w:val="0"/>
    <w:rPr>
      <w:rFonts w:ascii="宋体" w:hAnsi="宋体" w:eastAsia="宋体" w:cs="Times New Roman"/>
      <w:kern w:val="2"/>
      <w:sz w:val="28"/>
      <w:szCs w:val="24"/>
      <w:lang w:val="en-US" w:eastAsia="zh-CN" w:bidi="ar-SA"/>
    </w:rPr>
  </w:style>
  <w:style w:type="character" w:customStyle="1" w:styleId="240">
    <w:name w:val=" Char Char5"/>
    <w:uiPriority w:val="0"/>
    <w:rPr>
      <w:rFonts w:ascii="Times New Roman" w:hAnsi="Times New Roman" w:eastAsia="仿宋_GB2312" w:cs="Times New Roman"/>
      <w:kern w:val="2"/>
      <w:sz w:val="28"/>
      <w:lang w:val="en-US" w:eastAsia="zh-CN"/>
    </w:rPr>
  </w:style>
  <w:style w:type="character" w:styleId="241">
    <w:name w:val=""/>
    <w:qFormat/>
    <w:uiPriority w:val="0"/>
    <w:rPr>
      <w:rFonts w:ascii="Times New Roman" w:hAnsi="Times New Roman" w:eastAsia="宋体" w:cs="Times New Roman"/>
      <w:b/>
      <w:sz w:val="24"/>
      <w:u w:val="single"/>
    </w:rPr>
  </w:style>
  <w:style w:type="character" w:customStyle="1" w:styleId="242">
    <w:name w:val=" Char Char16"/>
    <w:uiPriority w:val="0"/>
    <w:rPr>
      <w:rFonts w:ascii="Times New Roman" w:hAnsi="Times New Roman" w:eastAsia="宋体" w:cs="Times New Roman"/>
      <w:b/>
      <w:kern w:val="44"/>
      <w:sz w:val="44"/>
      <w:lang w:val="en-US" w:eastAsia="zh-CN"/>
    </w:rPr>
  </w:style>
  <w:style w:type="character" w:customStyle="1" w:styleId="243">
    <w:name w:val=" Char Char32"/>
    <w:uiPriority w:val="0"/>
    <w:rPr>
      <w:rFonts w:ascii="Arial" w:hAnsi="Arial" w:eastAsia="黑体" w:cs="Times New Roman"/>
      <w:b/>
      <w:bCs/>
      <w:kern w:val="2"/>
      <w:sz w:val="32"/>
      <w:szCs w:val="32"/>
      <w:lang w:val="en-US" w:eastAsia="zh-CN" w:bidi="ar-SA"/>
    </w:rPr>
  </w:style>
  <w:style w:type="character" w:customStyle="1" w:styleId="244">
    <w:name w:val=" Char Char3"/>
    <w:uiPriority w:val="0"/>
    <w:rPr>
      <w:rFonts w:ascii="Times New Roman" w:hAnsi="Times New Roman" w:eastAsia="宋体" w:cs="Times New Roman"/>
      <w:kern w:val="2"/>
      <w:sz w:val="18"/>
      <w:lang w:val="en-US" w:eastAsia="zh-CN"/>
    </w:rPr>
  </w:style>
  <w:style w:type="character" w:customStyle="1" w:styleId="245">
    <w:name w:val="篇号"/>
    <w:uiPriority w:val="0"/>
    <w:rPr>
      <w:rFonts w:ascii="Times New Roman" w:hAnsi="Times New Roman" w:eastAsia="宋体" w:cs="Times New Roman"/>
    </w:rPr>
  </w:style>
  <w:style w:type="character" w:customStyle="1" w:styleId="246">
    <w:name w:val="Char Char18"/>
    <w:uiPriority w:val="0"/>
    <w:rPr>
      <w:rFonts w:ascii="Times New Roman" w:hAnsi="Times New Roman" w:eastAsia="宋体" w:cs="Times New Roman"/>
      <w:b/>
      <w:bCs/>
      <w:sz w:val="28"/>
      <w:szCs w:val="28"/>
    </w:rPr>
  </w:style>
  <w:style w:type="character" w:customStyle="1" w:styleId="247">
    <w:name w:val="Body Text Indent 3 Char"/>
    <w:uiPriority w:val="0"/>
    <w:rPr>
      <w:rFonts w:ascii="Times New Roman" w:hAnsi="Times New Roman" w:eastAsia="仿宋_GB2312" w:cs="Times New Roman"/>
      <w:color w:val="FF0000"/>
      <w:sz w:val="24"/>
      <w:szCs w:val="24"/>
    </w:rPr>
  </w:style>
  <w:style w:type="character" w:customStyle="1" w:styleId="248">
    <w:name w:val="Body Text Indent Char"/>
    <w:uiPriority w:val="0"/>
    <w:rPr>
      <w:rFonts w:ascii="Times New Roman" w:hAnsi="Times New Roman" w:eastAsia="仿宋_GB2312" w:cs="Times New Roman"/>
      <w:sz w:val="24"/>
      <w:szCs w:val="24"/>
    </w:rPr>
  </w:style>
  <w:style w:type="character" w:customStyle="1" w:styleId="249">
    <w:name w:val="标题2 Char"/>
    <w:aliases w:val="1.1标题 2 Char,1.1 Char,título 2 Char,标题 2 Char Char,1 Char,节 Char,sect 1.2 Char,H2 Char,H21 Char,R2 Char,h2 Char,Level 2 Topic Heading Char,Reset numbering Char,Heading 2 Hidden Char,Heading 2 CCBS Char,heading 2 Char,l2 Char,节标题 Char,节标题 1.1 Ch"/>
    <w:uiPriority w:val="0"/>
    <w:rPr>
      <w:rFonts w:ascii="Arial" w:hAnsi="Arial" w:eastAsia="黑体" w:cs="Times New Roman"/>
      <w:b/>
      <w:bCs/>
      <w:kern w:val="2"/>
      <w:sz w:val="32"/>
      <w:szCs w:val="32"/>
      <w:lang w:val="en-US" w:eastAsia="zh-CN" w:bidi="ar-SA"/>
    </w:rPr>
  </w:style>
  <w:style w:type="character" w:customStyle="1" w:styleId="250">
    <w:name w:val=" Char Char15"/>
    <w:uiPriority w:val="0"/>
    <w:rPr>
      <w:rFonts w:ascii="Arial" w:hAnsi="Arial" w:eastAsia="黑体" w:cs="Times New Roman"/>
      <w:b/>
      <w:kern w:val="2"/>
      <w:sz w:val="32"/>
      <w:lang w:val="en-US" w:eastAsia="zh-CN"/>
    </w:rPr>
  </w:style>
  <w:style w:type="character" w:styleId="251">
    <w:name w:val=""/>
    <w:qFormat/>
    <w:uiPriority w:val="0"/>
    <w:rPr>
      <w:rFonts w:ascii="Times New Roman" w:hAnsi="Times New Roman" w:eastAsia="宋体" w:cs="Times New Roman"/>
      <w:sz w:val="24"/>
      <w:u w:val="single"/>
    </w:rPr>
  </w:style>
  <w:style w:type="character" w:customStyle="1" w:styleId="252">
    <w:name w:val="MB4 Char"/>
    <w:aliases w:val="§1.1.1.1. Char"/>
    <w:link w:val="253"/>
    <w:uiPriority w:val="0"/>
    <w:rPr>
      <w:rFonts w:ascii="Cambria" w:hAnsi="Cambria" w:eastAsia="宋体" w:cs="Times New Roman"/>
      <w:b/>
      <w:sz w:val="28"/>
      <w:lang w:bidi="ar-SA"/>
    </w:rPr>
  </w:style>
  <w:style w:type="paragraph" w:customStyle="1" w:styleId="253">
    <w:name w:val="heading 4"/>
    <w:basedOn w:val="1"/>
    <w:next w:val="133"/>
    <w:link w:val="252"/>
    <w:uiPriority w:val="0"/>
    <w:pPr>
      <w:tabs>
        <w:tab w:val="left" w:pos="-709"/>
        <w:tab w:val="left" w:pos="284"/>
      </w:tabs>
      <w:snapToGrid w:val="0"/>
      <w:spacing w:line="300" w:lineRule="auto"/>
      <w:ind w:left="2100" w:hanging="420"/>
      <w:textAlignment w:val="baseline"/>
      <w:outlineLvl w:val="3"/>
    </w:pPr>
    <w:rPr>
      <w:rFonts w:ascii="Cambria" w:hAnsi="Cambria"/>
      <w:b/>
      <w:kern w:val="0"/>
      <w:sz w:val="28"/>
      <w:szCs w:val="20"/>
    </w:rPr>
  </w:style>
  <w:style w:type="character" w:customStyle="1" w:styleId="254">
    <w:name w:val=" Char Char12"/>
    <w:uiPriority w:val="0"/>
    <w:rPr>
      <w:rFonts w:ascii="宋体" w:hAnsi="宋体" w:eastAsia="宋体" w:cs="Times New Roman"/>
      <w:b/>
      <w:sz w:val="24"/>
      <w:lang w:val="en-US" w:eastAsia="zh-CN"/>
    </w:rPr>
  </w:style>
  <w:style w:type="character" w:customStyle="1" w:styleId="255">
    <w:name w:val="页脚 Char"/>
    <w:link w:val="51"/>
    <w:uiPriority w:val="0"/>
    <w:rPr>
      <w:rFonts w:ascii="Times New Roman" w:hAnsi="Times New Roman" w:eastAsia="宋体" w:cs="Times New Roman"/>
      <w:kern w:val="2"/>
      <w:sz w:val="18"/>
      <w:szCs w:val="18"/>
      <w:lang w:bidi="ar-SA"/>
    </w:rPr>
  </w:style>
  <w:style w:type="character" w:customStyle="1" w:styleId="256">
    <w:name w:val="明显引用 Char"/>
    <w:uiPriority w:val="0"/>
    <w:rPr>
      <w:rFonts w:ascii="Calibri" w:hAnsi="Calibri" w:eastAsia="宋体" w:cs="Times New Roman"/>
      <w:b/>
      <w:i/>
      <w:sz w:val="24"/>
      <w:lang w:val="en-US" w:eastAsia="en-US"/>
    </w:rPr>
  </w:style>
  <w:style w:type="character" w:customStyle="1" w:styleId="257">
    <w:name w:val="正文（首行缩进两字） Char Char Char Char Char Char Char Char Char Char Char Char Char Char Char Char Char Char Char Char Char Char Char Char Char Char Char Char Char Char Char Char Char Char Char Char Char Char Char Char Char Char Char Char Char Char Char Char"/>
    <w:uiPriority w:val="0"/>
    <w:rPr>
      <w:rFonts w:ascii="Times New Roman" w:hAnsi="Times New Roman" w:eastAsia="宋体" w:cs="Times New Roman"/>
      <w:kern w:val="2"/>
      <w:sz w:val="28"/>
      <w:lang w:val="en-US" w:eastAsia="zh-CN"/>
    </w:rPr>
  </w:style>
  <w:style w:type="character" w:customStyle="1" w:styleId="258">
    <w:name w:val="标题 1 Char"/>
    <w:link w:val="2"/>
    <w:uiPriority w:val="0"/>
    <w:rPr>
      <w:rFonts w:ascii="Times New Roman" w:hAnsi="Times New Roman" w:eastAsia="黑体" w:cs="Times New Roman"/>
      <w:b/>
      <w:bCs/>
      <w:kern w:val="44"/>
      <w:sz w:val="32"/>
      <w:szCs w:val="44"/>
      <w:lang w:val="en-US" w:eastAsia="zh-CN" w:bidi="ar-SA"/>
    </w:rPr>
  </w:style>
  <w:style w:type="character" w:customStyle="1" w:styleId="259">
    <w:name w:val="明显引用 Char2"/>
    <w:uiPriority w:val="0"/>
    <w:rPr>
      <w:rFonts w:ascii="Times New Roman" w:hAnsi="Times New Roman" w:eastAsia="宋体" w:cs="Times New Roman"/>
      <w:b/>
      <w:bCs/>
      <w:i/>
      <w:iCs/>
      <w:color w:val="4F81BD"/>
      <w:kern w:val="2"/>
      <w:sz w:val="21"/>
      <w:szCs w:val="24"/>
    </w:rPr>
  </w:style>
  <w:style w:type="character" w:customStyle="1" w:styleId="260">
    <w:name w:val="标题 3 Char"/>
    <w:link w:val="4"/>
    <w:uiPriority w:val="0"/>
    <w:rPr>
      <w:rFonts w:ascii="Times New Roman" w:hAnsi="Times New Roman" w:eastAsia="宋体" w:cs="Times New Roman"/>
      <w:b/>
      <w:bCs/>
      <w:kern w:val="2"/>
      <w:sz w:val="32"/>
      <w:szCs w:val="32"/>
      <w:lang w:val="en-US" w:eastAsia="zh-CN" w:bidi="ar-SA"/>
    </w:rPr>
  </w:style>
  <w:style w:type="character" w:customStyle="1" w:styleId="261">
    <w:name w:val="正文（首行缩进两字） Char Char Char Char Char Char Char Char Char Char Char Char Char Char Char Char Char Char Char Char Char Char Char Char Char Char Char Char Char Char Char Char Char Char Char Char Char Char Char Char Char Char Char Char Char Char"/>
    <w:uiPriority w:val="0"/>
    <w:rPr>
      <w:rFonts w:ascii="Times New Roman" w:hAnsi="Times New Roman" w:eastAsia="宋体" w:cs="Times New Roman"/>
      <w:kern w:val="2"/>
      <w:sz w:val="28"/>
      <w:lang w:val="en-US" w:eastAsia="zh-CN"/>
    </w:rPr>
  </w:style>
  <w:style w:type="character" w:customStyle="1" w:styleId="262">
    <w:name w:val=" Char Char9"/>
    <w:uiPriority w:val="0"/>
    <w:rPr>
      <w:rFonts w:ascii="Arial" w:hAnsi="Arial" w:eastAsia="黑体" w:cs="Times New Roman"/>
      <w:sz w:val="24"/>
      <w:lang w:val="en-US" w:eastAsia="zh-CN"/>
    </w:rPr>
  </w:style>
  <w:style w:type="character" w:customStyle="1" w:styleId="263">
    <w:name w:val="标题2 Char3"/>
    <w:aliases w:val="1.1标题 2 Char3,1.1 Char3,sect 1.2 Char3,H2 Char3,H21 Char3,R2 Char3,h2 Char3,Level 2 Topic Heading Char3,Reset numbering Char3,Heading 2 Hidden Char3,Heading 2 CCBS Char3,heading 2 Char3,l2 Char3,2nd level Char3,Header 2 Char3,Titre3 Char1"/>
    <w:uiPriority w:val="0"/>
    <w:rPr>
      <w:rFonts w:ascii="Arial" w:hAnsi="Arial" w:eastAsia="宋体" w:cs="Times New Roman"/>
      <w:b/>
      <w:bCs/>
      <w:snapToGrid w:val="0"/>
      <w:kern w:val="2"/>
      <w:sz w:val="28"/>
      <w:szCs w:val="32"/>
      <w:lang w:val="en-US" w:eastAsia="zh-CN" w:bidi="ar-SA"/>
    </w:rPr>
  </w:style>
  <w:style w:type="character" w:customStyle="1" w:styleId="264">
    <w:name w:val="标题 9 Char"/>
    <w:link w:val="10"/>
    <w:uiPriority w:val="0"/>
    <w:rPr>
      <w:rFonts w:ascii="Arial" w:hAnsi="Arial" w:eastAsia="黑体" w:cs="Times New Roman"/>
      <w:kern w:val="2"/>
      <w:sz w:val="21"/>
      <w:szCs w:val="21"/>
      <w:lang w:bidi="ar-SA"/>
    </w:rPr>
  </w:style>
  <w:style w:type="character" w:customStyle="1" w:styleId="265">
    <w:name w:val="标题 2 Char2 Char"/>
    <w:aliases w:val="标题2 Char1 Char,1.1标题 2 Char1 Char,1.1 Char1 Char,sect 1.2 Char1 Char,H2 Char1 Char,H21 Char1 Char,R2 Char1 Char,h2 Char1 Char,Level 2 Topic Heading Char1 Char,Reset numbering Char1 Char,Heading 2 Hidden Char1 Char,heading 2 Char1 Char"/>
    <w:uiPriority w:val="0"/>
    <w:rPr>
      <w:rFonts w:ascii="Arial" w:hAnsi="Arial" w:eastAsia="宋体" w:cs="Times New Roman"/>
      <w:b/>
      <w:bCs/>
      <w:snapToGrid w:val="0"/>
      <w:kern w:val="2"/>
      <w:sz w:val="28"/>
      <w:szCs w:val="32"/>
      <w:lang w:val="en-US" w:eastAsia="zh-CN" w:bidi="ar-SA"/>
    </w:rPr>
  </w:style>
  <w:style w:type="character" w:customStyle="1" w:styleId="266">
    <w:name w:val="表格文字 Char"/>
    <w:link w:val="267"/>
    <w:uiPriority w:val="0"/>
    <w:rPr>
      <w:rFonts w:ascii="Times New Roman" w:hAnsi="Times New Roman" w:eastAsia="宋体" w:cs="Times New Roman"/>
      <w:sz w:val="24"/>
      <w:szCs w:val="24"/>
      <w:lang w:val="en-US" w:eastAsia="zh-CN" w:bidi="ar-SA"/>
    </w:rPr>
  </w:style>
  <w:style w:type="paragraph" w:customStyle="1" w:styleId="267">
    <w:name w:val="表格文字"/>
    <w:basedOn w:val="1"/>
    <w:link w:val="266"/>
    <w:uiPriority w:val="0"/>
    <w:pPr>
      <w:adjustRightInd w:val="0"/>
      <w:snapToGrid w:val="0"/>
      <w:jc w:val="center"/>
    </w:pPr>
    <w:rPr>
      <w:kern w:val="0"/>
      <w:sz w:val="24"/>
    </w:rPr>
  </w:style>
  <w:style w:type="character" w:customStyle="1" w:styleId="268">
    <w:name w:val="emailstyle20"/>
    <w:uiPriority w:val="0"/>
    <w:rPr>
      <w:rFonts w:ascii="Arial" w:hAnsi="Arial" w:eastAsia="宋体" w:cs="Times New Roman"/>
      <w:color w:val="000000"/>
      <w:sz w:val="20"/>
    </w:rPr>
  </w:style>
  <w:style w:type="character" w:styleId="269">
    <w:name w:val=""/>
    <w:qFormat/>
    <w:uiPriority w:val="0"/>
    <w:rPr>
      <w:rFonts w:ascii="Cambria" w:hAnsi="Cambria" w:eastAsia="宋体" w:cs="Times New Roman"/>
      <w:b/>
      <w:i/>
      <w:sz w:val="24"/>
    </w:rPr>
  </w:style>
  <w:style w:type="character" w:customStyle="1" w:styleId="270">
    <w:name w:val="脚注文本 Char"/>
    <w:link w:val="63"/>
    <w:uiPriority w:val="0"/>
    <w:rPr>
      <w:rFonts w:ascii="Times New Roman" w:hAnsi="Times New Roman" w:eastAsia="宋体" w:cs="Times New Roman"/>
      <w:kern w:val="2"/>
      <w:sz w:val="18"/>
      <w:lang w:bidi="ar-SA"/>
    </w:rPr>
  </w:style>
  <w:style w:type="character" w:customStyle="1" w:styleId="271">
    <w:name w:val="纯文本 Char Char Char Char1"/>
    <w:uiPriority w:val="0"/>
    <w:rPr>
      <w:rFonts w:ascii="宋体" w:hAnsi="Plotter" w:eastAsia="宋体" w:cs="Times New Roman"/>
      <w:kern w:val="2"/>
      <w:sz w:val="21"/>
      <w:lang w:val="en-US" w:eastAsia="zh-CN" w:bidi="ar-SA"/>
    </w:rPr>
  </w:style>
  <w:style w:type="character" w:customStyle="1" w:styleId="272">
    <w:name w:val="Char Char2"/>
    <w:uiPriority w:val="0"/>
    <w:rPr>
      <w:rFonts w:ascii="Times New Roman" w:hAnsi="Times New Roman" w:eastAsia="宋体" w:cs="Times New Roman"/>
      <w:kern w:val="2"/>
      <w:sz w:val="18"/>
      <w:lang w:val="en-US" w:eastAsia="zh-CN" w:bidi="ar-SA"/>
    </w:rPr>
  </w:style>
  <w:style w:type="character" w:customStyle="1" w:styleId="273">
    <w:name w:val=" Char"/>
    <w:uiPriority w:val="0"/>
    <w:rPr>
      <w:rFonts w:ascii="Arial" w:hAnsi="Arial" w:eastAsia="黑体" w:cs="Times New Roman"/>
      <w:b/>
      <w:sz w:val="32"/>
      <w:lang w:val="en-US" w:eastAsia="zh-CN"/>
    </w:rPr>
  </w:style>
  <w:style w:type="character" w:customStyle="1" w:styleId="274">
    <w:name w:val="日期 Char"/>
    <w:link w:val="47"/>
    <w:uiPriority w:val="0"/>
    <w:rPr>
      <w:rFonts w:ascii="Times New Roman" w:hAnsi="Times New Roman" w:eastAsia="宋体" w:cs="Times New Roman"/>
      <w:kern w:val="2"/>
      <w:sz w:val="24"/>
      <w:lang w:bidi="ar-SA"/>
    </w:rPr>
  </w:style>
  <w:style w:type="character" w:customStyle="1" w:styleId="275">
    <w:name w:val="正文文本 Char"/>
    <w:aliases w:val="bt Char,body text Char,contents Char,Body Text Char Char,Body Text Char1 Char Char,Body Text Char Char1 Char Char,Body Text Char Char Char Char Char Char,Body Text Char Char Char1 Char Char,Body Text Char Char Char Char Char1"/>
    <w:link w:val="276"/>
    <w:uiPriority w:val="0"/>
    <w:rPr>
      <w:rFonts w:ascii="Times New Roman" w:hAnsi="Times New Roman" w:eastAsia="宋体" w:cs="Times New Roman"/>
      <w:sz w:val="21"/>
      <w:lang w:val="en-US" w:eastAsia="zh-CN" w:bidi="ar-SA"/>
    </w:rPr>
  </w:style>
  <w:style w:type="paragraph" w:customStyle="1" w:styleId="276">
    <w:name w:val="Body Text"/>
    <w:basedOn w:val="1"/>
    <w:link w:val="275"/>
    <w:uiPriority w:val="0"/>
    <w:pPr>
      <w:widowControl/>
      <w:spacing w:after="120"/>
      <w:jc w:val="left"/>
    </w:pPr>
    <w:rPr>
      <w:kern w:val="0"/>
      <w:szCs w:val="20"/>
    </w:rPr>
  </w:style>
  <w:style w:type="character" w:customStyle="1" w:styleId="277">
    <w:name w:val="Char Char23"/>
    <w:uiPriority w:val="0"/>
    <w:rPr>
      <w:rFonts w:ascii="Times New Roman" w:hAnsi="Times New Roman" w:eastAsia="宋体" w:cs="Times New Roman"/>
      <w:b/>
      <w:bCs/>
      <w:kern w:val="44"/>
      <w:sz w:val="32"/>
      <w:szCs w:val="44"/>
      <w:lang w:val="en-US" w:eastAsia="zh-CN" w:bidi="ar-SA"/>
    </w:rPr>
  </w:style>
  <w:style w:type="character" w:customStyle="1" w:styleId="278">
    <w:name w:val="正文文本 2 Char"/>
    <w:link w:val="71"/>
    <w:uiPriority w:val="0"/>
    <w:rPr>
      <w:rFonts w:ascii="Times New Roman" w:hAnsi="Times New Roman" w:eastAsia="宋体" w:cs="Times New Roman"/>
      <w:kern w:val="2"/>
      <w:sz w:val="21"/>
      <w:lang w:val="en-US" w:eastAsia="zh-CN" w:bidi="ar-SA"/>
    </w:rPr>
  </w:style>
  <w:style w:type="character" w:customStyle="1" w:styleId="279">
    <w:name w:val="正文（首行缩进两字）1 Char1"/>
    <w:aliases w:val="正文（首行缩进两字）1 Char Char,正文缩进 Char Char Char Char,正文缩进 Char Char Char Char Char Char Char Char,正文缩进 Char Char Char1,正文缩进 Char Char1,正文（首行缩进两字） Char Char Char Char Char Char Char Char,正文（首行缩进_ Char Char,正文文字缩进小4 Char,正文文字缩进 2 Char,表正文 Char"/>
    <w:uiPriority w:val="0"/>
    <w:rPr>
      <w:rFonts w:ascii="Times New Roman" w:hAnsi="Times New Roman" w:eastAsia="宋体" w:cs="Times New Roman"/>
      <w:kern w:val="2"/>
      <w:sz w:val="21"/>
      <w:szCs w:val="24"/>
      <w:lang w:val="en-US" w:eastAsia="zh-CN" w:bidi="ar-SA"/>
    </w:rPr>
  </w:style>
  <w:style w:type="character" w:customStyle="1" w:styleId="280">
    <w:name w:val="Char Char21"/>
    <w:uiPriority w:val="0"/>
    <w:rPr>
      <w:rFonts w:ascii="Arial" w:hAnsi="Arial" w:eastAsia="黑体" w:cs="Times New Roman"/>
      <w:b/>
      <w:bCs/>
      <w:sz w:val="32"/>
      <w:szCs w:val="32"/>
    </w:rPr>
  </w:style>
  <w:style w:type="character" w:customStyle="1" w:styleId="281">
    <w:name w:val="正文首行缩进 2 Char"/>
    <w:link w:val="82"/>
    <w:uiPriority w:val="0"/>
    <w:rPr>
      <w:rFonts w:ascii="Times New Roman" w:hAnsi="Times New Roman" w:eastAsia="宋体" w:cs="Times New Roman"/>
      <w:kern w:val="2"/>
      <w:sz w:val="21"/>
    </w:rPr>
  </w:style>
  <w:style w:type="character" w:customStyle="1" w:styleId="282">
    <w:name w:val="Comment Text Char1"/>
    <w:uiPriority w:val="0"/>
    <w:rPr>
      <w:rFonts w:ascii="Times New Roman" w:hAnsi="Times New Roman" w:eastAsia="宋体" w:cs="Times New Roman"/>
      <w:sz w:val="24"/>
      <w:lang w:bidi="ar-SA"/>
    </w:rPr>
  </w:style>
  <w:style w:type="character" w:customStyle="1" w:styleId="283">
    <w:name w:val="表内容 Char"/>
    <w:link w:val="284"/>
    <w:uiPriority w:val="0"/>
    <w:rPr>
      <w:rFonts w:eastAsia="Times New Roman"/>
      <w:sz w:val="21"/>
      <w:lang w:val="en-US" w:eastAsia="zh-CN" w:bidi="ar-SA"/>
    </w:rPr>
  </w:style>
  <w:style w:type="paragraph" w:customStyle="1" w:styleId="284">
    <w:name w:val="表内容"/>
    <w:link w:val="283"/>
    <w:uiPriority w:val="0"/>
    <w:pPr>
      <w:widowControl w:val="0"/>
      <w:adjustRightInd w:val="0"/>
      <w:snapToGrid w:val="0"/>
      <w:spacing w:line="360" w:lineRule="exact"/>
      <w:ind w:left="-120" w:leftChars="-50" w:right="-134" w:rightChars="-56"/>
      <w:jc w:val="center"/>
      <w:textAlignment w:val="baseline"/>
    </w:pPr>
    <w:rPr>
      <w:rFonts w:eastAsia="Times New Roman"/>
      <w:sz w:val="21"/>
      <w:lang w:val="en-US" w:eastAsia="zh-CN" w:bidi="ar-SA"/>
    </w:rPr>
  </w:style>
  <w:style w:type="character" w:customStyle="1" w:styleId="285">
    <w:name w:val="Footer Char"/>
    <w:uiPriority w:val="0"/>
    <w:rPr>
      <w:rFonts w:ascii="Times New Roman" w:hAnsi="Times New Roman" w:eastAsia="宋体" w:cs="Times New Roman"/>
      <w:sz w:val="18"/>
      <w:szCs w:val="18"/>
    </w:rPr>
  </w:style>
  <w:style w:type="character" w:customStyle="1" w:styleId="286">
    <w:name w:val="图表说明 Char"/>
    <w:aliases w:val="普通文字 Char Char,纯文本 Char Char1,图表说明 Char Char,普通文字 Char Char Char Char Char Char1,普通文字 Char Char Char Char Char Char Char Char Char Char,标题5 Char,纯文本 Char1,Char Char Char Char Char Char Char Char Char1,孙普文字 Char,纯文本 Char1 Char Char Char"/>
    <w:uiPriority w:val="0"/>
    <w:rPr>
      <w:rFonts w:ascii="宋体" w:hAnsi="Courier New" w:eastAsia="宋体" w:cs="Times New Roman"/>
      <w:kern w:val="2"/>
      <w:sz w:val="28"/>
      <w:lang w:val="en-US" w:eastAsia="zh-CN" w:bidi="ar-SA"/>
    </w:rPr>
  </w:style>
  <w:style w:type="character" w:customStyle="1" w:styleId="287">
    <w:name w:val="表后文 Char"/>
    <w:aliases w:val="ÕýÎÄ1 Char,文本 Char,正文非缩进 Char,段1 Char,特点 Char1,正文不缩进 Char,s4 Char,ALT+Z Char,特点 Char Char,水上软件 Char,特点标题 Char,Indent 1 Char,正文非缩进 Char Char Char Char,正文非缩进 Char Char Char Char Char Char,Normal Indent（正文缩进） Char,缩进 Char,首行缩进 Char,样式3 Char,表正文 Ch"/>
    <w:uiPriority w:val="0"/>
    <w:rPr>
      <w:rFonts w:ascii="Times New Roman" w:hAnsi="Times New Roman" w:eastAsia="宋体" w:cs="Times New Roman"/>
      <w:kern w:val="2"/>
      <w:sz w:val="28"/>
      <w:szCs w:val="28"/>
      <w:lang w:val="en-US" w:eastAsia="zh-CN" w:bidi="ar-SA"/>
    </w:rPr>
  </w:style>
  <w:style w:type="character" w:customStyle="1" w:styleId="288">
    <w:name w:val="标题4 Char Char"/>
    <w:link w:val="289"/>
    <w:uiPriority w:val="0"/>
    <w:rPr>
      <w:rFonts w:ascii="Arial" w:hAnsi="Arial" w:eastAsia="宋体" w:cs="Times New Roman"/>
      <w:b/>
      <w:bCs/>
      <w:sz w:val="24"/>
      <w:szCs w:val="32"/>
      <w:lang w:bidi="ar-SA"/>
    </w:rPr>
  </w:style>
  <w:style w:type="paragraph" w:customStyle="1" w:styleId="289">
    <w:name w:val="标题4"/>
    <w:basedOn w:val="3"/>
    <w:next w:val="39"/>
    <w:link w:val="288"/>
    <w:uiPriority w:val="0"/>
    <w:rPr>
      <w:rFonts w:eastAsia="宋体"/>
      <w:kern w:val="0"/>
      <w:sz w:val="24"/>
    </w:rPr>
  </w:style>
  <w:style w:type="character" w:customStyle="1" w:styleId="290">
    <w:name w:val="Blockquote Char2"/>
    <w:link w:val="291"/>
    <w:uiPriority w:val="0"/>
    <w:rPr>
      <w:rFonts w:ascii="Times New Roman" w:hAnsi="Times New Roman" w:eastAsia="宋体" w:cs="Times New Roman"/>
      <w:sz w:val="24"/>
      <w:lang w:val="en-US" w:eastAsia="zh-CN" w:bidi="ar-SA"/>
    </w:rPr>
  </w:style>
  <w:style w:type="paragraph" w:customStyle="1" w:styleId="291">
    <w:name w:val="Blockquote"/>
    <w:basedOn w:val="1"/>
    <w:link w:val="290"/>
    <w:uiPriority w:val="0"/>
    <w:pPr>
      <w:autoSpaceDE w:val="0"/>
      <w:autoSpaceDN w:val="0"/>
      <w:adjustRightInd w:val="0"/>
      <w:spacing w:before="100" w:after="100"/>
      <w:ind w:left="360" w:right="360"/>
      <w:jc w:val="left"/>
    </w:pPr>
    <w:rPr>
      <w:kern w:val="0"/>
      <w:sz w:val="24"/>
      <w:szCs w:val="20"/>
    </w:rPr>
  </w:style>
  <w:style w:type="character" w:customStyle="1" w:styleId="292">
    <w:name w:val="纯文本 Char Char Char1"/>
    <w:aliases w:val="纯文本 Char Char Char Char Char Char1,纯文本 Char Char Char Char Char2,图表说明 Char1,普通文字 Char1,普通文字 Char Char1,Plain Text Char,普通文字 Char Char Char Char,普通文字 Char Char Char Char Char Char Char Char Char,普通文字1 Char,普通文字2 Char,普通文字3 Char,小 Char"/>
    <w:uiPriority w:val="0"/>
    <w:rPr>
      <w:rFonts w:ascii="宋体" w:hAnsi="Plotter" w:eastAsia="宋体" w:cs="Times New Roman"/>
      <w:kern w:val="2"/>
      <w:sz w:val="21"/>
      <w:lang w:val="en-US" w:eastAsia="zh-CN" w:bidi="ar-SA"/>
    </w:rPr>
  </w:style>
  <w:style w:type="character" w:customStyle="1" w:styleId="293">
    <w:name w:val="正文缩进 Char1"/>
    <w:uiPriority w:val="0"/>
    <w:rPr>
      <w:rFonts w:ascii="宋体" w:hAnsi="Times New Roman" w:eastAsia="宋体" w:cs="Times New Roman"/>
      <w:kern w:val="2"/>
      <w:sz w:val="28"/>
      <w:szCs w:val="24"/>
      <w:lang w:val="en-US" w:eastAsia="zh-CN" w:bidi="ar-SA"/>
    </w:rPr>
  </w:style>
  <w:style w:type="character" w:customStyle="1" w:styleId="294">
    <w:name w:val=" Char Char7"/>
    <w:uiPriority w:val="0"/>
    <w:rPr>
      <w:rFonts w:ascii="Times New Roman" w:hAnsi="Times New Roman" w:eastAsia="宋体" w:cs="Times New Roman"/>
      <w:sz w:val="24"/>
      <w:lang w:val="en-US" w:eastAsia="zh-CN"/>
    </w:rPr>
  </w:style>
  <w:style w:type="character" w:customStyle="1" w:styleId="295">
    <w:name w:val="Heading 5 Char"/>
    <w:uiPriority w:val="0"/>
    <w:rPr>
      <w:rFonts w:ascii="Times New Roman" w:hAnsi="Times New Roman" w:eastAsia="宋体" w:cs="Times New Roman"/>
      <w:b/>
      <w:bCs/>
      <w:kern w:val="2"/>
      <w:sz w:val="28"/>
      <w:szCs w:val="28"/>
      <w:lang w:val="en-US" w:eastAsia="zh-CN" w:bidi="ar-SA"/>
    </w:rPr>
  </w:style>
  <w:style w:type="character" w:customStyle="1" w:styleId="296">
    <w:name w:val="标题 6 Char"/>
    <w:uiPriority w:val="0"/>
    <w:rPr>
      <w:rFonts w:ascii="宋体" w:hAnsi="Arial" w:eastAsia="宋体" w:cs="Times New Roman"/>
      <w:b/>
      <w:bCs/>
      <w:snapToGrid w:val="0"/>
      <w:sz w:val="28"/>
      <w:szCs w:val="28"/>
      <w:lang w:val="en-US" w:eastAsia="zh-CN" w:bidi="ar-SA"/>
    </w:rPr>
  </w:style>
  <w:style w:type="character" w:customStyle="1" w:styleId="297">
    <w:name w:val="纯文本 Char Char Char Char Char Char"/>
    <w:aliases w:val="纯文本 Char Char Char Char Char1"/>
    <w:uiPriority w:val="0"/>
    <w:rPr>
      <w:rFonts w:ascii="宋体" w:hAnsi="Plotter" w:eastAsia="宋体" w:cs="Times New Roman"/>
      <w:kern w:val="2"/>
      <w:sz w:val="21"/>
      <w:lang w:val="en-US" w:eastAsia="zh-CN" w:bidi="ar-SA"/>
    </w:rPr>
  </w:style>
  <w:style w:type="character" w:customStyle="1" w:styleId="298">
    <w:name w:val="正文（首行缩进两字） Char Char Char"/>
    <w:aliases w:val="正文（首行缩进两字） Char Char Char Char Char Char Char Char Char Char Char Char Char Char Char Char Char Char Char Char Char Char Char Char Char Char Char Char Char Char,正文（首行缩进两字） Char Char Char1"/>
    <w:uiPriority w:val="0"/>
    <w:rPr>
      <w:rFonts w:ascii="Times New Roman" w:hAnsi="Times New Roman" w:eastAsia="宋体" w:cs="Times New Roman"/>
      <w:kern w:val="2"/>
      <w:sz w:val="28"/>
      <w:lang w:val="en-US" w:eastAsia="zh-CN"/>
    </w:rPr>
  </w:style>
  <w:style w:type="character" w:customStyle="1" w:styleId="299">
    <w:name w:val="Header Char"/>
    <w:uiPriority w:val="0"/>
    <w:rPr>
      <w:rFonts w:ascii="Times New Roman" w:hAnsi="Times New Roman" w:eastAsia="仿宋_GB2312" w:cs="Times New Roman"/>
      <w:sz w:val="18"/>
      <w:szCs w:val="18"/>
    </w:rPr>
  </w:style>
  <w:style w:type="character" w:customStyle="1" w:styleId="300">
    <w:name w:val="Heading 3 Char1"/>
    <w:uiPriority w:val="0"/>
    <w:rPr>
      <w:rFonts w:ascii="Times New Roman" w:hAnsi="Times New Roman" w:eastAsia="宋体" w:cs="Times New Roman"/>
      <w:b/>
      <w:bCs/>
      <w:kern w:val="2"/>
      <w:sz w:val="24"/>
      <w:szCs w:val="32"/>
      <w:lang w:val="en-US" w:eastAsia="zh-CN" w:bidi="ar-SA"/>
    </w:rPr>
  </w:style>
  <w:style w:type="paragraph" w:customStyle="1" w:styleId="301">
    <w:name w:val="reader-word-layer"/>
    <w:basedOn w:val="1"/>
    <w:uiPriority w:val="0"/>
    <w:pPr>
      <w:widowControl/>
      <w:spacing w:before="100" w:beforeAutospacing="1" w:after="100" w:afterAutospacing="1"/>
      <w:jc w:val="left"/>
    </w:pPr>
    <w:rPr>
      <w:rFonts w:ascii="宋体" w:hAnsi="宋体" w:eastAsia="宋体" w:cs="宋体"/>
      <w:kern w:val="0"/>
      <w:sz w:val="24"/>
    </w:rPr>
  </w:style>
  <w:style w:type="paragraph" w:customStyle="1" w:styleId="302">
    <w:name w:val="Headings Font"/>
    <w:basedOn w:val="1"/>
    <w:next w:val="32"/>
    <w:uiPriority w:val="0"/>
    <w:pPr>
      <w:keepNext/>
      <w:spacing w:line="280" w:lineRule="atLeast"/>
      <w:jc w:val="left"/>
    </w:pPr>
    <w:rPr>
      <w:rFonts w:ascii="Arial" w:hAnsi="Arial" w:eastAsia="宋体" w:cs="Times New Roman"/>
      <w:kern w:val="0"/>
      <w:sz w:val="22"/>
      <w:szCs w:val="20"/>
      <w:lang w:val="en-GB"/>
    </w:rPr>
  </w:style>
  <w:style w:type="paragraph" w:customStyle="1" w:styleId="303">
    <w:name w:val="正文NEW"/>
    <w:basedOn w:val="77"/>
    <w:uiPriority w:val="0"/>
    <w:pPr>
      <w:spacing w:before="60" w:after="60" w:line="400" w:lineRule="exact"/>
      <w:ind w:left="1800" w:leftChars="857" w:firstLine="539"/>
    </w:pPr>
    <w:rPr>
      <w:rFonts w:ascii="黑体" w:hAnsi="Times New Roman" w:eastAsia="黑体" w:cs="Times New Roman"/>
    </w:rPr>
  </w:style>
  <w:style w:type="paragraph" w:customStyle="1" w:styleId="304">
    <w:name w:val="face"/>
    <w:basedOn w:val="1"/>
    <w:uiPriority w:val="0"/>
    <w:pPr>
      <w:widowControl/>
      <w:overflowPunct w:val="0"/>
      <w:autoSpaceDE w:val="0"/>
      <w:autoSpaceDN w:val="0"/>
      <w:adjustRightInd w:val="0"/>
      <w:spacing w:before="60" w:after="60" w:line="240" w:lineRule="atLeast"/>
      <w:ind w:firstLine="567"/>
      <w:textAlignment w:val="baseline"/>
    </w:pPr>
    <w:rPr>
      <w:rFonts w:ascii="仿宋体" w:hAnsi="Times New Roman" w:eastAsia="仿宋体" w:cs="Times New Roman"/>
      <w:kern w:val="0"/>
      <w:sz w:val="24"/>
      <w:szCs w:val="20"/>
      <w:lang/>
    </w:rPr>
  </w:style>
  <w:style w:type="paragraph" w:customStyle="1" w:styleId="305">
    <w:name w:val="Header"/>
    <w:basedOn w:val="306"/>
    <w:next w:val="306"/>
    <w:uiPriority w:val="0"/>
    <w:pPr>
      <w:spacing w:after="120"/>
    </w:pPr>
    <w:rPr>
      <w:rFonts w:ascii="Arial Unicode MS" w:hAnsi="Arial Unicode MS" w:eastAsia="宋体" w:cs="Times New Roman"/>
      <w:color w:val="auto"/>
      <w:szCs w:val="20"/>
    </w:rPr>
  </w:style>
  <w:style w:type="paragraph" w:customStyle="1" w:styleId="306">
    <w:name w:val="Default"/>
    <w:uiPriority w:val="0"/>
    <w:pPr>
      <w:widowControl w:val="0"/>
      <w:autoSpaceDE w:val="0"/>
      <w:autoSpaceDN w:val="0"/>
      <w:adjustRightInd w:val="0"/>
    </w:pPr>
    <w:rPr>
      <w:color w:val="000000"/>
      <w:sz w:val="24"/>
      <w:szCs w:val="24"/>
      <w:lang w:val="en-US" w:eastAsia="zh-CN" w:bidi="ar-SA"/>
    </w:rPr>
  </w:style>
  <w:style w:type="paragraph" w:customStyle="1" w:styleId="307">
    <w:name w:val="表标题1"/>
    <w:basedOn w:val="1"/>
    <w:uiPriority w:val="0"/>
    <w:pPr>
      <w:spacing w:line="360" w:lineRule="auto"/>
      <w:ind w:right="-5" w:firstLine="588" w:firstLineChars="245"/>
      <w:jc w:val="center"/>
    </w:pPr>
    <w:rPr>
      <w:rFonts w:ascii="宋体" w:hAnsi="宋体" w:eastAsia="宋体" w:cs="Times New Roman"/>
      <w:bCs/>
      <w:sz w:val="24"/>
    </w:rPr>
  </w:style>
  <w:style w:type="paragraph" w:customStyle="1" w:styleId="308">
    <w:name w:val="标题1q"/>
    <w:basedOn w:val="2"/>
    <w:uiPriority w:val="0"/>
    <w:pPr>
      <w:widowControl/>
      <w:tabs>
        <w:tab w:val="left" w:pos="2322"/>
      </w:tabs>
      <w:spacing w:before="340" w:after="330" w:line="240" w:lineRule="auto"/>
      <w:ind w:left="431" w:firstLine="200" w:firstLineChars="200"/>
      <w:jc w:val="center"/>
    </w:pPr>
    <w:rPr>
      <w:rFonts w:ascii="宋体" w:hAnsi="宋体" w:eastAsia="宋体" w:cs="宋体"/>
      <w:szCs w:val="32"/>
    </w:rPr>
  </w:style>
  <w:style w:type="paragraph" w:customStyle="1" w:styleId="309">
    <w:name w:val="发布部门"/>
    <w:next w:val="1"/>
    <w:uiPriority w:val="0"/>
    <w:pPr>
      <w:framePr w:w="7433" w:h="585" w:hRule="exact" w:hSpace="180" w:vSpace="180" w:wrap="around" w:vAnchor="margin" w:hAnchor="margin" w:xAlign="center" w:y="14401" w:anchorLock="1"/>
      <w:jc w:val="center"/>
    </w:pPr>
    <w:rPr>
      <w:rFonts w:ascii="宋体"/>
      <w:b/>
      <w:spacing w:val="20"/>
      <w:w w:val="135"/>
      <w:sz w:val="36"/>
      <w:lang w:val="en-US" w:eastAsia="zh-CN" w:bidi="ar-SA"/>
    </w:rPr>
  </w:style>
  <w:style w:type="paragraph" w:customStyle="1" w:styleId="310">
    <w:name w:val="签署内容"/>
    <w:basedOn w:val="1"/>
    <w:uiPriority w:val="0"/>
    <w:pPr>
      <w:keepNext/>
      <w:spacing w:line="300" w:lineRule="auto"/>
      <w:ind w:firstLine="800" w:firstLineChars="250"/>
    </w:pPr>
    <w:rPr>
      <w:rFonts w:ascii="Times New Roman" w:hAnsi="Times New Roman" w:eastAsia="宋体" w:cs="Times New Roman"/>
      <w:sz w:val="32"/>
      <w:szCs w:val="32"/>
      <w:lang/>
    </w:rPr>
  </w:style>
  <w:style w:type="paragraph" w:customStyle="1" w:styleId="311">
    <w:name w:val="SuepSubHead"/>
    <w:basedOn w:val="1"/>
    <w:uiPriority w:val="0"/>
    <w:pPr>
      <w:widowControl/>
      <w:tabs>
        <w:tab w:val="left" w:pos="1260"/>
      </w:tabs>
      <w:ind w:left="1260" w:hanging="420"/>
      <w:jc w:val="left"/>
    </w:pPr>
    <w:rPr>
      <w:rFonts w:ascii="Times New Roman" w:hAnsi="Times New Roman" w:eastAsia="宋体" w:cs="Times New Roman"/>
      <w:b/>
      <w:kern w:val="0"/>
      <w:sz w:val="22"/>
      <w:szCs w:val="20"/>
      <w:lang/>
    </w:rPr>
  </w:style>
  <w:style w:type="paragraph" w:customStyle="1" w:styleId="312">
    <w:name w:val="CM57"/>
    <w:basedOn w:val="306"/>
    <w:next w:val="306"/>
    <w:uiPriority w:val="0"/>
    <w:rPr>
      <w:rFonts w:ascii="Times New Roman" w:hAnsi="Times New Roman" w:eastAsia="宋体" w:cs="Times New Roman"/>
      <w:color w:val="auto"/>
    </w:rPr>
  </w:style>
  <w:style w:type="paragraph" w:customStyle="1" w:styleId="313">
    <w:name w:val="cucd-2"/>
    <w:next w:val="314"/>
    <w:uiPriority w:val="0"/>
    <w:pPr>
      <w:tabs>
        <w:tab w:val="left" w:pos="1258"/>
        <w:tab w:val="left" w:pos="3447"/>
      </w:tabs>
      <w:spacing w:line="360" w:lineRule="auto"/>
      <w:ind w:left="1258" w:hanging="420"/>
      <w:outlineLvl w:val="1"/>
    </w:pPr>
    <w:rPr>
      <w:rFonts w:eastAsia="黑体"/>
      <w:b/>
      <w:kern w:val="2"/>
      <w:sz w:val="30"/>
      <w:lang w:val="en-US" w:eastAsia="zh-CN" w:bidi="ar-SA"/>
    </w:rPr>
  </w:style>
  <w:style w:type="paragraph" w:customStyle="1" w:styleId="314">
    <w:name w:val="cucd-3"/>
    <w:next w:val="315"/>
    <w:uiPriority w:val="0"/>
    <w:pPr>
      <w:tabs>
        <w:tab w:val="left" w:pos="1678"/>
        <w:tab w:val="left" w:pos="3589"/>
      </w:tabs>
      <w:spacing w:line="360" w:lineRule="auto"/>
      <w:ind w:left="1678" w:hanging="420"/>
      <w:outlineLvl w:val="2"/>
    </w:pPr>
    <w:rPr>
      <w:b/>
      <w:kern w:val="2"/>
      <w:sz w:val="28"/>
      <w:lang w:val="en-US" w:eastAsia="zh-CN" w:bidi="ar-SA"/>
    </w:rPr>
  </w:style>
  <w:style w:type="paragraph" w:customStyle="1" w:styleId="315">
    <w:name w:val="cucd-4"/>
    <w:next w:val="316"/>
    <w:uiPriority w:val="0"/>
    <w:pPr>
      <w:tabs>
        <w:tab w:val="left" w:pos="2098"/>
        <w:tab w:val="left" w:pos="3731"/>
      </w:tabs>
      <w:spacing w:line="360" w:lineRule="auto"/>
      <w:ind w:left="2098" w:hanging="420"/>
      <w:outlineLvl w:val="3"/>
    </w:pPr>
    <w:rPr>
      <w:b/>
      <w:kern w:val="2"/>
      <w:sz w:val="24"/>
      <w:lang w:val="en-US" w:eastAsia="zh-CN" w:bidi="ar-SA"/>
    </w:rPr>
  </w:style>
  <w:style w:type="paragraph" w:customStyle="1" w:styleId="316">
    <w:name w:val="cucd-0"/>
    <w:uiPriority w:val="0"/>
    <w:pPr>
      <w:spacing w:line="360" w:lineRule="auto"/>
      <w:ind w:firstLine="480" w:firstLineChars="200"/>
    </w:pPr>
    <w:rPr>
      <w:kern w:val="2"/>
      <w:sz w:val="24"/>
      <w:lang w:val="en-US" w:eastAsia="zh-CN" w:bidi="ar-SA"/>
    </w:rPr>
  </w:style>
  <w:style w:type="paragraph" w:customStyle="1" w:styleId="317">
    <w:name w:val="标题二"/>
    <w:basedOn w:val="1"/>
    <w:uiPriority w:val="0"/>
    <w:pPr>
      <w:spacing w:before="156" w:beforeLines="50" w:after="156" w:afterLines="50"/>
      <w:jc w:val="center"/>
      <w:outlineLvl w:val="1"/>
    </w:pPr>
    <w:rPr>
      <w:rFonts w:ascii="宋体" w:hAnsi="宋体" w:eastAsia="宋体" w:cs="Times New Roman"/>
      <w:b/>
      <w:sz w:val="30"/>
      <w:szCs w:val="30"/>
    </w:rPr>
  </w:style>
  <w:style w:type="paragraph" w:customStyle="1" w:styleId="318">
    <w:name w:val="No Spacing"/>
    <w:uiPriority w:val="0"/>
    <w:pPr>
      <w:widowControl w:val="0"/>
      <w:jc w:val="both"/>
    </w:pPr>
    <w:rPr>
      <w:kern w:val="2"/>
      <w:sz w:val="21"/>
      <w:szCs w:val="24"/>
      <w:lang w:val="en-US" w:eastAsia="zh-CN" w:bidi="ar-SA"/>
    </w:rPr>
  </w:style>
  <w:style w:type="paragraph" w:customStyle="1" w:styleId="319">
    <w:name w:val="标题四"/>
    <w:basedOn w:val="1"/>
    <w:next w:val="320"/>
    <w:uiPriority w:val="0"/>
    <w:pPr>
      <w:widowControl/>
      <w:spacing w:before="100" w:beforeAutospacing="1" w:after="100" w:afterAutospacing="1"/>
      <w:ind w:firstLine="200" w:firstLineChars="200"/>
      <w:outlineLvl w:val="3"/>
    </w:pPr>
    <w:rPr>
      <w:rFonts w:ascii="宋体" w:hAnsi="宋体" w:eastAsia="黑体" w:cs="宋体"/>
      <w:sz w:val="24"/>
    </w:rPr>
  </w:style>
  <w:style w:type="paragraph" w:customStyle="1" w:styleId="320">
    <w:name w:val="正文样式一"/>
    <w:basedOn w:val="1"/>
    <w:uiPriority w:val="0"/>
    <w:pPr>
      <w:widowControl/>
      <w:ind w:firstLine="200" w:firstLineChars="200"/>
    </w:pPr>
    <w:rPr>
      <w:rFonts w:ascii="宋体" w:hAnsi="宋体" w:eastAsia="宋体" w:cs="宋体"/>
      <w:sz w:val="24"/>
      <w:szCs w:val="28"/>
    </w:rPr>
  </w:style>
  <w:style w:type="paragraph" w:customStyle="1" w:styleId="321">
    <w:name w:val="表头1"/>
    <w:uiPriority w:val="0"/>
    <w:pPr>
      <w:tabs>
        <w:tab w:val="left" w:pos="284"/>
        <w:tab w:val="center" w:pos="4253"/>
        <w:tab w:val="left" w:pos="7938"/>
      </w:tabs>
      <w:spacing w:before="240" w:after="240"/>
    </w:pPr>
    <w:rPr>
      <w:rFonts w:ascii="黑体" w:eastAsia="黑体" w:cs="黑体"/>
      <w:sz w:val="24"/>
      <w:szCs w:val="24"/>
      <w:lang w:val="en-US" w:eastAsia="zh-CN" w:bidi="ar-SA"/>
    </w:rPr>
  </w:style>
  <w:style w:type="paragraph" w:customStyle="1" w:styleId="322">
    <w:name w:val="二级条标题"/>
    <w:basedOn w:val="323"/>
    <w:next w:val="325"/>
    <w:uiPriority w:val="0"/>
    <w:pPr>
      <w:outlineLvl w:val="3"/>
    </w:pPr>
    <w:rPr>
      <w:rFonts w:ascii="Times New Roman" w:hAnsi="Times New Roman" w:eastAsia="宋体" w:cs="Times New Roman"/>
    </w:rPr>
  </w:style>
  <w:style w:type="paragraph" w:customStyle="1" w:styleId="323">
    <w:name w:val="一级条标题"/>
    <w:basedOn w:val="324"/>
    <w:next w:val="325"/>
    <w:uiPriority w:val="0"/>
    <w:pPr>
      <w:spacing w:before="0" w:beforeLines="0" w:after="0" w:afterLines="0"/>
      <w:ind w:left="0" w:firstLine="0"/>
      <w:outlineLvl w:val="2"/>
    </w:pPr>
    <w:rPr>
      <w:rFonts w:ascii="Times New Roman" w:hAnsi="Times New Roman" w:eastAsia="宋体" w:cs="Times New Roman"/>
    </w:rPr>
  </w:style>
  <w:style w:type="paragraph" w:customStyle="1" w:styleId="324">
    <w:name w:val="章标题"/>
    <w:next w:val="325"/>
    <w:uiPriority w:val="0"/>
    <w:pPr>
      <w:tabs>
        <w:tab w:val="left" w:pos="842"/>
      </w:tabs>
      <w:spacing w:before="156" w:beforeLines="50" w:after="156" w:afterLines="50"/>
      <w:ind w:left="842" w:hanging="420"/>
      <w:jc w:val="both"/>
      <w:outlineLvl w:val="1"/>
    </w:pPr>
    <w:rPr>
      <w:rFonts w:ascii="黑体" w:eastAsia="黑体"/>
      <w:sz w:val="21"/>
      <w:lang w:val="en-US" w:eastAsia="zh-CN" w:bidi="ar-SA"/>
    </w:rPr>
  </w:style>
  <w:style w:type="paragraph" w:customStyle="1" w:styleId="325">
    <w:name w:val="段"/>
    <w:uiPriority w:val="0"/>
    <w:pPr>
      <w:autoSpaceDE w:val="0"/>
      <w:autoSpaceDN w:val="0"/>
      <w:ind w:firstLine="200" w:firstLineChars="200"/>
      <w:jc w:val="both"/>
    </w:pPr>
    <w:rPr>
      <w:rFonts w:ascii="宋体"/>
      <w:sz w:val="21"/>
      <w:lang w:val="en-US" w:eastAsia="zh-CN" w:bidi="ar-SA"/>
    </w:rPr>
  </w:style>
  <w:style w:type="paragraph" w:customStyle="1" w:styleId="326">
    <w:name w:val="正文文字（首行缩进2字）"/>
    <w:basedOn w:val="1"/>
    <w:uiPriority w:val="0"/>
    <w:pPr>
      <w:spacing w:line="360" w:lineRule="auto"/>
      <w:ind w:firstLine="200" w:firstLineChars="200"/>
    </w:pPr>
    <w:rPr>
      <w:rFonts w:ascii="Arial" w:hAnsi="Arial" w:eastAsia="宋体" w:cs="Times New Roman"/>
      <w:position w:val="-30"/>
      <w:sz w:val="28"/>
    </w:rPr>
  </w:style>
  <w:style w:type="paragraph" w:customStyle="1" w:styleId="327">
    <w:name w:val="WW-普通文字"/>
    <w:basedOn w:val="1"/>
    <w:uiPriority w:val="0"/>
    <w:pPr>
      <w:suppressAutoHyphens/>
    </w:pPr>
    <w:rPr>
      <w:rFonts w:ascii="宋体" w:hAnsi="宋体" w:eastAsia="宋体" w:cs="Times New Roman"/>
      <w:kern w:val="1"/>
      <w:szCs w:val="20"/>
    </w:rPr>
  </w:style>
  <w:style w:type="paragraph" w:customStyle="1" w:styleId="328">
    <w:name w:val="标准书眉一"/>
    <w:uiPriority w:val="0"/>
    <w:pPr>
      <w:jc w:val="both"/>
    </w:pPr>
    <w:rPr>
      <w:lang w:val="en-US" w:eastAsia="zh-CN" w:bidi="ar-SA"/>
    </w:rPr>
  </w:style>
  <w:style w:type="paragraph" w:customStyle="1" w:styleId="329">
    <w:name w:val="二级无标题条"/>
    <w:basedOn w:val="1"/>
    <w:uiPriority w:val="0"/>
    <w:rPr>
      <w:rFonts w:ascii="Times New Roman" w:hAnsi="Times New Roman" w:eastAsia="宋体" w:cs="Times New Roman"/>
      <w:szCs w:val="20"/>
    </w:rPr>
  </w:style>
  <w:style w:type="paragraph" w:customStyle="1" w:styleId="330">
    <w:name w:val="reader-word-layer reader-word-s2-3"/>
    <w:basedOn w:val="1"/>
    <w:uiPriority w:val="0"/>
    <w:pPr>
      <w:widowControl/>
      <w:spacing w:before="100" w:beforeAutospacing="1" w:after="100" w:afterAutospacing="1"/>
      <w:jc w:val="left"/>
    </w:pPr>
    <w:rPr>
      <w:rFonts w:ascii="宋体" w:hAnsi="宋体" w:eastAsia="宋体" w:cs="宋体"/>
      <w:kern w:val="0"/>
      <w:sz w:val="24"/>
    </w:rPr>
  </w:style>
  <w:style w:type="paragraph" w:customStyle="1" w:styleId="331">
    <w:name w:val="b-b5"/>
    <w:basedOn w:val="6"/>
    <w:next w:val="1"/>
    <w:uiPriority w:val="0"/>
    <w:pPr>
      <w:keepNext w:val="0"/>
      <w:keepLines w:val="0"/>
      <w:tabs>
        <w:tab w:val="clear" w:pos="1008"/>
      </w:tabs>
      <w:spacing w:before="40" w:after="40" w:line="400" w:lineRule="exact"/>
      <w:ind w:left="0" w:firstLine="301"/>
      <w:jc w:val="left"/>
    </w:pPr>
    <w:rPr>
      <w:rFonts w:ascii="Times New Roman" w:hAnsi="Times New Roman" w:eastAsia="宋体" w:cs="Times New Roman"/>
      <w:b w:val="0"/>
      <w:bCs w:val="0"/>
      <w:color w:val="000000"/>
      <w:sz w:val="24"/>
      <w:szCs w:val="20"/>
      <w:lang w:val="en-GB"/>
    </w:rPr>
  </w:style>
  <w:style w:type="paragraph" w:customStyle="1" w:styleId="332">
    <w:name w:val="样式 标题 3头 + 行距: 多倍行距 0.25 字行"/>
    <w:basedOn w:val="4"/>
    <w:uiPriority w:val="0"/>
    <w:pPr>
      <w:numPr>
        <w:ilvl w:val="2"/>
        <w:numId w:val="0"/>
      </w:numPr>
      <w:tabs>
        <w:tab w:val="left" w:pos="578"/>
        <w:tab w:val="left" w:pos="1560"/>
      </w:tabs>
      <w:spacing w:before="60" w:after="60" w:line="60" w:lineRule="auto"/>
      <w:ind w:left="578" w:hanging="578"/>
    </w:pPr>
    <w:rPr>
      <w:rFonts w:ascii="Times New Roman" w:hAnsi="Times New Roman" w:eastAsia="宋体" w:cs="Times New Roman"/>
      <w:bCs w:val="0"/>
      <w:sz w:val="28"/>
      <w:szCs w:val="20"/>
    </w:rPr>
  </w:style>
  <w:style w:type="paragraph" w:styleId="333">
    <w:name w:val=""/>
    <w:basedOn w:val="1"/>
    <w:next w:val="1"/>
    <w:uiPriority w:val="0"/>
    <w:pPr>
      <w:widowControl/>
      <w:pBdr>
        <w:top w:val="single" w:color="auto" w:sz="6" w:space="1"/>
      </w:pBdr>
      <w:jc w:val="center"/>
    </w:pPr>
    <w:rPr>
      <w:rFonts w:ascii="Arial" w:hAnsi="Arial" w:eastAsia="宋体" w:cs="Arial"/>
      <w:vanish/>
      <w:kern w:val="0"/>
      <w:sz w:val="16"/>
      <w:szCs w:val="16"/>
    </w:rPr>
  </w:style>
  <w:style w:type="paragraph" w:customStyle="1" w:styleId="334">
    <w:name w:val="备注"/>
    <w:basedOn w:val="1"/>
    <w:uiPriority w:val="0"/>
    <w:pPr>
      <w:keepNext/>
      <w:snapToGrid w:val="0"/>
      <w:spacing w:line="240" w:lineRule="atLeast"/>
      <w:ind w:firstLine="480" w:firstLineChars="200"/>
    </w:pPr>
    <w:rPr>
      <w:rFonts w:ascii="宋体" w:hAnsi="Times New Roman" w:eastAsia="宋体" w:cs="宋体"/>
      <w:sz w:val="24"/>
    </w:rPr>
  </w:style>
  <w:style w:type="paragraph" w:customStyle="1" w:styleId="335">
    <w:name w:val="二"/>
    <w:basedOn w:val="1"/>
    <w:uiPriority w:val="0"/>
    <w:pPr>
      <w:keepNext/>
      <w:keepLines/>
      <w:spacing w:before="156" w:beforeLines="50" w:after="156" w:afterLines="50"/>
      <w:jc w:val="center"/>
      <w:outlineLvl w:val="1"/>
    </w:pPr>
    <w:rPr>
      <w:rFonts w:ascii="宋体" w:hAnsi="宋体" w:eastAsia="宋体" w:cs="宋体"/>
      <w:b/>
      <w:bCs/>
      <w:sz w:val="30"/>
      <w:szCs w:val="30"/>
    </w:rPr>
  </w:style>
  <w:style w:type="paragraph" w:customStyle="1" w:styleId="336">
    <w:name w:val="font0"/>
    <w:basedOn w:val="1"/>
    <w:uiPriority w:val="0"/>
    <w:pPr>
      <w:widowControl/>
      <w:spacing w:before="100" w:beforeAutospacing="1" w:after="100" w:afterAutospacing="1"/>
      <w:jc w:val="left"/>
    </w:pPr>
    <w:rPr>
      <w:rFonts w:ascii="Arial" w:hAnsi="Arial" w:eastAsia="宋体" w:cs="Times New Roman"/>
      <w:kern w:val="0"/>
      <w:sz w:val="20"/>
      <w:szCs w:val="20"/>
    </w:rPr>
  </w:style>
  <w:style w:type="paragraph" w:styleId="337">
    <w:name w:val="Intense Quote"/>
    <w:basedOn w:val="1"/>
    <w:next w:val="1"/>
    <w:qFormat/>
    <w:uiPriority w:val="0"/>
    <w:pPr>
      <w:widowControl/>
      <w:ind w:left="720" w:right="720"/>
      <w:jc w:val="left"/>
    </w:pPr>
    <w:rPr>
      <w:rFonts w:ascii="Calibri" w:hAnsi="Calibri" w:eastAsia="宋体" w:cs="Times New Roman"/>
      <w:b/>
      <w:i/>
      <w:sz w:val="24"/>
      <w:szCs w:val="20"/>
      <w:lang w:eastAsia="en-US"/>
    </w:rPr>
  </w:style>
  <w:style w:type="paragraph" w:customStyle="1" w:styleId="338">
    <w:name w:val="_Style 37"/>
    <w:basedOn w:val="1"/>
    <w:next w:val="1"/>
    <w:uiPriority w:val="0"/>
    <w:rPr>
      <w:rFonts w:ascii="Times New Roman" w:hAnsi="Times New Roman" w:eastAsia="宋体" w:cs="Times New Roman"/>
    </w:rPr>
  </w:style>
  <w:style w:type="paragraph" w:customStyle="1" w:styleId="339">
    <w:name w:val="3.2标题"/>
    <w:basedOn w:val="1"/>
    <w:uiPriority w:val="0"/>
    <w:pPr>
      <w:spacing w:before="120" w:after="120" w:line="400" w:lineRule="exact"/>
      <w:ind w:left="1680" w:hanging="420"/>
      <w:jc w:val="center"/>
      <w:outlineLvl w:val="2"/>
    </w:pPr>
    <w:rPr>
      <w:rFonts w:ascii="宋体" w:hAnsi="宋体" w:eastAsia="宋体" w:cs="Times New Roman"/>
      <w:b/>
      <w:bCs/>
      <w:color w:val="000000"/>
      <w:sz w:val="28"/>
      <w:szCs w:val="28"/>
    </w:rPr>
  </w:style>
  <w:style w:type="paragraph" w:customStyle="1" w:styleId="340">
    <w:name w:val="ZB第一卷"/>
    <w:basedOn w:val="2"/>
    <w:next w:val="1"/>
    <w:uiPriority w:val="0"/>
    <w:pPr>
      <w:pageBreakBefore/>
      <w:tabs>
        <w:tab w:val="left" w:pos="425"/>
      </w:tabs>
      <w:adjustRightInd w:val="0"/>
      <w:snapToGrid w:val="0"/>
      <w:ind w:left="780" w:hanging="360"/>
      <w:jc w:val="center"/>
    </w:pPr>
    <w:rPr>
      <w:rFonts w:ascii="Times New Roman" w:hAnsi="Times New Roman" w:eastAsia="宋体" w:cs="Times New Roman"/>
      <w:sz w:val="44"/>
    </w:rPr>
  </w:style>
  <w:style w:type="paragraph" w:customStyle="1" w:styleId="341">
    <w:name w:val="条题"/>
    <w:basedOn w:val="1"/>
    <w:uiPriority w:val="0"/>
    <w:pPr>
      <w:tabs>
        <w:tab w:val="left" w:pos="1640"/>
      </w:tabs>
      <w:spacing w:before="156" w:beforeLines="50" w:line="480" w:lineRule="exact"/>
      <w:ind w:firstLine="560"/>
    </w:pPr>
    <w:rPr>
      <w:rFonts w:ascii="Times New Roman" w:hAnsi="Times New Roman" w:eastAsia="宋体" w:cs="Times New Roman"/>
      <w:color w:val="000000"/>
      <w:sz w:val="24"/>
    </w:rPr>
  </w:style>
  <w:style w:type="paragraph" w:customStyle="1" w:styleId="342">
    <w:name w:val="1.1.1.1A"/>
    <w:basedOn w:val="343"/>
    <w:uiPriority w:val="0"/>
    <w:pPr>
      <w:tabs>
        <w:tab w:val="left" w:pos="1134"/>
        <w:tab w:val="left" w:pos="1843"/>
      </w:tabs>
      <w:spacing w:line="400" w:lineRule="atLeast"/>
      <w:ind w:left="1560" w:right="200" w:hanging="426"/>
      <w:jc w:val="both"/>
    </w:pPr>
    <w:rPr>
      <w:rFonts w:ascii="Times New Roman" w:hAnsi="Times New Roman" w:eastAsia="宋体" w:cs="Times New Roman"/>
    </w:rPr>
  </w:style>
  <w:style w:type="paragraph" w:customStyle="1" w:styleId="343">
    <w:name w:val="1.1.1.1"/>
    <w:basedOn w:val="1"/>
    <w:uiPriority w:val="0"/>
    <w:pPr>
      <w:tabs>
        <w:tab w:val="left" w:pos="1134"/>
      </w:tabs>
      <w:adjustRightInd w:val="0"/>
      <w:spacing w:before="60" w:after="60" w:line="360" w:lineRule="atLeast"/>
      <w:ind w:left="1134" w:hanging="1134"/>
      <w:jc w:val="left"/>
      <w:textAlignment w:val="baseline"/>
    </w:pPr>
    <w:rPr>
      <w:rFonts w:ascii="Arial" w:hAnsi="Arial" w:eastAsia="宋体" w:cs="Times New Roman"/>
      <w:kern w:val="0"/>
      <w:sz w:val="24"/>
      <w:szCs w:val="20"/>
    </w:rPr>
  </w:style>
  <w:style w:type="paragraph" w:customStyle="1" w:styleId="344">
    <w:name w:val="卷标题"/>
    <w:basedOn w:val="1"/>
    <w:next w:val="1"/>
    <w:uiPriority w:val="0"/>
    <w:pPr>
      <w:adjustRightInd w:val="0"/>
      <w:snapToGrid w:val="0"/>
      <w:spacing w:line="360" w:lineRule="auto"/>
      <w:jc w:val="center"/>
    </w:pPr>
    <w:rPr>
      <w:rFonts w:ascii="黑体" w:hAnsi="Times New Roman" w:eastAsia="黑体" w:cs="Times New Roman"/>
      <w:bCs/>
      <w:sz w:val="84"/>
    </w:rPr>
  </w:style>
  <w:style w:type="paragraph" w:customStyle="1" w:styleId="345">
    <w:name w:val="样式 正文缩进正文（首行缩进两字）正文（首行缩进两字） Char Char Char Char Char Char Char..."/>
    <w:basedOn w:val="19"/>
    <w:uiPriority w:val="0"/>
    <w:pPr>
      <w:spacing w:line="312" w:lineRule="auto"/>
      <w:ind w:firstLine="539"/>
    </w:pPr>
    <w:rPr>
      <w:rFonts w:ascii="Times New Roman" w:hAnsi="Times New Roman" w:eastAsia="宋体" w:cs="Times New Roman"/>
      <w:sz w:val="28"/>
    </w:rPr>
  </w:style>
  <w:style w:type="paragraph" w:customStyle="1" w:styleId="346">
    <w:name w:val="fontnr"/>
    <w:basedOn w:val="1"/>
    <w:uiPriority w:val="0"/>
    <w:pPr>
      <w:widowControl/>
      <w:spacing w:before="100" w:beforeAutospacing="1" w:after="100" w:afterAutospacing="1" w:line="600" w:lineRule="atLeast"/>
      <w:jc w:val="left"/>
    </w:pPr>
    <w:rPr>
      <w:rFonts w:ascii="仿宋_GB2312" w:hAnsi="宋体" w:eastAsia="仿宋_GB2312" w:cs="Times New Roman"/>
      <w:color w:val="000000"/>
      <w:kern w:val="0"/>
      <w:sz w:val="32"/>
      <w:szCs w:val="20"/>
    </w:rPr>
  </w:style>
  <w:style w:type="paragraph" w:customStyle="1" w:styleId="347">
    <w:name w:val="表"/>
    <w:basedOn w:val="2"/>
    <w:next w:val="1"/>
    <w:uiPriority w:val="0"/>
    <w:pPr>
      <w:spacing w:before="340" w:after="330" w:line="240" w:lineRule="auto"/>
      <w:jc w:val="center"/>
      <w:outlineLvl w:val="9"/>
    </w:pPr>
    <w:rPr>
      <w:rFonts w:ascii="Times New Roman" w:hAnsi="Times New Roman" w:eastAsia="宋体" w:cs="Times New Roman"/>
      <w:b w:val="0"/>
      <w:kern w:val="21"/>
      <w:sz w:val="21"/>
    </w:rPr>
  </w:style>
  <w:style w:type="paragraph" w:customStyle="1" w:styleId="348">
    <w:name w:val="6'"/>
    <w:basedOn w:val="1"/>
    <w:uiPriority w:val="0"/>
    <w:pPr>
      <w:autoSpaceDE w:val="0"/>
      <w:autoSpaceDN w:val="0"/>
      <w:adjustRightInd w:val="0"/>
      <w:snapToGrid w:val="0"/>
      <w:spacing w:line="320" w:lineRule="exact"/>
      <w:jc w:val="center"/>
      <w:textAlignment w:val="baseline"/>
    </w:pPr>
    <w:rPr>
      <w:rFonts w:ascii="Times New Roman" w:hAnsi="Times New Roman" w:eastAsia="宋体" w:cs="Times New Roman"/>
      <w:spacing w:val="20"/>
      <w:kern w:val="28"/>
      <w:szCs w:val="20"/>
    </w:rPr>
  </w:style>
  <w:style w:type="paragraph" w:customStyle="1" w:styleId="349">
    <w:name w:val="Char Char Char Char"/>
    <w:basedOn w:val="1"/>
    <w:uiPriority w:val="0"/>
    <w:rPr>
      <w:rFonts w:ascii="Times New Roman" w:hAnsi="Times New Roman" w:eastAsia="宋体" w:cs="Times New Roman"/>
    </w:rPr>
  </w:style>
  <w:style w:type="paragraph" w:customStyle="1" w:styleId="350">
    <w:name w:val="CM60"/>
    <w:basedOn w:val="306"/>
    <w:next w:val="306"/>
    <w:uiPriority w:val="0"/>
    <w:rPr>
      <w:rFonts w:ascii="Times New Roman" w:hAnsi="Times New Roman" w:eastAsia="宋体" w:cs="Times New Roman"/>
      <w:color w:val="auto"/>
    </w:rPr>
  </w:style>
  <w:style w:type="paragraph" w:customStyle="1" w:styleId="351">
    <w:name w:val="ZB表格"/>
    <w:basedOn w:val="1"/>
    <w:uiPriority w:val="0"/>
    <w:pPr>
      <w:spacing w:before="60" w:after="60" w:line="0" w:lineRule="atLeast"/>
    </w:pPr>
    <w:rPr>
      <w:rFonts w:ascii="Times New Roman" w:hAnsi="Times New Roman" w:eastAsia="宋体" w:cs="Times New Roman"/>
    </w:rPr>
  </w:style>
  <w:style w:type="paragraph" w:customStyle="1" w:styleId="352">
    <w:name w:val="节1"/>
    <w:basedOn w:val="42"/>
    <w:uiPriority w:val="0"/>
    <w:pPr>
      <w:snapToGrid w:val="0"/>
      <w:spacing w:before="120" w:after="120" w:line="312" w:lineRule="auto"/>
      <w:ind w:firstLine="567"/>
      <w:outlineLvl w:val="1"/>
    </w:pPr>
    <w:rPr>
      <w:rFonts w:ascii="Times New Roman" w:hAnsi="Times New Roman" w:eastAsia="宋体" w:cs="Times New Roman"/>
      <w:b/>
      <w:spacing w:val="6"/>
      <w:sz w:val="32"/>
    </w:rPr>
  </w:style>
  <w:style w:type="paragraph" w:styleId="353">
    <w:name w:val=""/>
    <w:basedOn w:val="1"/>
    <w:next w:val="1"/>
    <w:uiPriority w:val="0"/>
    <w:pPr>
      <w:widowControl/>
      <w:pBdr>
        <w:bottom w:val="single" w:color="auto" w:sz="6" w:space="1"/>
      </w:pBdr>
      <w:jc w:val="center"/>
    </w:pPr>
    <w:rPr>
      <w:rFonts w:ascii="Arial" w:hAnsi="Arial" w:eastAsia="宋体" w:cs="Arial"/>
      <w:vanish/>
      <w:kern w:val="0"/>
      <w:sz w:val="16"/>
      <w:szCs w:val="16"/>
    </w:rPr>
  </w:style>
  <w:style w:type="paragraph" w:customStyle="1" w:styleId="354">
    <w:name w:val="(1)"/>
    <w:basedOn w:val="1"/>
    <w:uiPriority w:val="0"/>
    <w:pPr>
      <w:tabs>
        <w:tab w:val="left" w:pos="573"/>
      </w:tabs>
      <w:snapToGrid w:val="0"/>
      <w:spacing w:before="80" w:after="100" w:line="240" w:lineRule="atLeast"/>
      <w:textAlignment w:val="baseline"/>
    </w:pPr>
    <w:rPr>
      <w:rFonts w:hint="eastAsia" w:ascii="Arial" w:hAnsi="Arial" w:eastAsia="宋体" w:cs="Times New Roman"/>
      <w:kern w:val="44"/>
      <w:sz w:val="24"/>
      <w:szCs w:val="20"/>
    </w:rPr>
  </w:style>
  <w:style w:type="paragraph" w:customStyle="1" w:styleId="355">
    <w:name w:val="普通文本"/>
    <w:basedOn w:val="1"/>
    <w:uiPriority w:val="0"/>
    <w:pPr>
      <w:overflowPunct w:val="0"/>
      <w:autoSpaceDE w:val="0"/>
      <w:autoSpaceDN w:val="0"/>
      <w:adjustRightInd w:val="0"/>
      <w:snapToGrid w:val="0"/>
      <w:spacing w:line="300" w:lineRule="auto"/>
      <w:ind w:left="120" w:leftChars="50" w:right="240" w:rightChars="100" w:firstLine="560" w:firstLineChars="200"/>
      <w:jc w:val="left"/>
    </w:pPr>
    <w:rPr>
      <w:rFonts w:ascii="仿宋_GB2312" w:hAnsi="Times New Roman" w:eastAsia="仿宋_GB2312" w:cs="Times New Roman"/>
      <w:sz w:val="28"/>
      <w:szCs w:val="20"/>
      <w:lang w:val="zh-CN"/>
    </w:rPr>
  </w:style>
  <w:style w:type="paragraph" w:customStyle="1" w:styleId="356">
    <w:name w:val="编制日期"/>
    <w:basedOn w:val="1"/>
    <w:uiPriority w:val="0"/>
    <w:pPr>
      <w:keepNext/>
      <w:snapToGrid w:val="0"/>
      <w:spacing w:line="300" w:lineRule="auto"/>
      <w:jc w:val="center"/>
    </w:pPr>
    <w:rPr>
      <w:rFonts w:ascii="宋体" w:hAnsi="Times New Roman" w:eastAsia="宋体" w:cs="宋体"/>
      <w:sz w:val="32"/>
      <w:szCs w:val="32"/>
    </w:rPr>
  </w:style>
  <w:style w:type="paragraph" w:customStyle="1" w:styleId="357">
    <w:name w:val="表中文字"/>
    <w:basedOn w:val="1"/>
    <w:uiPriority w:val="0"/>
    <w:pPr>
      <w:widowControl/>
      <w:snapToGrid w:val="0"/>
      <w:jc w:val="center"/>
    </w:pPr>
    <w:rPr>
      <w:rFonts w:ascii="仿宋_GB2312" w:hAnsi="宋体" w:eastAsia="仿宋_GB2312" w:cs="宋体"/>
      <w:sz w:val="24"/>
      <w:szCs w:val="28"/>
    </w:rPr>
  </w:style>
  <w:style w:type="paragraph" w:styleId="358">
    <w:name w:val="No Spacing"/>
    <w:qFormat/>
    <w:uiPriority w:val="0"/>
    <w:pPr>
      <w:widowControl w:val="0"/>
      <w:jc w:val="both"/>
    </w:pPr>
    <w:rPr>
      <w:kern w:val="2"/>
      <w:sz w:val="21"/>
      <w:szCs w:val="24"/>
      <w:lang w:val="en-US" w:eastAsia="zh-CN" w:bidi="ar-SA"/>
    </w:rPr>
  </w:style>
  <w:style w:type="paragraph" w:customStyle="1" w:styleId="359">
    <w:name w:val="cucd-TB-Head"/>
    <w:basedOn w:val="1"/>
    <w:next w:val="316"/>
    <w:uiPriority w:val="0"/>
    <w:pPr>
      <w:spacing w:line="360" w:lineRule="auto"/>
      <w:jc w:val="center"/>
    </w:pPr>
    <w:rPr>
      <w:rFonts w:ascii="宋体" w:hAnsi="Times New Roman" w:eastAsia="黑体" w:cs="Times New Roman"/>
      <w:sz w:val="24"/>
      <w:szCs w:val="20"/>
    </w:rPr>
  </w:style>
  <w:style w:type="paragraph" w:customStyle="1" w:styleId="360">
    <w:name w:val="xl25"/>
    <w:basedOn w:val="1"/>
    <w:uiPriority w:val="0"/>
    <w:pPr>
      <w:widowControl/>
      <w:spacing w:before="100" w:beforeAutospacing="1" w:after="100" w:afterAutospacing="1"/>
      <w:jc w:val="right"/>
      <w:textAlignment w:val="center"/>
    </w:pPr>
    <w:rPr>
      <w:rFonts w:hint="eastAsia" w:ascii="宋体" w:hAnsi="宋体" w:eastAsia="宋体" w:cs="Arial Unicode MS"/>
      <w:kern w:val="0"/>
      <w:sz w:val="24"/>
    </w:rPr>
  </w:style>
  <w:style w:type="paragraph" w:customStyle="1" w:styleId="361">
    <w:name w:val="CM3"/>
    <w:basedOn w:val="306"/>
    <w:next w:val="306"/>
    <w:uiPriority w:val="0"/>
    <w:pPr>
      <w:adjustRightInd/>
      <w:spacing w:line="468" w:lineRule="atLeast"/>
    </w:pPr>
    <w:rPr>
      <w:rFonts w:hint="eastAsia" w:ascii="宋体" w:hAnsi="Times New Roman" w:eastAsia="宋体" w:cs="Times New Roman"/>
      <w:szCs w:val="20"/>
    </w:rPr>
  </w:style>
  <w:style w:type="paragraph" w:customStyle="1" w:styleId="362">
    <w:name w:val="样式 标题 2节 + 行距: 多倍行距 0.5 字行"/>
    <w:basedOn w:val="3"/>
    <w:uiPriority w:val="0"/>
    <w:pPr>
      <w:numPr>
        <w:ilvl w:val="1"/>
        <w:numId w:val="0"/>
      </w:numPr>
      <w:tabs>
        <w:tab w:val="left" w:pos="576"/>
      </w:tabs>
      <w:spacing w:before="80" w:after="80" w:line="300" w:lineRule="auto"/>
      <w:ind w:left="576" w:hanging="576"/>
    </w:pPr>
    <w:rPr>
      <w:rFonts w:ascii="Times New Roman" w:hAnsi="Times New Roman" w:eastAsia="宋体" w:cs="Times New Roman"/>
      <w:bCs w:val="0"/>
      <w:sz w:val="28"/>
      <w:szCs w:val="20"/>
    </w:rPr>
  </w:style>
  <w:style w:type="paragraph" w:customStyle="1" w:styleId="363">
    <w:name w:val="普通2"/>
    <w:basedOn w:val="42"/>
    <w:uiPriority w:val="0"/>
    <w:pPr>
      <w:jc w:val="center"/>
    </w:pPr>
    <w:rPr>
      <w:rFonts w:ascii="Times New Roman" w:hAnsi="Times New Roman" w:eastAsia="宋体" w:cs="Times New Roman"/>
      <w:snapToGrid w:val="0"/>
      <w:color w:val="000000"/>
      <w:kern w:val="0"/>
      <w:szCs w:val="24"/>
    </w:rPr>
  </w:style>
  <w:style w:type="paragraph" w:customStyle="1" w:styleId="364">
    <w:name w:val="表格正文"/>
    <w:basedOn w:val="1"/>
    <w:uiPriority w:val="0"/>
    <w:pPr>
      <w:autoSpaceDE w:val="0"/>
      <w:autoSpaceDN w:val="0"/>
      <w:adjustRightInd w:val="0"/>
      <w:snapToGrid w:val="0"/>
      <w:spacing w:before="60"/>
      <w:ind w:right="-96"/>
      <w:jc w:val="center"/>
    </w:pPr>
    <w:rPr>
      <w:rFonts w:ascii="宋体" w:hAnsi="宋体" w:eastAsia="宋体" w:cs="Arial"/>
      <w:color w:val="000000"/>
      <w:sz w:val="24"/>
      <w:szCs w:val="21"/>
    </w:rPr>
  </w:style>
  <w:style w:type="paragraph" w:customStyle="1" w:styleId="365">
    <w:name w:val="表文"/>
    <w:basedOn w:val="1"/>
    <w:uiPriority w:val="0"/>
    <w:pPr>
      <w:adjustRightInd w:val="0"/>
      <w:jc w:val="center"/>
      <w:textAlignment w:val="baseline"/>
    </w:pPr>
    <w:rPr>
      <w:rFonts w:ascii="Arial" w:hAnsi="Arial" w:eastAsia="宋体" w:cs="Times New Roman"/>
      <w:kern w:val="0"/>
      <w:sz w:val="24"/>
      <w:szCs w:val="20"/>
    </w:rPr>
  </w:style>
  <w:style w:type="paragraph" w:customStyle="1" w:styleId="366">
    <w:name w:val="兰郑长正文文本"/>
    <w:basedOn w:val="1"/>
    <w:uiPriority w:val="0"/>
    <w:pPr>
      <w:adjustRightInd w:val="0"/>
      <w:snapToGrid w:val="0"/>
      <w:spacing w:line="360" w:lineRule="auto"/>
      <w:ind w:left="100" w:leftChars="100" w:right="100" w:rightChars="100" w:firstLine="200" w:firstLineChars="200"/>
      <w:jc w:val="left"/>
    </w:pPr>
    <w:rPr>
      <w:rFonts w:ascii="宋体" w:hAnsi="宋体" w:eastAsia="宋体" w:cs="Times New Roman"/>
      <w:sz w:val="24"/>
    </w:rPr>
  </w:style>
  <w:style w:type="paragraph" w:customStyle="1" w:styleId="367">
    <w:name w:val="宽5中"/>
    <w:basedOn w:val="1"/>
    <w:next w:val="1"/>
    <w:uiPriority w:val="0"/>
    <w:pPr>
      <w:jc w:val="center"/>
    </w:pPr>
    <w:rPr>
      <w:rFonts w:ascii="Times New Roman" w:hAnsi="Times New Roman" w:eastAsia="宋体" w:cs="Times New Roman"/>
      <w:szCs w:val="28"/>
    </w:rPr>
  </w:style>
  <w:style w:type="paragraph" w:customStyle="1" w:styleId="368">
    <w:name w:val="样式2"/>
    <w:basedOn w:val="1"/>
    <w:uiPriority w:val="0"/>
    <w:pPr>
      <w:tabs>
        <w:tab w:val="left" w:pos="1134"/>
      </w:tabs>
      <w:adjustRightInd w:val="0"/>
      <w:snapToGrid w:val="0"/>
      <w:spacing w:line="360" w:lineRule="auto"/>
      <w:ind w:left="1134" w:hanging="510"/>
    </w:pPr>
    <w:rPr>
      <w:rFonts w:ascii="Times New Roman" w:hAnsi="Times New Roman" w:eastAsia="宋体" w:cs="Times New Roman"/>
      <w:sz w:val="28"/>
      <w:szCs w:val="20"/>
    </w:rPr>
  </w:style>
  <w:style w:type="paragraph" w:customStyle="1" w:styleId="369">
    <w:name w:val="表文字"/>
    <w:basedOn w:val="19"/>
    <w:uiPriority w:val="0"/>
    <w:pPr>
      <w:snapToGrid w:val="0"/>
      <w:spacing w:line="300" w:lineRule="auto"/>
      <w:ind w:firstLine="0"/>
      <w:jc w:val="center"/>
    </w:pPr>
    <w:rPr>
      <w:rFonts w:ascii="Times New Roman" w:hAnsi="宋体" w:eastAsia="宋体" w:cs="Times New Roman"/>
      <w:b/>
      <w:bCs/>
      <w:sz w:val="24"/>
      <w:szCs w:val="24"/>
    </w:rPr>
  </w:style>
  <w:style w:type="paragraph" w:customStyle="1" w:styleId="370">
    <w:name w:val="正文-ST-4"/>
    <w:basedOn w:val="1"/>
    <w:uiPriority w:val="0"/>
    <w:pPr>
      <w:widowControl/>
      <w:spacing w:line="360" w:lineRule="auto"/>
      <w:ind w:firstLine="567"/>
    </w:pPr>
    <w:rPr>
      <w:rFonts w:ascii="Times New Roman" w:hAnsi="Times New Roman" w:eastAsia="宋体" w:cs="Times New Roman"/>
      <w:kern w:val="0"/>
      <w:sz w:val="28"/>
      <w:szCs w:val="28"/>
    </w:rPr>
  </w:style>
  <w:style w:type="paragraph" w:customStyle="1" w:styleId="371">
    <w:name w:val="文章 + 首行缩进:  2 字符"/>
    <w:basedOn w:val="1"/>
    <w:uiPriority w:val="0"/>
    <w:pPr>
      <w:snapToGrid w:val="0"/>
      <w:spacing w:line="300" w:lineRule="auto"/>
      <w:ind w:firstLine="200" w:firstLineChars="200"/>
    </w:pPr>
    <w:rPr>
      <w:rFonts w:ascii="Times New Roman" w:hAnsi="Times New Roman" w:eastAsia="宋体" w:cs="宋体"/>
      <w:sz w:val="28"/>
      <w:szCs w:val="28"/>
    </w:rPr>
  </w:style>
  <w:style w:type="paragraph" w:customStyle="1" w:styleId="372">
    <w:name w:val="reader-word-layer reader-word-s1-6"/>
    <w:basedOn w:val="1"/>
    <w:uiPriority w:val="0"/>
    <w:pPr>
      <w:widowControl/>
      <w:spacing w:before="100" w:beforeAutospacing="1" w:after="100" w:afterAutospacing="1"/>
      <w:jc w:val="left"/>
    </w:pPr>
    <w:rPr>
      <w:rFonts w:ascii="宋体" w:hAnsi="宋体" w:eastAsia="宋体" w:cs="宋体"/>
      <w:kern w:val="0"/>
      <w:sz w:val="24"/>
    </w:rPr>
  </w:style>
  <w:style w:type="paragraph" w:customStyle="1" w:styleId="373">
    <w:name w:val="cucd-TB"/>
    <w:uiPriority w:val="0"/>
    <w:pPr>
      <w:spacing w:line="360" w:lineRule="auto"/>
      <w:jc w:val="center"/>
    </w:pPr>
    <w:rPr>
      <w:kern w:val="2"/>
      <w:sz w:val="21"/>
      <w:lang w:val="en-US" w:eastAsia="zh-CN" w:bidi="ar-SA"/>
    </w:rPr>
  </w:style>
  <w:style w:type="paragraph" w:customStyle="1" w:styleId="374">
    <w:name w:val="表格内容（中文）"/>
    <w:uiPriority w:val="0"/>
    <w:pPr>
      <w:widowControl w:val="0"/>
      <w:adjustRightInd w:val="0"/>
      <w:spacing w:line="380" w:lineRule="atLeast"/>
      <w:ind w:left="113"/>
      <w:textAlignment w:val="baseline"/>
    </w:pPr>
    <w:rPr>
      <w:rFonts w:eastAsia="楷体_GB2312"/>
      <w:sz w:val="21"/>
      <w:lang w:val="en-US" w:eastAsia="zh-CN" w:bidi="ar-SA"/>
    </w:rPr>
  </w:style>
  <w:style w:type="paragraph" w:customStyle="1" w:styleId="375">
    <w:name w:val="1.1编号"/>
    <w:basedOn w:val="1"/>
    <w:uiPriority w:val="0"/>
    <w:pPr>
      <w:widowControl/>
      <w:tabs>
        <w:tab w:val="left" w:pos="567"/>
        <w:tab w:val="left" w:pos="1684"/>
      </w:tabs>
      <w:spacing w:before="120" w:after="80" w:line="380" w:lineRule="exact"/>
      <w:ind w:left="1684" w:hanging="720"/>
    </w:pPr>
    <w:rPr>
      <w:rFonts w:ascii="Times New Roman" w:hAnsi="Times New Roman" w:eastAsia="宋体" w:cs="Times New Roman"/>
      <w:b/>
      <w:spacing w:val="20"/>
      <w:sz w:val="24"/>
      <w:szCs w:val="20"/>
    </w:rPr>
  </w:style>
  <w:style w:type="paragraph" w:customStyle="1" w:styleId="376">
    <w:name w:val="默认段落字体 Para Char Char Char Char"/>
    <w:basedOn w:val="1"/>
    <w:uiPriority w:val="0"/>
    <w:rPr>
      <w:rFonts w:ascii="Times New Roman" w:hAnsi="Times New Roman" w:eastAsia="宋体" w:cs="Times New Roman"/>
    </w:rPr>
  </w:style>
  <w:style w:type="paragraph" w:customStyle="1" w:styleId="377">
    <w:name w:val="Revision"/>
    <w:uiPriority w:val="0"/>
    <w:rPr>
      <w:kern w:val="2"/>
      <w:sz w:val="21"/>
      <w:szCs w:val="24"/>
      <w:lang w:val="en-US" w:eastAsia="zh-CN" w:bidi="ar-SA"/>
    </w:rPr>
  </w:style>
  <w:style w:type="paragraph" w:customStyle="1" w:styleId="378">
    <w:name w:val="表格文字居中（五号）"/>
    <w:basedOn w:val="1"/>
    <w:uiPriority w:val="0"/>
    <w:pPr>
      <w:adjustRightInd w:val="0"/>
      <w:snapToGrid w:val="0"/>
      <w:jc w:val="center"/>
      <w:textAlignment w:val="baseline"/>
    </w:pPr>
    <w:rPr>
      <w:rFonts w:ascii="宋体" w:hAnsi="宋体" w:eastAsia="宋体" w:cs="Times New Roman"/>
      <w:kern w:val="0"/>
    </w:rPr>
  </w:style>
  <w:style w:type="paragraph" w:customStyle="1" w:styleId="379">
    <w:name w:val="四级无标题条"/>
    <w:basedOn w:val="1"/>
    <w:uiPriority w:val="0"/>
    <w:rPr>
      <w:rFonts w:ascii="Times New Roman" w:hAnsi="Times New Roman" w:eastAsia="宋体" w:cs="Times New Roman"/>
      <w:szCs w:val="20"/>
    </w:rPr>
  </w:style>
  <w:style w:type="paragraph" w:customStyle="1" w:styleId="380">
    <w:name w:val=" Char Char Char Char Char Char Char"/>
    <w:basedOn w:val="1"/>
    <w:uiPriority w:val="0"/>
    <w:pPr>
      <w:adjustRightInd w:val="0"/>
      <w:spacing w:line="360" w:lineRule="auto"/>
    </w:pPr>
    <w:rPr>
      <w:rFonts w:ascii="Times New Roman" w:hAnsi="Times New Roman" w:eastAsia="宋体" w:cs="Times New Roman"/>
      <w:kern w:val="0"/>
      <w:sz w:val="24"/>
      <w:szCs w:val="20"/>
    </w:rPr>
  </w:style>
  <w:style w:type="paragraph" w:customStyle="1" w:styleId="381">
    <w:name w:val="bf.1"/>
    <w:basedOn w:val="19"/>
    <w:uiPriority w:val="0"/>
    <w:pPr>
      <w:spacing w:line="360" w:lineRule="auto"/>
      <w:ind w:left="1050" w:hanging="1050" w:hangingChars="375"/>
    </w:pPr>
    <w:rPr>
      <w:rFonts w:ascii="Arial" w:hAnsi="Arial" w:eastAsia="宋体" w:cs="Times New Roman"/>
      <w:sz w:val="24"/>
    </w:rPr>
  </w:style>
  <w:style w:type="paragraph" w:customStyle="1" w:styleId="382">
    <w:name w:val="CM95"/>
    <w:basedOn w:val="306"/>
    <w:next w:val="306"/>
    <w:uiPriority w:val="0"/>
    <w:pPr>
      <w:spacing w:after="115"/>
    </w:pPr>
    <w:rPr>
      <w:rFonts w:ascii="宋体" w:hAnsi="Times New Roman" w:eastAsia="宋体" w:cs="Times New Roman"/>
      <w:color w:val="auto"/>
      <w:szCs w:val="20"/>
    </w:rPr>
  </w:style>
  <w:style w:type="paragraph" w:customStyle="1" w:styleId="383">
    <w:name w:val="reader-word-layer reader-word-s3-1"/>
    <w:basedOn w:val="1"/>
    <w:uiPriority w:val="0"/>
    <w:pPr>
      <w:widowControl/>
      <w:spacing w:before="100" w:beforeAutospacing="1" w:after="100" w:afterAutospacing="1"/>
      <w:jc w:val="left"/>
    </w:pPr>
    <w:rPr>
      <w:rFonts w:ascii="宋体" w:hAnsi="宋体" w:eastAsia="宋体" w:cs="宋体"/>
      <w:kern w:val="0"/>
      <w:sz w:val="24"/>
    </w:rPr>
  </w:style>
  <w:style w:type="paragraph" w:customStyle="1" w:styleId="384">
    <w:name w:val="CM56"/>
    <w:basedOn w:val="306"/>
    <w:next w:val="306"/>
    <w:uiPriority w:val="0"/>
    <w:rPr>
      <w:rFonts w:ascii="Times New Roman" w:hAnsi="Times New Roman" w:eastAsia="宋体" w:cs="Times New Roman"/>
      <w:color w:val="auto"/>
    </w:rPr>
  </w:style>
  <w:style w:type="paragraph" w:customStyle="1" w:styleId="385">
    <w:name w:val="菲页1"/>
    <w:basedOn w:val="3"/>
    <w:uiPriority w:val="0"/>
    <w:pPr>
      <w:widowControl/>
      <w:spacing w:before="260" w:after="260"/>
      <w:jc w:val="center"/>
    </w:pPr>
    <w:rPr>
      <w:rFonts w:ascii="黑体" w:hAnsi="宋体" w:eastAsia="宋体" w:cs="Times New Roman"/>
      <w:b w:val="0"/>
      <w:bCs w:val="0"/>
      <w:kern w:val="0"/>
      <w:sz w:val="52"/>
      <w:szCs w:val="20"/>
    </w:rPr>
  </w:style>
  <w:style w:type="paragraph" w:customStyle="1" w:styleId="386">
    <w:name w:val="标题2－－张鑫"/>
    <w:basedOn w:val="3"/>
    <w:uiPriority w:val="0"/>
    <w:pPr>
      <w:spacing w:before="120" w:after="120" w:line="360" w:lineRule="auto"/>
      <w:jc w:val="center"/>
      <w:textAlignment w:val="center"/>
    </w:pPr>
    <w:rPr>
      <w:rFonts w:ascii="宋体" w:hAnsi="宋体" w:eastAsia="宋体" w:cs="宋体"/>
      <w:bCs w:val="0"/>
      <w:sz w:val="24"/>
      <w:szCs w:val="28"/>
    </w:rPr>
  </w:style>
  <w:style w:type="paragraph" w:customStyle="1" w:styleId="387">
    <w:name w:val="表内容1-1"/>
    <w:basedOn w:val="1"/>
    <w:uiPriority w:val="0"/>
    <w:pPr>
      <w:jc w:val="center"/>
      <w:textAlignment w:val="baseline"/>
    </w:pPr>
    <w:rPr>
      <w:rFonts w:ascii="Times New Roman" w:hAnsi="Times New Roman" w:eastAsia="宋体" w:cs="Times New Roman"/>
      <w:kern w:val="0"/>
      <w:szCs w:val="21"/>
    </w:rPr>
  </w:style>
  <w:style w:type="paragraph" w:customStyle="1" w:styleId="388">
    <w:name w:val="密级"/>
    <w:basedOn w:val="1"/>
    <w:uiPriority w:val="0"/>
    <w:pPr>
      <w:keepNext/>
      <w:snapToGrid w:val="0"/>
      <w:spacing w:line="300" w:lineRule="auto"/>
      <w:jc w:val="left"/>
    </w:pPr>
    <w:rPr>
      <w:rFonts w:ascii="宋体" w:hAnsi="Times New Roman" w:eastAsia="宋体" w:cs="宋体"/>
      <w:sz w:val="28"/>
      <w:szCs w:val="28"/>
    </w:rPr>
  </w:style>
  <w:style w:type="paragraph" w:customStyle="1" w:styleId="389">
    <w:name w:val="实施日期"/>
    <w:basedOn w:val="390"/>
    <w:uiPriority w:val="0"/>
    <w:pPr>
      <w:framePr w:hSpace="0" w:vAnchor="margin" w:hAnchor="text" w:xAlign="right"/>
      <w:jc w:val="right"/>
    </w:pPr>
    <w:rPr>
      <w:rFonts w:ascii="Times New Roman" w:hAnsi="Times New Roman" w:eastAsia="宋体" w:cs="Times New Roman"/>
    </w:rPr>
  </w:style>
  <w:style w:type="paragraph" w:customStyle="1" w:styleId="390">
    <w:name w:val="发布日期"/>
    <w:uiPriority w:val="0"/>
    <w:pPr>
      <w:framePr w:w="4000" w:h="473" w:hRule="exact" w:hSpace="180" w:vSpace="180" w:wrap="around" w:vAnchor="margin" w:hAnchor="margin" w:y="13511" w:anchorLock="1"/>
    </w:pPr>
    <w:rPr>
      <w:rFonts w:eastAsia="黑体"/>
      <w:sz w:val="28"/>
      <w:lang w:val="en-US" w:eastAsia="zh-CN" w:bidi="ar-SA"/>
    </w:rPr>
  </w:style>
  <w:style w:type="paragraph" w:customStyle="1" w:styleId="391">
    <w:name w:val="三级无标题条"/>
    <w:basedOn w:val="1"/>
    <w:uiPriority w:val="0"/>
    <w:rPr>
      <w:rFonts w:ascii="Times New Roman" w:hAnsi="Times New Roman" w:eastAsia="宋体" w:cs="Times New Roman"/>
      <w:szCs w:val="20"/>
    </w:rPr>
  </w:style>
  <w:style w:type="paragraph" w:customStyle="1" w:styleId="392">
    <w:name w:val="正文_1"/>
    <w:uiPriority w:val="0"/>
    <w:pPr>
      <w:widowControl w:val="0"/>
      <w:jc w:val="both"/>
    </w:pPr>
    <w:rPr>
      <w:kern w:val="2"/>
      <w:sz w:val="21"/>
      <w:szCs w:val="24"/>
      <w:lang w:val="en-US" w:eastAsia="zh-CN" w:bidi="ar-SA"/>
    </w:rPr>
  </w:style>
  <w:style w:type="paragraph" w:customStyle="1" w:styleId="393">
    <w:name w:val="目录"/>
    <w:basedOn w:val="1"/>
    <w:uiPriority w:val="0"/>
    <w:pPr>
      <w:widowControl/>
      <w:jc w:val="center"/>
    </w:pPr>
    <w:rPr>
      <w:rFonts w:ascii="宋体" w:hAnsi="Times New Roman" w:eastAsia="宋体" w:cs="Times New Roman"/>
      <w:b/>
      <w:kern w:val="0"/>
      <w:sz w:val="36"/>
      <w:szCs w:val="20"/>
    </w:rPr>
  </w:style>
  <w:style w:type="paragraph" w:customStyle="1" w:styleId="394">
    <w:name w:val="图表标题"/>
    <w:basedOn w:val="1"/>
    <w:uiPriority w:val="0"/>
    <w:pPr>
      <w:spacing w:before="156" w:beforeLines="50" w:after="156" w:afterLines="50"/>
      <w:jc w:val="center"/>
    </w:pPr>
    <w:rPr>
      <w:rFonts w:ascii="宋体" w:hAnsi="宋体" w:eastAsia="宋体" w:cs="Times New Roman"/>
      <w:b/>
      <w:szCs w:val="28"/>
    </w:rPr>
  </w:style>
  <w:style w:type="paragraph" w:customStyle="1" w:styleId="395">
    <w:name w:val="CM8"/>
    <w:basedOn w:val="306"/>
    <w:next w:val="306"/>
    <w:uiPriority w:val="0"/>
    <w:pPr>
      <w:adjustRightInd/>
      <w:spacing w:line="360" w:lineRule="atLeast"/>
    </w:pPr>
    <w:rPr>
      <w:rFonts w:hint="eastAsia" w:ascii="宋体" w:hAnsi="Calibri" w:eastAsia="宋体" w:cs="Times New Roman"/>
      <w:szCs w:val="20"/>
    </w:rPr>
  </w:style>
  <w:style w:type="paragraph" w:customStyle="1" w:styleId="396">
    <w:name w:val="数字正文"/>
    <w:basedOn w:val="1"/>
    <w:uiPriority w:val="0"/>
    <w:pPr>
      <w:spacing w:before="156" w:beforeLines="50" w:after="156" w:afterLines="50" w:line="300" w:lineRule="auto"/>
    </w:pPr>
    <w:rPr>
      <w:rFonts w:ascii="Times New Roman" w:hAnsi="Times New Roman" w:eastAsia="宋体" w:cs="Times New Roman"/>
      <w:snapToGrid w:val="0"/>
      <w:color w:val="000000"/>
      <w:sz w:val="24"/>
    </w:rPr>
  </w:style>
  <w:style w:type="paragraph" w:customStyle="1" w:styleId="397">
    <w:name w:val="(i)正文"/>
    <w:basedOn w:val="1"/>
    <w:uiPriority w:val="0"/>
    <w:pPr>
      <w:widowControl/>
      <w:tabs>
        <w:tab w:val="left" w:pos="2381"/>
        <w:tab w:val="left" w:pos="2951"/>
      </w:tabs>
      <w:spacing w:line="360" w:lineRule="exact"/>
      <w:ind w:left="2381" w:hanging="510"/>
    </w:pPr>
    <w:rPr>
      <w:rFonts w:ascii="Times New Roman" w:hAnsi="Times New Roman" w:eastAsia="宋体" w:cs="Times New Roman"/>
      <w:sz w:val="24"/>
      <w:szCs w:val="20"/>
    </w:rPr>
  </w:style>
  <w:style w:type="paragraph" w:customStyle="1" w:styleId="398">
    <w:name w:val="Zchn Zchn1 Char Char Zchn Zchn Char Char2"/>
    <w:basedOn w:val="1"/>
    <w:uiPriority w:val="0"/>
    <w:rPr>
      <w:rFonts w:hint="eastAsia" w:ascii="Times New Roman" w:hAnsi="Times New Roman" w:eastAsia="宋体" w:cs="Times New Roman"/>
      <w:szCs w:val="20"/>
    </w:rPr>
  </w:style>
  <w:style w:type="paragraph" w:customStyle="1" w:styleId="399">
    <w:name w:val="第一章"/>
    <w:basedOn w:val="1"/>
    <w:next w:val="82"/>
    <w:uiPriority w:val="0"/>
    <w:pPr>
      <w:jc w:val="center"/>
      <w:outlineLvl w:val="0"/>
    </w:pPr>
    <w:rPr>
      <w:rFonts w:ascii="Times New Roman" w:hAnsi="Times New Roman" w:eastAsia="宋体" w:cs="Times New Roman"/>
      <w:b/>
      <w:sz w:val="32"/>
      <w:szCs w:val="32"/>
    </w:rPr>
  </w:style>
  <w:style w:type="paragraph" w:customStyle="1" w:styleId="400">
    <w:name w:val="附录五级条标题"/>
    <w:basedOn w:val="401"/>
    <w:next w:val="325"/>
    <w:uiPriority w:val="0"/>
    <w:pPr>
      <w:tabs>
        <w:tab w:val="left" w:pos="360"/>
      </w:tabs>
      <w:outlineLvl w:val="6"/>
    </w:pPr>
    <w:rPr>
      <w:rFonts w:ascii="Times New Roman" w:hAnsi="Times New Roman" w:eastAsia="宋体" w:cs="Times New Roman"/>
    </w:rPr>
  </w:style>
  <w:style w:type="paragraph" w:customStyle="1" w:styleId="401">
    <w:name w:val="附录四级条标题"/>
    <w:basedOn w:val="402"/>
    <w:next w:val="325"/>
    <w:uiPriority w:val="0"/>
    <w:pPr>
      <w:tabs>
        <w:tab w:val="left" w:pos="360"/>
      </w:tabs>
      <w:outlineLvl w:val="5"/>
    </w:pPr>
    <w:rPr>
      <w:rFonts w:ascii="Times New Roman" w:hAnsi="Times New Roman" w:eastAsia="宋体" w:cs="Times New Roman"/>
    </w:rPr>
  </w:style>
  <w:style w:type="paragraph" w:customStyle="1" w:styleId="402">
    <w:name w:val="附录三级条标题"/>
    <w:basedOn w:val="403"/>
    <w:next w:val="325"/>
    <w:uiPriority w:val="0"/>
    <w:pPr>
      <w:tabs>
        <w:tab w:val="left" w:pos="360"/>
      </w:tabs>
      <w:outlineLvl w:val="4"/>
    </w:pPr>
    <w:rPr>
      <w:rFonts w:ascii="Times New Roman" w:hAnsi="Times New Roman" w:eastAsia="宋体" w:cs="Times New Roman"/>
    </w:rPr>
  </w:style>
  <w:style w:type="paragraph" w:customStyle="1" w:styleId="403">
    <w:name w:val="附录二级条标题"/>
    <w:basedOn w:val="404"/>
    <w:next w:val="325"/>
    <w:uiPriority w:val="0"/>
    <w:pPr>
      <w:tabs>
        <w:tab w:val="left" w:pos="360"/>
      </w:tabs>
      <w:outlineLvl w:val="3"/>
    </w:pPr>
    <w:rPr>
      <w:rFonts w:ascii="Times New Roman" w:hAnsi="Times New Roman" w:eastAsia="宋体" w:cs="Times New Roman"/>
    </w:rPr>
  </w:style>
  <w:style w:type="paragraph" w:customStyle="1" w:styleId="404">
    <w:name w:val="附录一级条标题"/>
    <w:basedOn w:val="405"/>
    <w:next w:val="325"/>
    <w:uiPriority w:val="0"/>
    <w:pPr>
      <w:tabs>
        <w:tab w:val="left" w:pos="360"/>
      </w:tabs>
      <w:autoSpaceDN w:val="0"/>
      <w:spacing w:before="0" w:after="0"/>
      <w:outlineLvl w:val="2"/>
    </w:pPr>
    <w:rPr>
      <w:rFonts w:ascii="Times New Roman" w:hAnsi="Times New Roman" w:eastAsia="宋体" w:cs="Times New Roman"/>
    </w:rPr>
  </w:style>
  <w:style w:type="paragraph" w:customStyle="1" w:styleId="405">
    <w:name w:val="附录章标题"/>
    <w:next w:val="325"/>
    <w:uiPriority w:val="0"/>
    <w:pPr>
      <w:wordWrap w:val="0"/>
      <w:overflowPunct w:val="0"/>
      <w:autoSpaceDE w:val="0"/>
      <w:spacing w:before="50" w:after="50"/>
      <w:jc w:val="both"/>
      <w:textAlignment w:val="baseline"/>
      <w:outlineLvl w:val="1"/>
    </w:pPr>
    <w:rPr>
      <w:rFonts w:ascii="黑体" w:eastAsia="黑体"/>
      <w:kern w:val="21"/>
      <w:sz w:val="21"/>
      <w:lang w:val="en-US" w:eastAsia="zh-CN" w:bidi="ar-SA"/>
    </w:rPr>
  </w:style>
  <w:style w:type="paragraph" w:customStyle="1" w:styleId="406">
    <w:name w:val="6"/>
    <w:basedOn w:val="1"/>
    <w:uiPriority w:val="0"/>
    <w:pPr>
      <w:spacing w:line="300" w:lineRule="auto"/>
    </w:pPr>
    <w:rPr>
      <w:rFonts w:ascii="Times New Roman" w:hAnsi="Times New Roman" w:eastAsia="宋体" w:cs="Times New Roman"/>
      <w:sz w:val="24"/>
      <w:szCs w:val="20"/>
    </w:rPr>
  </w:style>
  <w:style w:type="paragraph" w:customStyle="1" w:styleId="407">
    <w:name w:val="标题1"/>
    <w:basedOn w:val="2"/>
    <w:uiPriority w:val="0"/>
    <w:pPr>
      <w:widowControl/>
      <w:tabs>
        <w:tab w:val="left" w:pos="0"/>
      </w:tabs>
      <w:snapToGrid w:val="0"/>
      <w:spacing w:before="156" w:beforeLines="50" w:after="120" w:line="240" w:lineRule="auto"/>
      <w:jc w:val="left"/>
    </w:pPr>
    <w:rPr>
      <w:rFonts w:ascii="Arial" w:hAnsi="Arial" w:eastAsia="宋体" w:cs="Times New Roman"/>
      <w:bCs w:val="0"/>
      <w:sz w:val="36"/>
      <w:szCs w:val="20"/>
    </w:rPr>
  </w:style>
  <w:style w:type="paragraph" w:customStyle="1" w:styleId="408">
    <w:name w:val=" Char Char Char Char"/>
    <w:basedOn w:val="1"/>
    <w:uiPriority w:val="0"/>
    <w:rPr>
      <w:rFonts w:ascii="Times New Roman" w:hAnsi="Times New Roman" w:eastAsia="宋体" w:cs="Times New Roman"/>
      <w:szCs w:val="20"/>
    </w:rPr>
  </w:style>
  <w:style w:type="paragraph" w:customStyle="1" w:styleId="409">
    <w:name w:val="模板标题2"/>
    <w:basedOn w:val="3"/>
    <w:next w:val="1"/>
    <w:uiPriority w:val="0"/>
    <w:pPr>
      <w:tabs>
        <w:tab w:val="left" w:pos="1320"/>
      </w:tabs>
      <w:spacing w:before="240" w:after="240" w:line="240" w:lineRule="auto"/>
      <w:ind w:left="1320" w:hanging="420"/>
      <w:jc w:val="left"/>
    </w:pPr>
    <w:rPr>
      <w:rFonts w:ascii="华文中宋" w:hAnsi="华文中宋" w:eastAsia="宋体" w:cs="Times New Roman"/>
      <w:b w:val="0"/>
      <w:sz w:val="30"/>
      <w:szCs w:val="36"/>
    </w:rPr>
  </w:style>
  <w:style w:type="paragraph" w:customStyle="1" w:styleId="410">
    <w:name w:val="宽小4"/>
    <w:basedOn w:val="1"/>
    <w:uiPriority w:val="0"/>
    <w:pPr>
      <w:snapToGrid w:val="0"/>
      <w:jc w:val="center"/>
    </w:pPr>
    <w:rPr>
      <w:rFonts w:ascii="仿宋_GB2312" w:hAnsi="Verdana" w:eastAsia="宋体" w:cs="Times New Roman"/>
      <w:b/>
      <w:snapToGrid w:val="0"/>
      <w:w w:val="90"/>
      <w:sz w:val="24"/>
      <w:szCs w:val="20"/>
    </w:rPr>
  </w:style>
  <w:style w:type="paragraph" w:customStyle="1" w:styleId="411">
    <w:name w:val="封面标准英文名称"/>
    <w:uiPriority w:val="0"/>
    <w:pPr>
      <w:widowControl w:val="0"/>
      <w:spacing w:before="370" w:line="400" w:lineRule="exact"/>
      <w:jc w:val="center"/>
    </w:pPr>
    <w:rPr>
      <w:sz w:val="28"/>
      <w:lang w:val="en-US" w:eastAsia="zh-CN" w:bidi="ar-SA"/>
    </w:rPr>
  </w:style>
  <w:style w:type="paragraph" w:customStyle="1" w:styleId="412">
    <w:name w:val="正5中"/>
    <w:basedOn w:val="1"/>
    <w:uiPriority w:val="0"/>
    <w:pPr>
      <w:spacing w:line="320" w:lineRule="atLeast"/>
      <w:jc w:val="center"/>
    </w:pPr>
    <w:rPr>
      <w:rFonts w:ascii="Times New Roman" w:hAnsi="Times New Roman" w:eastAsia="宋体" w:cs="Times New Roman"/>
      <w:sz w:val="18"/>
      <w:szCs w:val="20"/>
    </w:rPr>
  </w:style>
  <w:style w:type="paragraph" w:customStyle="1" w:styleId="413">
    <w:name w:val="reader-word-layer reader-word-s1-12"/>
    <w:basedOn w:val="1"/>
    <w:uiPriority w:val="0"/>
    <w:pPr>
      <w:widowControl/>
      <w:spacing w:before="100" w:beforeAutospacing="1" w:after="100" w:afterAutospacing="1"/>
      <w:jc w:val="left"/>
    </w:pPr>
    <w:rPr>
      <w:rFonts w:ascii="宋体" w:hAnsi="宋体" w:eastAsia="宋体" w:cs="宋体"/>
      <w:kern w:val="0"/>
      <w:sz w:val="24"/>
    </w:rPr>
  </w:style>
  <w:style w:type="paragraph" w:customStyle="1" w:styleId="414">
    <w:name w:val="缩进正文"/>
    <w:basedOn w:val="33"/>
    <w:uiPriority w:val="0"/>
    <w:pPr>
      <w:adjustRightInd w:val="0"/>
      <w:snapToGrid w:val="0"/>
      <w:spacing w:after="0" w:line="300" w:lineRule="auto"/>
      <w:ind w:left="0" w:leftChars="0" w:firstLine="200"/>
    </w:pPr>
    <w:rPr>
      <w:rFonts w:ascii="宋体" w:hAnsi="Times New Roman" w:eastAsia="宋体" w:cs="Times New Roman"/>
      <w:sz w:val="28"/>
      <w:szCs w:val="20"/>
    </w:rPr>
  </w:style>
  <w:style w:type="paragraph" w:customStyle="1" w:styleId="415">
    <w:name w:val="1级目录"/>
    <w:basedOn w:val="4"/>
    <w:uiPriority w:val="0"/>
    <w:pPr>
      <w:adjustRightInd w:val="0"/>
      <w:snapToGrid w:val="0"/>
      <w:spacing w:line="240" w:lineRule="auto"/>
      <w:ind w:left="289"/>
      <w:jc w:val="center"/>
      <w:outlineLvl w:val="0"/>
    </w:pPr>
    <w:rPr>
      <w:rFonts w:ascii="Times New Roman" w:hAnsi="Times New Roman" w:eastAsia="宋体" w:cs="Times New Roman"/>
      <w:sz w:val="28"/>
      <w:szCs w:val="28"/>
    </w:rPr>
  </w:style>
  <w:style w:type="paragraph" w:customStyle="1" w:styleId="416">
    <w:name w:val="文件正文"/>
    <w:basedOn w:val="1"/>
    <w:uiPriority w:val="0"/>
    <w:pPr>
      <w:adjustRightInd w:val="0"/>
      <w:spacing w:before="240" w:line="360" w:lineRule="auto"/>
      <w:textAlignment w:val="baseline"/>
    </w:pPr>
    <w:rPr>
      <w:rFonts w:ascii="方正仿宋简体" w:hAnsi="宋体" w:eastAsia="方正仿宋简体" w:cs="Times New Roman"/>
      <w:kern w:val="0"/>
      <w:sz w:val="32"/>
      <w:szCs w:val="32"/>
    </w:rPr>
  </w:style>
  <w:style w:type="paragraph" w:customStyle="1" w:styleId="417">
    <w:name w:val="表1"/>
    <w:basedOn w:val="1"/>
    <w:uiPriority w:val="0"/>
    <w:pPr>
      <w:widowControl/>
      <w:snapToGrid w:val="0"/>
      <w:jc w:val="center"/>
    </w:pPr>
    <w:rPr>
      <w:rFonts w:ascii="宋体" w:hAnsi="Arial Narrow" w:eastAsia="宋体" w:cs="宋体"/>
      <w:kern w:val="24"/>
    </w:rPr>
  </w:style>
  <w:style w:type="paragraph" w:customStyle="1" w:styleId="418">
    <w:name w:val="表注11"/>
    <w:basedOn w:val="1"/>
    <w:uiPriority w:val="0"/>
    <w:pPr>
      <w:keepNext/>
      <w:keepLines/>
      <w:adjustRightInd w:val="0"/>
      <w:snapToGrid w:val="0"/>
      <w:spacing w:before="156" w:beforeLines="50" w:line="300" w:lineRule="auto"/>
      <w:ind w:firstLine="200" w:firstLineChars="200"/>
    </w:pPr>
    <w:rPr>
      <w:rFonts w:ascii="仿宋_GB2312" w:hAnsi="宋体" w:eastAsia="仿宋_GB2312" w:cs="Times New Roman"/>
      <w:bCs/>
      <w:kern w:val="0"/>
      <w:szCs w:val="21"/>
    </w:rPr>
  </w:style>
  <w:style w:type="paragraph" w:customStyle="1" w:styleId="419">
    <w:name w:val="正文-FS-L"/>
    <w:uiPriority w:val="0"/>
    <w:pPr>
      <w:spacing w:line="360" w:lineRule="auto"/>
      <w:ind w:firstLine="567"/>
      <w:jc w:val="both"/>
    </w:pPr>
    <w:rPr>
      <w:rFonts w:eastAsia="仿宋_GB2312"/>
      <w:sz w:val="28"/>
      <w:szCs w:val="28"/>
      <w:lang w:val="en-US" w:eastAsia="zh-CN" w:bidi="ar-SA"/>
    </w:rPr>
  </w:style>
  <w:style w:type="paragraph" w:customStyle="1" w:styleId="420">
    <w:name w:val="图字"/>
    <w:uiPriority w:val="0"/>
    <w:pPr>
      <w:snapToGrid w:val="0"/>
    </w:pPr>
    <w:rPr>
      <w:kern w:val="2"/>
      <w:sz w:val="18"/>
      <w:szCs w:val="24"/>
      <w:lang w:val="en-US" w:eastAsia="zh-CN" w:bidi="ar-SA"/>
    </w:rPr>
  </w:style>
  <w:style w:type="paragraph" w:customStyle="1" w:styleId="421">
    <w:name w:val="空半行"/>
    <w:basedOn w:val="1"/>
    <w:uiPriority w:val="0"/>
    <w:pPr>
      <w:adjustRightInd w:val="0"/>
      <w:spacing w:line="120" w:lineRule="exact"/>
      <w:textAlignment w:val="baseline"/>
    </w:pPr>
    <w:rPr>
      <w:rFonts w:ascii="Times New Roman" w:hAnsi="Times New Roman" w:eastAsia="仿宋_GB2312" w:cs="Times New Roman"/>
      <w:color w:val="FFFFFF"/>
      <w:kern w:val="0"/>
      <w:sz w:val="30"/>
      <w:szCs w:val="20"/>
    </w:rPr>
  </w:style>
  <w:style w:type="paragraph" w:customStyle="1" w:styleId="422">
    <w:name w:val="文4"/>
    <w:basedOn w:val="1"/>
    <w:uiPriority w:val="0"/>
    <w:pPr>
      <w:widowControl/>
      <w:tabs>
        <w:tab w:val="left" w:pos="540"/>
        <w:tab w:val="left" w:pos="1080"/>
      </w:tabs>
      <w:spacing w:line="500" w:lineRule="atLeast"/>
      <w:ind w:left="540" w:hanging="540"/>
      <w:jc w:val="left"/>
    </w:pPr>
    <w:rPr>
      <w:rFonts w:ascii="宋体" w:hAnsi="宋体" w:eastAsia="宋体" w:cs="宋体"/>
      <w:kern w:val="0"/>
      <w:sz w:val="24"/>
    </w:rPr>
  </w:style>
  <w:style w:type="paragraph" w:customStyle="1" w:styleId="423">
    <w:name w:val="表右"/>
    <w:basedOn w:val="1"/>
    <w:uiPriority w:val="0"/>
    <w:pPr>
      <w:keepNext/>
      <w:spacing w:line="240" w:lineRule="atLeast"/>
      <w:ind w:right="84" w:rightChars="30"/>
      <w:jc w:val="right"/>
    </w:pPr>
    <w:rPr>
      <w:rFonts w:ascii="宋体" w:hAnsi="宋体" w:eastAsia="宋体" w:cs="宋体"/>
      <w:sz w:val="24"/>
    </w:rPr>
  </w:style>
  <w:style w:type="paragraph" w:customStyle="1" w:styleId="424">
    <w:name w:val="插表文字"/>
    <w:basedOn w:val="1"/>
    <w:next w:val="1"/>
    <w:uiPriority w:val="0"/>
    <w:pPr>
      <w:keepNext/>
      <w:adjustRightInd w:val="0"/>
      <w:snapToGrid w:val="0"/>
      <w:spacing w:before="62" w:beforeLines="20" w:after="62" w:afterLines="20" w:line="360" w:lineRule="auto"/>
    </w:pPr>
    <w:rPr>
      <w:rFonts w:ascii="宋体" w:hAnsi="Times New Roman" w:eastAsia="宋体" w:cs="Times New Roman"/>
      <w:bCs/>
      <w:kern w:val="0"/>
      <w:sz w:val="24"/>
      <w:szCs w:val="28"/>
    </w:rPr>
  </w:style>
  <w:style w:type="paragraph" w:customStyle="1" w:styleId="425">
    <w:name w:val="目次、标准名称标题"/>
    <w:basedOn w:val="1"/>
    <w:next w:val="1"/>
    <w:uiPriority w:val="0"/>
    <w:pPr>
      <w:widowControl/>
      <w:shd w:val="clear" w:color="FFFFFF" w:fill="FFFFFF"/>
      <w:spacing w:before="640" w:after="560" w:line="460" w:lineRule="exact"/>
      <w:jc w:val="center"/>
      <w:outlineLvl w:val="0"/>
    </w:pPr>
    <w:rPr>
      <w:rFonts w:ascii="黑体" w:hAnsi="Times New Roman" w:eastAsia="黑体" w:cs="Times New Roman"/>
      <w:kern w:val="0"/>
      <w:sz w:val="32"/>
      <w:szCs w:val="20"/>
    </w:rPr>
  </w:style>
  <w:style w:type="paragraph" w:customStyle="1" w:styleId="426">
    <w:name w:val="标题3 + 粉红"/>
    <w:basedOn w:val="427"/>
    <w:uiPriority w:val="0"/>
    <w:pPr>
      <w:keepNext/>
      <w:keepLines/>
      <w:widowControl w:val="0"/>
      <w:adjustRightInd w:val="0"/>
      <w:spacing w:before="200" w:after="200" w:line="240" w:lineRule="auto"/>
      <w:ind w:left="0" w:firstLine="0"/>
      <w:outlineLvl w:val="2"/>
    </w:pPr>
    <w:rPr>
      <w:rFonts w:ascii="黑体" w:hAnsi="宋体" w:eastAsia="宋体" w:cs="Times New Roman"/>
      <w:color w:val="FF00FF"/>
      <w:kern w:val="2"/>
      <w:sz w:val="32"/>
      <w:szCs w:val="24"/>
    </w:rPr>
  </w:style>
  <w:style w:type="paragraph" w:customStyle="1" w:styleId="427">
    <w:name w:val="标题3"/>
    <w:uiPriority w:val="0"/>
    <w:pPr>
      <w:tabs>
        <w:tab w:val="left" w:pos="420"/>
      </w:tabs>
      <w:snapToGrid w:val="0"/>
      <w:spacing w:before="120" w:after="120" w:line="336" w:lineRule="auto"/>
      <w:ind w:left="420" w:hanging="420"/>
      <w:jc w:val="both"/>
    </w:pPr>
    <w:rPr>
      <w:rFonts w:eastAsia="黑体"/>
      <w:color w:val="000000"/>
      <w:sz w:val="28"/>
      <w:szCs w:val="28"/>
      <w:lang w:val="en-US" w:eastAsia="zh-CN" w:bidi="ar-SA"/>
    </w:rPr>
  </w:style>
  <w:style w:type="paragraph" w:customStyle="1" w:styleId="428">
    <w:name w:val="项目负责人"/>
    <w:basedOn w:val="1"/>
    <w:uiPriority w:val="0"/>
    <w:pPr>
      <w:keepNext/>
      <w:snapToGrid w:val="0"/>
      <w:spacing w:before="156" w:beforeLines="50" w:line="300" w:lineRule="auto"/>
      <w:jc w:val="left"/>
    </w:pPr>
    <w:rPr>
      <w:rFonts w:ascii="宋体" w:hAnsi="Times New Roman" w:eastAsia="宋体" w:cs="宋体"/>
      <w:spacing w:val="66"/>
      <w:kern w:val="0"/>
      <w:sz w:val="32"/>
      <w:szCs w:val="32"/>
    </w:rPr>
  </w:style>
  <w:style w:type="paragraph" w:customStyle="1" w:styleId="429">
    <w:name w:val="标题 2（用）"/>
    <w:basedOn w:val="3"/>
    <w:uiPriority w:val="0"/>
    <w:pPr>
      <w:adjustRightInd w:val="0"/>
      <w:snapToGrid w:val="0"/>
      <w:spacing w:before="156" w:beforeLines="50" w:after="78" w:afterLines="25" w:line="336" w:lineRule="auto"/>
      <w:ind w:left="278" w:right="40"/>
      <w:jc w:val="center"/>
    </w:pPr>
    <w:rPr>
      <w:rFonts w:ascii="黑体" w:hAnsi="宋体" w:eastAsia="宋体" w:cs="Times New Roman"/>
      <w:bCs w:val="0"/>
      <w:color w:val="000000"/>
      <w:sz w:val="28"/>
      <w:szCs w:val="28"/>
    </w:rPr>
  </w:style>
  <w:style w:type="paragraph" w:customStyle="1" w:styleId="430">
    <w:name w:val="文档标签"/>
    <w:next w:val="1"/>
    <w:uiPriority w:val="0"/>
    <w:pPr>
      <w:pBdr>
        <w:top w:val="double" w:color="808080" w:sz="6" w:space="8"/>
        <w:bottom w:val="double" w:color="808080" w:sz="6" w:space="8"/>
      </w:pBdr>
      <w:spacing w:after="40" w:line="240" w:lineRule="atLeast"/>
      <w:jc w:val="center"/>
    </w:pPr>
    <w:rPr>
      <w:rFonts w:ascii="Garamond" w:hAnsi="Garamond" w:eastAsia="隶书"/>
      <w:b/>
      <w:caps/>
      <w:spacing w:val="20"/>
      <w:sz w:val="36"/>
      <w:lang w:val="en-US" w:eastAsia="zh-CN" w:bidi="he-IL"/>
    </w:rPr>
  </w:style>
  <w:style w:type="paragraph" w:customStyle="1" w:styleId="431">
    <w:name w:val="ZB标题"/>
    <w:basedOn w:val="1"/>
    <w:uiPriority w:val="0"/>
    <w:pPr>
      <w:spacing w:line="360" w:lineRule="auto"/>
      <w:jc w:val="center"/>
    </w:pPr>
    <w:rPr>
      <w:rFonts w:ascii="Times New Roman" w:hAnsi="Times New Roman" w:eastAsia="黑体" w:cs="Times New Roman"/>
      <w:b/>
      <w:sz w:val="72"/>
    </w:rPr>
  </w:style>
  <w:style w:type="paragraph" w:customStyle="1" w:styleId="432">
    <w:name w:val="Zchn Zchn1 Char Char Zchn Zchn Char Char"/>
    <w:basedOn w:val="1"/>
    <w:uiPriority w:val="0"/>
    <w:rPr>
      <w:rFonts w:ascii="Times New Roman" w:hAnsi="Times New Roman" w:eastAsia="宋体" w:cs="Times New Roman"/>
      <w:szCs w:val="20"/>
    </w:rPr>
  </w:style>
  <w:style w:type="paragraph" w:customStyle="1" w:styleId="433">
    <w:name w:val="一、"/>
    <w:basedOn w:val="1"/>
    <w:next w:val="82"/>
    <w:uiPriority w:val="0"/>
    <w:pPr>
      <w:ind w:firstLine="200" w:firstLineChars="200"/>
      <w:outlineLvl w:val="2"/>
    </w:pPr>
    <w:rPr>
      <w:rFonts w:ascii="Times New Roman" w:hAnsi="Times New Roman" w:eastAsia="宋体" w:cs="Times New Roman"/>
      <w:b/>
      <w:sz w:val="28"/>
    </w:rPr>
  </w:style>
  <w:style w:type="paragraph" w:customStyle="1" w:styleId="434">
    <w:name w:val="标题 4 宋体"/>
    <w:basedOn w:val="5"/>
    <w:next w:val="1"/>
    <w:uiPriority w:val="0"/>
    <w:pPr>
      <w:tabs>
        <w:tab w:val="left" w:pos="1064"/>
        <w:tab w:val="left" w:pos="3018"/>
      </w:tabs>
      <w:adjustRightInd w:val="0"/>
      <w:snapToGrid w:val="0"/>
      <w:spacing w:before="0" w:after="0" w:line="360" w:lineRule="auto"/>
      <w:ind w:left="1444" w:hanging="864"/>
    </w:pPr>
    <w:rPr>
      <w:rFonts w:ascii="宋体" w:hAnsi="Times New Roman" w:eastAsia="宋体" w:cs="Times New Roman"/>
      <w:b w:val="0"/>
      <w:bCs w:val="0"/>
      <w:sz w:val="24"/>
      <w:szCs w:val="24"/>
    </w:rPr>
  </w:style>
  <w:style w:type="paragraph" w:customStyle="1" w:styleId="435">
    <w:name w:val="表头2"/>
    <w:basedOn w:val="321"/>
    <w:uiPriority w:val="0"/>
    <w:pPr>
      <w:tabs>
        <w:tab w:val="center" w:pos="6237"/>
        <w:tab w:val="clear" w:pos="284"/>
        <w:tab w:val="clear" w:pos="4253"/>
        <w:tab w:val="clear" w:pos="7938"/>
      </w:tabs>
    </w:pPr>
    <w:rPr>
      <w:rFonts w:ascii="Times New Roman" w:hAnsi="Times New Roman" w:eastAsia="宋体" w:cs="Times New Roman"/>
    </w:rPr>
  </w:style>
  <w:style w:type="paragraph" w:customStyle="1" w:styleId="436">
    <w:name w:val="中文正文"/>
    <w:basedOn w:val="1"/>
    <w:uiPriority w:val="0"/>
    <w:pPr>
      <w:ind w:firstLine="560" w:firstLineChars="200"/>
    </w:pPr>
    <w:rPr>
      <w:rFonts w:ascii="方正仿宋简体" w:hAnsi="宋体" w:eastAsia="方正仿宋简体" w:cs="Times New Roman"/>
      <w:sz w:val="28"/>
      <w:szCs w:val="28"/>
    </w:rPr>
  </w:style>
  <w:style w:type="paragraph" w:customStyle="1" w:styleId="437">
    <w:name w:val="设计正文"/>
    <w:basedOn w:val="1"/>
    <w:uiPriority w:val="0"/>
    <w:pPr>
      <w:spacing w:line="420" w:lineRule="exact"/>
      <w:ind w:firstLine="200" w:firstLineChars="200"/>
    </w:pPr>
    <w:rPr>
      <w:rFonts w:ascii="Times New Roman" w:hAnsi="Times New Roman" w:eastAsia="宋体" w:cs="Times New Roman"/>
      <w:sz w:val="24"/>
      <w:szCs w:val="20"/>
    </w:rPr>
  </w:style>
  <w:style w:type="paragraph" w:customStyle="1" w:styleId="438">
    <w:name w:val="Char1"/>
    <w:basedOn w:val="1"/>
    <w:uiPriority w:val="0"/>
    <w:rPr>
      <w:rFonts w:ascii="Times New Roman" w:hAnsi="Times New Roman" w:eastAsia="宋体" w:cs="Times New Roman"/>
      <w:szCs w:val="21"/>
    </w:rPr>
  </w:style>
  <w:style w:type="paragraph" w:customStyle="1" w:styleId="439">
    <w:name w:val="图表名"/>
    <w:basedOn w:val="1"/>
    <w:next w:val="1"/>
    <w:uiPriority w:val="0"/>
    <w:pPr>
      <w:adjustRightInd w:val="0"/>
      <w:snapToGrid w:val="0"/>
      <w:jc w:val="center"/>
    </w:pPr>
    <w:rPr>
      <w:rFonts w:ascii="宋体" w:hAnsi="宋体" w:eastAsia="宋体" w:cs="宋体"/>
      <w:sz w:val="24"/>
    </w:rPr>
  </w:style>
  <w:style w:type="paragraph" w:customStyle="1" w:styleId="440">
    <w:name w:val="默认段落字体 Para Char Char Char Char Char Char Char Char Char Char Char Char Char Char Char Char Char Char Char"/>
    <w:basedOn w:val="4"/>
    <w:uiPriority w:val="0"/>
    <w:pPr>
      <w:tabs>
        <w:tab w:val="left" w:pos="851"/>
        <w:tab w:val="left" w:pos="900"/>
      </w:tabs>
      <w:snapToGrid w:val="0"/>
      <w:spacing w:before="120" w:after="120" w:line="360" w:lineRule="auto"/>
      <w:ind w:left="542" w:leftChars="-12" w:firstLine="200" w:firstLineChars="200"/>
      <w:jc w:val="left"/>
    </w:pPr>
    <w:rPr>
      <w:rFonts w:ascii="Times New Roman" w:hAnsi="Times New Roman" w:eastAsia="黑体" w:cs="Times New Roman"/>
      <w:b w:val="0"/>
      <w:bCs w:val="0"/>
      <w:sz w:val="24"/>
      <w:szCs w:val="24"/>
    </w:rPr>
  </w:style>
  <w:style w:type="paragraph" w:customStyle="1" w:styleId="441">
    <w:name w:val="建设（委托）单位"/>
    <w:basedOn w:val="1"/>
    <w:uiPriority w:val="0"/>
    <w:pPr>
      <w:keepNext/>
      <w:snapToGrid w:val="0"/>
      <w:spacing w:line="300" w:lineRule="auto"/>
      <w:jc w:val="center"/>
    </w:pPr>
    <w:rPr>
      <w:rFonts w:ascii="宋体" w:hAnsi="Times New Roman" w:eastAsia="宋体" w:cs="宋体"/>
      <w:sz w:val="32"/>
      <w:szCs w:val="32"/>
    </w:rPr>
  </w:style>
  <w:style w:type="paragraph" w:customStyle="1" w:styleId="442">
    <w:name w:val="作者姓名"/>
    <w:next w:val="1"/>
    <w:uiPriority w:val="0"/>
    <w:pPr>
      <w:widowControl w:val="0"/>
      <w:adjustRightInd w:val="0"/>
      <w:snapToGrid w:val="0"/>
      <w:jc w:val="center"/>
    </w:pPr>
    <w:rPr>
      <w:rFonts w:ascii="方正隶变简体" w:eastAsia="方正隶变简体"/>
      <w:kern w:val="2"/>
      <w:sz w:val="28"/>
      <w:lang w:val="en-US" w:eastAsia="zh-CN" w:bidi="ar-SA"/>
    </w:rPr>
  </w:style>
  <w:style w:type="paragraph" w:styleId="443">
    <w:name w:val=""/>
    <w:basedOn w:val="2"/>
    <w:next w:val="1"/>
    <w:qFormat/>
    <w:uiPriority w:val="0"/>
    <w:pPr>
      <w:spacing w:before="340" w:after="330" w:line="576" w:lineRule="auto"/>
      <w:outlineLvl w:val="9"/>
    </w:pPr>
    <w:rPr>
      <w:rFonts w:ascii="Calibri" w:hAnsi="Calibri" w:eastAsia="宋体" w:cs="Times New Roman"/>
      <w:sz w:val="44"/>
    </w:rPr>
  </w:style>
  <w:style w:type="paragraph" w:customStyle="1" w:styleId="444">
    <w:name w:val="无间隔1"/>
    <w:uiPriority w:val="0"/>
    <w:pPr>
      <w:widowControl w:val="0"/>
      <w:jc w:val="both"/>
    </w:pPr>
    <w:rPr>
      <w:kern w:val="2"/>
      <w:sz w:val="21"/>
      <w:szCs w:val="24"/>
      <w:lang w:val="en-US" w:eastAsia="zh-CN" w:bidi="ar-SA"/>
    </w:rPr>
  </w:style>
  <w:style w:type="paragraph" w:customStyle="1" w:styleId="445">
    <w:name w:val="reader-word-layer reader-word-s2-2"/>
    <w:basedOn w:val="1"/>
    <w:uiPriority w:val="0"/>
    <w:pPr>
      <w:widowControl/>
      <w:spacing w:before="100" w:beforeAutospacing="1" w:after="100" w:afterAutospacing="1"/>
      <w:jc w:val="left"/>
    </w:pPr>
    <w:rPr>
      <w:rFonts w:ascii="宋体" w:hAnsi="宋体" w:eastAsia="宋体" w:cs="宋体"/>
      <w:kern w:val="0"/>
      <w:sz w:val="24"/>
    </w:rPr>
  </w:style>
  <w:style w:type="paragraph" w:customStyle="1" w:styleId="446">
    <w:name w:val="1."/>
    <w:basedOn w:val="1"/>
    <w:uiPriority w:val="0"/>
    <w:pPr>
      <w:tabs>
        <w:tab w:val="left" w:pos="0"/>
        <w:tab w:val="left" w:pos="426"/>
        <w:tab w:val="left" w:pos="900"/>
      </w:tabs>
      <w:adjustRightInd w:val="0"/>
      <w:snapToGrid w:val="0"/>
      <w:spacing w:before="120" w:after="120" w:line="400" w:lineRule="atLeast"/>
      <w:ind w:left="425" w:leftChars="50" w:right="32" w:hanging="425"/>
      <w:jc w:val="center"/>
      <w:textAlignment w:val="baseline"/>
    </w:pPr>
    <w:rPr>
      <w:rFonts w:ascii="Arial" w:hAnsi="Arial" w:eastAsia="宋体" w:cs="Times New Roman"/>
      <w:b/>
      <w:kern w:val="0"/>
      <w:sz w:val="32"/>
      <w:szCs w:val="20"/>
    </w:rPr>
  </w:style>
  <w:style w:type="paragraph" w:customStyle="1" w:styleId="447">
    <w:name w:val="样式1"/>
    <w:basedOn w:val="1"/>
    <w:uiPriority w:val="0"/>
    <w:pPr>
      <w:spacing w:before="120" w:after="120" w:line="300" w:lineRule="auto"/>
    </w:pPr>
    <w:rPr>
      <w:rFonts w:ascii="宋体" w:hAnsi="宋体" w:eastAsia="宋体" w:cs="Times New Roman"/>
      <w:b/>
      <w:sz w:val="24"/>
      <w:szCs w:val="20"/>
    </w:rPr>
  </w:style>
  <w:style w:type="paragraph" w:customStyle="1" w:styleId="448">
    <w:name w:val="京唐秦正文2"/>
    <w:basedOn w:val="1"/>
    <w:next w:val="1"/>
    <w:uiPriority w:val="0"/>
    <w:pPr>
      <w:tabs>
        <w:tab w:val="left" w:pos="700"/>
      </w:tabs>
      <w:snapToGrid w:val="0"/>
      <w:spacing w:before="156" w:beforeLines="50" w:line="360" w:lineRule="auto"/>
      <w:ind w:firstLine="424" w:firstLineChars="200"/>
      <w:jc w:val="left"/>
    </w:pPr>
    <w:rPr>
      <w:rFonts w:ascii="Times New Roman" w:hAnsi="Times New Roman" w:eastAsia="宋体" w:cs="Times New Roman"/>
      <w:bCs/>
      <w:kern w:val="0"/>
      <w:sz w:val="24"/>
      <w:lang w:eastAsia="en-US"/>
    </w:rPr>
  </w:style>
  <w:style w:type="paragraph" w:customStyle="1" w:styleId="449">
    <w:name w:val="gb1"/>
    <w:basedOn w:val="1"/>
    <w:uiPriority w:val="0"/>
    <w:pPr>
      <w:widowControl/>
      <w:tabs>
        <w:tab w:val="left" w:pos="227"/>
      </w:tabs>
      <w:overflowPunct w:val="0"/>
      <w:autoSpaceDE w:val="0"/>
      <w:autoSpaceDN w:val="0"/>
      <w:spacing w:before="120" w:after="120"/>
      <w:jc w:val="left"/>
    </w:pPr>
    <w:rPr>
      <w:rFonts w:hint="eastAsia" w:ascii="Arial" w:hAnsi="Arial" w:eastAsia="仿宋体" w:cs="Times New Roman"/>
      <w:sz w:val="24"/>
      <w:szCs w:val="20"/>
    </w:rPr>
  </w:style>
  <w:style w:type="paragraph" w:customStyle="1" w:styleId="450">
    <w:name w:val="标题2"/>
    <w:basedOn w:val="3"/>
    <w:uiPriority w:val="0"/>
    <w:pPr>
      <w:tabs>
        <w:tab w:val="left" w:pos="1640"/>
      </w:tabs>
      <w:spacing w:before="120" w:after="0" w:line="240" w:lineRule="auto"/>
      <w:ind w:left="1640" w:hanging="420"/>
    </w:pPr>
    <w:rPr>
      <w:rFonts w:ascii="宋体" w:hAnsi="Times New Roman" w:eastAsia="宋体" w:cs="Times New Roman"/>
      <w:b w:val="0"/>
      <w:bCs w:val="0"/>
      <w:sz w:val="28"/>
      <w:szCs w:val="20"/>
    </w:rPr>
  </w:style>
  <w:style w:type="paragraph" w:customStyle="1" w:styleId="451">
    <w:name w:val="表4"/>
    <w:basedOn w:val="1"/>
    <w:uiPriority w:val="0"/>
    <w:pPr>
      <w:jc w:val="center"/>
    </w:pPr>
    <w:rPr>
      <w:rFonts w:ascii="Times New Roman" w:hAnsi="Times New Roman" w:eastAsia="宋体" w:cs="Times New Roman"/>
      <w:szCs w:val="21"/>
    </w:rPr>
  </w:style>
  <w:style w:type="paragraph" w:customStyle="1" w:styleId="452">
    <w:name w:val="head1"/>
    <w:basedOn w:val="1"/>
    <w:uiPriority w:val="0"/>
    <w:pPr>
      <w:widowControl/>
      <w:overflowPunct w:val="0"/>
      <w:autoSpaceDE w:val="0"/>
      <w:autoSpaceDN w:val="0"/>
      <w:adjustRightInd w:val="0"/>
      <w:spacing w:before="120"/>
      <w:ind w:left="288"/>
      <w:jc w:val="left"/>
      <w:textAlignment w:val="baseline"/>
    </w:pPr>
    <w:rPr>
      <w:rFonts w:ascii="黑体" w:hAnsi="Times New Roman" w:eastAsia="黑体" w:cs="Times New Roman"/>
      <w:kern w:val="0"/>
      <w:sz w:val="32"/>
      <w:szCs w:val="20"/>
    </w:rPr>
  </w:style>
  <w:style w:type="paragraph" w:customStyle="1" w:styleId="453">
    <w:name w:val="部分编号"/>
    <w:basedOn w:val="1"/>
    <w:uiPriority w:val="0"/>
    <w:pPr>
      <w:widowControl/>
      <w:tabs>
        <w:tab w:val="left" w:pos="1531"/>
        <w:tab w:val="left" w:pos="1800"/>
      </w:tabs>
      <w:spacing w:before="160" w:after="120" w:line="400" w:lineRule="exact"/>
      <w:ind w:left="1531" w:hanging="1531"/>
    </w:pPr>
    <w:rPr>
      <w:rFonts w:ascii="Arial" w:hAnsi="Arial" w:eastAsia="黑体" w:cs="Times New Roman"/>
      <w:spacing w:val="30"/>
      <w:sz w:val="24"/>
      <w:szCs w:val="20"/>
    </w:rPr>
  </w:style>
  <w:style w:type="paragraph" w:customStyle="1" w:styleId="454">
    <w:name w:val="reader-word-layer reader-word-s1-8"/>
    <w:basedOn w:val="1"/>
    <w:uiPriority w:val="0"/>
    <w:pPr>
      <w:widowControl/>
      <w:spacing w:before="100" w:beforeAutospacing="1" w:after="100" w:afterAutospacing="1"/>
      <w:jc w:val="left"/>
    </w:pPr>
    <w:rPr>
      <w:rFonts w:ascii="宋体" w:hAnsi="宋体" w:eastAsia="宋体" w:cs="宋体"/>
      <w:kern w:val="0"/>
      <w:sz w:val="24"/>
    </w:rPr>
  </w:style>
  <w:style w:type="paragraph" w:customStyle="1" w:styleId="455">
    <w:name w:val="样式"/>
    <w:basedOn w:val="1"/>
    <w:next w:val="42"/>
    <w:uiPriority w:val="0"/>
    <w:rPr>
      <w:rFonts w:ascii="宋体" w:hAnsi="Courier New" w:eastAsia="仿宋_GB2312" w:cs="Times New Roman"/>
      <w:sz w:val="28"/>
      <w:szCs w:val="28"/>
    </w:rPr>
  </w:style>
  <w:style w:type="paragraph" w:customStyle="1" w:styleId="456">
    <w:name w:val="样式 WG标题3居中 + 行距: 固定值 18 磅"/>
    <w:basedOn w:val="1"/>
    <w:uiPriority w:val="0"/>
    <w:pPr>
      <w:spacing w:before="100" w:beforeAutospacing="1" w:after="100" w:afterAutospacing="1" w:line="360" w:lineRule="exact"/>
      <w:jc w:val="center"/>
      <w:outlineLvl w:val="2"/>
    </w:pPr>
    <w:rPr>
      <w:rFonts w:ascii="Times New Roman" w:hAnsi="Times New Roman" w:eastAsia="宋体" w:cs="宋体"/>
      <w:b/>
      <w:bCs/>
      <w:sz w:val="32"/>
      <w:szCs w:val="20"/>
    </w:rPr>
  </w:style>
  <w:style w:type="paragraph" w:customStyle="1" w:styleId="457">
    <w:name w:val="样式 标题 2节 + 行距: 多倍行距 1.25 字行"/>
    <w:basedOn w:val="3"/>
    <w:uiPriority w:val="0"/>
    <w:pPr>
      <w:tabs>
        <w:tab w:val="left" w:pos="840"/>
      </w:tabs>
      <w:spacing w:before="120" w:after="0" w:line="300" w:lineRule="auto"/>
      <w:ind w:left="840" w:hanging="420"/>
    </w:pPr>
    <w:rPr>
      <w:rFonts w:ascii="宋体" w:hAnsi="Times New Roman" w:eastAsia="宋体" w:cs="Times New Roman"/>
      <w:bCs w:val="0"/>
      <w:sz w:val="28"/>
      <w:szCs w:val="20"/>
    </w:rPr>
  </w:style>
  <w:style w:type="paragraph" w:customStyle="1" w:styleId="458">
    <w:name w:val="封面正文"/>
    <w:uiPriority w:val="0"/>
    <w:pPr>
      <w:jc w:val="both"/>
    </w:pPr>
    <w:rPr>
      <w:lang w:val="en-US" w:eastAsia="zh-CN" w:bidi="ar-SA"/>
    </w:rPr>
  </w:style>
  <w:style w:type="paragraph" w:customStyle="1" w:styleId="459">
    <w:name w:val="2-2ji"/>
    <w:basedOn w:val="3"/>
    <w:uiPriority w:val="0"/>
    <w:pPr>
      <w:spacing w:before="0" w:after="0" w:line="360" w:lineRule="auto"/>
      <w:jc w:val="center"/>
    </w:pPr>
    <w:rPr>
      <w:rFonts w:ascii="宋体" w:hAnsi="宋体" w:eastAsia="宋体" w:cs="Times New Roman"/>
      <w:sz w:val="36"/>
      <w:szCs w:val="24"/>
    </w:rPr>
  </w:style>
  <w:style w:type="paragraph" w:customStyle="1" w:styleId="460">
    <w:name w:val="NN"/>
    <w:basedOn w:val="1"/>
    <w:uiPriority w:val="0"/>
    <w:pPr>
      <w:adjustRightInd w:val="0"/>
      <w:spacing w:line="360" w:lineRule="atLeast"/>
      <w:ind w:left="1134"/>
      <w:textAlignment w:val="baseline"/>
    </w:pPr>
    <w:rPr>
      <w:rFonts w:ascii="宋体" w:hAnsi="Times New Roman" w:eastAsia="宋体" w:cs="Times New Roman"/>
      <w:spacing w:val="5"/>
      <w:kern w:val="0"/>
      <w:sz w:val="24"/>
      <w:szCs w:val="20"/>
    </w:rPr>
  </w:style>
  <w:style w:type="paragraph" w:customStyle="1" w:styleId="461">
    <w:name w:val="专业名称"/>
    <w:basedOn w:val="1"/>
    <w:uiPriority w:val="0"/>
    <w:pPr>
      <w:keepNext/>
      <w:snapToGrid w:val="0"/>
      <w:spacing w:before="156" w:beforeLines="50" w:line="300" w:lineRule="auto"/>
      <w:jc w:val="center"/>
    </w:pPr>
    <w:rPr>
      <w:rFonts w:ascii="黑体" w:hAnsi="Times New Roman" w:eastAsia="黑体" w:cs="黑体"/>
      <w:sz w:val="32"/>
      <w:szCs w:val="32"/>
    </w:rPr>
  </w:style>
  <w:style w:type="paragraph" w:customStyle="1" w:styleId="462">
    <w:name w:val="xl67"/>
    <w:basedOn w:val="1"/>
    <w:uiPriority w:val="0"/>
    <w:pPr>
      <w:widowControl/>
      <w:pBdr>
        <w:top w:val="double" w:color="auto" w:sz="6" w:space="0"/>
        <w:left w:val="single" w:color="auto" w:sz="4" w:space="0"/>
        <w:bottom w:val="single" w:color="auto" w:sz="4" w:space="0"/>
        <w:right w:val="double" w:color="auto" w:sz="6" w:space="0"/>
      </w:pBdr>
      <w:spacing w:before="100" w:beforeAutospacing="1" w:after="100" w:afterAutospacing="1"/>
      <w:jc w:val="center"/>
    </w:pPr>
    <w:rPr>
      <w:rFonts w:ascii="宋体" w:hAnsi="宋体" w:eastAsia="宋体" w:cs="Times New Roman"/>
      <w:kern w:val="0"/>
      <w:sz w:val="24"/>
      <w:szCs w:val="20"/>
    </w:rPr>
  </w:style>
  <w:style w:type="paragraph" w:customStyle="1" w:styleId="463">
    <w:name w:val="四级条标题"/>
    <w:basedOn w:val="464"/>
    <w:next w:val="325"/>
    <w:uiPriority w:val="0"/>
    <w:pPr>
      <w:tabs>
        <w:tab w:val="left" w:pos="1440"/>
      </w:tabs>
      <w:ind w:left="1440" w:hanging="1440"/>
      <w:outlineLvl w:val="5"/>
    </w:pPr>
    <w:rPr>
      <w:rFonts w:ascii="Times New Roman" w:hAnsi="Times New Roman" w:eastAsia="宋体" w:cs="Times New Roman"/>
    </w:rPr>
  </w:style>
  <w:style w:type="paragraph" w:customStyle="1" w:styleId="464">
    <w:name w:val="三级条标题"/>
    <w:basedOn w:val="322"/>
    <w:next w:val="325"/>
    <w:uiPriority w:val="0"/>
    <w:pPr>
      <w:tabs>
        <w:tab w:val="left" w:pos="2100"/>
      </w:tabs>
      <w:ind w:left="2100" w:hanging="420"/>
      <w:outlineLvl w:val="4"/>
    </w:pPr>
    <w:rPr>
      <w:rFonts w:ascii="Times New Roman" w:hAnsi="Times New Roman" w:eastAsia="宋体" w:cs="Times New Roman"/>
    </w:rPr>
  </w:style>
  <w:style w:type="paragraph" w:customStyle="1" w:styleId="465">
    <w:name w:val="p18"/>
    <w:basedOn w:val="1"/>
    <w:uiPriority w:val="0"/>
    <w:pPr>
      <w:widowControl/>
    </w:pPr>
    <w:rPr>
      <w:rFonts w:ascii="宋体" w:hAnsi="宋体" w:eastAsia="宋体" w:cs="宋体"/>
      <w:kern w:val="0"/>
      <w:szCs w:val="21"/>
    </w:rPr>
  </w:style>
  <w:style w:type="paragraph" w:customStyle="1" w:styleId="466">
    <w:name w:val="表注"/>
    <w:basedOn w:val="284"/>
    <w:uiPriority w:val="0"/>
    <w:pPr>
      <w:spacing w:before="156" w:beforeLines="50" w:line="300" w:lineRule="auto"/>
      <w:ind w:left="0" w:leftChars="0" w:right="0" w:rightChars="0"/>
      <w:jc w:val="left"/>
    </w:pPr>
    <w:rPr>
      <w:rFonts w:ascii="Times New Roman" w:hAnsi="Times New Roman" w:eastAsia="仿宋_GB2312" w:cs="Times New Roman"/>
      <w:snapToGrid w:val="0"/>
    </w:rPr>
  </w:style>
  <w:style w:type="paragraph" w:customStyle="1" w:styleId="467">
    <w:name w:val="项目符号_圆点"/>
    <w:basedOn w:val="1"/>
    <w:uiPriority w:val="0"/>
    <w:pPr>
      <w:tabs>
        <w:tab w:val="left" w:pos="780"/>
        <w:tab w:val="left" w:pos="900"/>
      </w:tabs>
      <w:spacing w:before="78"/>
      <w:ind w:left="900" w:hanging="420"/>
    </w:pPr>
    <w:rPr>
      <w:rFonts w:ascii="Times New Roman" w:hAnsi="Times New Roman" w:eastAsia="宋体" w:cs="Times New Roman"/>
      <w:sz w:val="24"/>
      <w:szCs w:val="20"/>
    </w:rPr>
  </w:style>
  <w:style w:type="paragraph" w:customStyle="1" w:styleId="468">
    <w:name w:val="图"/>
    <w:basedOn w:val="1"/>
    <w:uiPriority w:val="0"/>
    <w:pPr>
      <w:adjustRightInd w:val="0"/>
      <w:snapToGrid w:val="0"/>
      <w:jc w:val="center"/>
    </w:pPr>
    <w:rPr>
      <w:rFonts w:ascii="楷体_GB2312" w:hAnsi="宋体" w:eastAsia="宋体" w:cs="Times New Roman"/>
    </w:rPr>
  </w:style>
  <w:style w:type="paragraph" w:customStyle="1" w:styleId="469">
    <w:name w:val="p"/>
    <w:basedOn w:val="470"/>
    <w:uiPriority w:val="0"/>
    <w:pPr>
      <w:tabs>
        <w:tab w:val="left" w:pos="360"/>
      </w:tabs>
      <w:ind w:left="709" w:hanging="425"/>
    </w:pPr>
    <w:rPr>
      <w:rFonts w:ascii="楷体" w:hAnsi="Times New Roman" w:eastAsia="楷体" w:cs="Times New Roman"/>
      <w:lang w:val="en-US"/>
    </w:rPr>
  </w:style>
  <w:style w:type="paragraph" w:customStyle="1" w:styleId="470">
    <w:name w:val="l_text"/>
    <w:basedOn w:val="1"/>
    <w:uiPriority w:val="0"/>
    <w:pPr>
      <w:widowControl/>
      <w:overflowPunct w:val="0"/>
      <w:autoSpaceDE w:val="0"/>
      <w:autoSpaceDN w:val="0"/>
      <w:adjustRightInd w:val="0"/>
      <w:spacing w:line="360" w:lineRule="auto"/>
      <w:ind w:left="170" w:firstLine="680"/>
      <w:textAlignment w:val="baseline"/>
    </w:pPr>
    <w:rPr>
      <w:rFonts w:ascii="宋体" w:hAnsi="Times New Roman" w:eastAsia="宋体" w:cs="Times New Roman"/>
      <w:kern w:val="0"/>
      <w:sz w:val="28"/>
      <w:szCs w:val="20"/>
      <w:lang w:val="en-GB"/>
    </w:rPr>
  </w:style>
  <w:style w:type="paragraph" w:customStyle="1" w:styleId="471">
    <w:name w:val="节内编号1"/>
    <w:basedOn w:val="1"/>
    <w:uiPriority w:val="0"/>
    <w:pPr>
      <w:adjustRightInd w:val="0"/>
      <w:snapToGrid w:val="0"/>
      <w:spacing w:line="336" w:lineRule="auto"/>
      <w:ind w:right="210" w:rightChars="100" w:firstLine="528" w:firstLineChars="200"/>
      <w:jc w:val="left"/>
    </w:pPr>
    <w:rPr>
      <w:rFonts w:ascii="宋体" w:hAnsi="宋体" w:eastAsia="宋体" w:cs="宋体"/>
      <w:color w:val="000000"/>
      <w:spacing w:val="-8"/>
      <w:sz w:val="28"/>
      <w:szCs w:val="28"/>
    </w:rPr>
  </w:style>
  <w:style w:type="paragraph" w:customStyle="1" w:styleId="472">
    <w:name w:val="Div_MsoNormal ParagraphIndent"/>
    <w:basedOn w:val="473"/>
    <w:uiPriority w:val="0"/>
    <w:pPr>
      <w:widowControl/>
      <w:adjustRightInd/>
      <w:spacing w:before="0" w:after="0" w:line="240" w:lineRule="auto"/>
      <w:ind w:left="0" w:firstLine="0"/>
      <w:jc w:val="left"/>
      <w:textAlignment w:val="auto"/>
    </w:pPr>
    <w:rPr>
      <w:rFonts w:ascii="Calibri" w:hAnsi="Calibri" w:eastAsia="Calibri" w:cs="Times New Roman"/>
      <w:sz w:val="21"/>
      <w:szCs w:val="24"/>
      <w:lang/>
    </w:rPr>
  </w:style>
  <w:style w:type="paragraph" w:customStyle="1" w:styleId="473">
    <w:name w:val="Normal"/>
    <w:uiPriority w:val="0"/>
    <w:pPr>
      <w:widowControl w:val="0"/>
      <w:tabs>
        <w:tab w:val="left" w:pos="0"/>
        <w:tab w:val="left" w:pos="1134"/>
        <w:tab w:val="left" w:pos="8505"/>
      </w:tabs>
      <w:adjustRightInd w:val="0"/>
      <w:spacing w:before="60" w:after="60" w:line="360" w:lineRule="atLeast"/>
      <w:ind w:left="1134" w:hanging="1134"/>
      <w:jc w:val="both"/>
      <w:textAlignment w:val="baseline"/>
    </w:pPr>
    <w:rPr>
      <w:rFonts w:ascii="Arial" w:hAnsi="Arial"/>
      <w:sz w:val="24"/>
      <w:lang w:val="en-US" w:eastAsia="zh-CN" w:bidi="ar-SA"/>
    </w:rPr>
  </w:style>
  <w:style w:type="paragraph" w:customStyle="1" w:styleId="474">
    <w:name w:val="样式 标题 4 + 宋体 四号 两端对齐"/>
    <w:basedOn w:val="5"/>
    <w:uiPriority w:val="0"/>
    <w:pPr>
      <w:keepNext w:val="0"/>
      <w:suppressLineNumbers/>
      <w:suppressAutoHyphens/>
      <w:autoSpaceDE w:val="0"/>
      <w:autoSpaceDN w:val="0"/>
      <w:spacing w:before="0" w:after="0" w:line="500" w:lineRule="exact"/>
      <w:ind w:left="200" w:leftChars="200"/>
      <w:textAlignment w:val="baseline"/>
    </w:pPr>
    <w:rPr>
      <w:rFonts w:ascii="宋体" w:hAnsi="宋体" w:eastAsia="宋体" w:cs="Times New Roman"/>
      <w:bCs w:val="0"/>
      <w:snapToGrid w:val="0"/>
      <w:kern w:val="0"/>
      <w:szCs w:val="20"/>
    </w:rPr>
  </w:style>
  <w:style w:type="paragraph" w:customStyle="1" w:styleId="475">
    <w:name w:val="point"/>
    <w:basedOn w:val="1"/>
    <w:uiPriority w:val="0"/>
    <w:pPr>
      <w:tabs>
        <w:tab w:val="left" w:pos="845"/>
      </w:tabs>
      <w:overflowPunct w:val="0"/>
      <w:autoSpaceDE w:val="0"/>
      <w:autoSpaceDN w:val="0"/>
      <w:adjustRightInd w:val="0"/>
      <w:spacing w:before="60" w:line="360" w:lineRule="auto"/>
      <w:textAlignment w:val="baseline"/>
    </w:pPr>
    <w:rPr>
      <w:rFonts w:ascii="宋体" w:hAnsi="宋体" w:eastAsia="宋体" w:cs="Times New Roman"/>
      <w:kern w:val="0"/>
      <w:sz w:val="28"/>
      <w:szCs w:val="20"/>
      <w:lang w:val="en-GB"/>
    </w:rPr>
  </w:style>
  <w:style w:type="paragraph" w:customStyle="1" w:styleId="476">
    <w:name w:val="附录标识"/>
    <w:basedOn w:val="477"/>
    <w:uiPriority w:val="0"/>
    <w:pPr>
      <w:tabs>
        <w:tab w:val="left" w:pos="360"/>
        <w:tab w:val="left" w:pos="6405"/>
      </w:tabs>
      <w:spacing w:after="200"/>
      <w:ind w:left="360" w:hanging="360"/>
    </w:pPr>
    <w:rPr>
      <w:rFonts w:ascii="Times New Roman" w:hAnsi="Times New Roman" w:eastAsia="宋体" w:cs="Times New Roman"/>
      <w:sz w:val="21"/>
    </w:rPr>
  </w:style>
  <w:style w:type="paragraph" w:customStyle="1" w:styleId="477">
    <w:name w:val="前言、引言标题"/>
    <w:next w:val="1"/>
    <w:uiPriority w:val="0"/>
    <w:pPr>
      <w:shd w:val="clear" w:color="FFFFFF" w:fill="FFFFFF"/>
      <w:spacing w:before="640" w:after="560"/>
      <w:jc w:val="center"/>
      <w:outlineLvl w:val="0"/>
    </w:pPr>
    <w:rPr>
      <w:rFonts w:ascii="黑体" w:eastAsia="黑体"/>
      <w:sz w:val="32"/>
      <w:lang w:val="en-US" w:eastAsia="zh-CN" w:bidi="ar-SA"/>
    </w:rPr>
  </w:style>
  <w:style w:type="paragraph" w:customStyle="1" w:styleId="478">
    <w:name w:val="表格内部"/>
    <w:basedOn w:val="1"/>
    <w:uiPriority w:val="0"/>
    <w:pPr>
      <w:adjustRightInd w:val="0"/>
      <w:snapToGrid w:val="0"/>
      <w:spacing w:line="300" w:lineRule="auto"/>
      <w:jc w:val="center"/>
    </w:pPr>
    <w:rPr>
      <w:rFonts w:ascii="Arial" w:hAnsi="Arial" w:eastAsia="仿宋_GB2312" w:cs="Times New Roman"/>
    </w:rPr>
  </w:style>
  <w:style w:type="paragraph" w:customStyle="1" w:styleId="479">
    <w:name w:val="cauc-0"/>
    <w:uiPriority w:val="0"/>
    <w:pPr>
      <w:spacing w:line="360" w:lineRule="auto"/>
      <w:ind w:firstLine="480" w:firstLineChars="200"/>
    </w:pPr>
    <w:rPr>
      <w:kern w:val="2"/>
      <w:sz w:val="24"/>
      <w:lang w:val="en-US" w:eastAsia="zh-CN" w:bidi="ar-SA"/>
    </w:rPr>
  </w:style>
  <w:style w:type="paragraph" w:customStyle="1" w:styleId="480">
    <w:name w:val="正文1"/>
    <w:basedOn w:val="1"/>
    <w:next w:val="19"/>
    <w:uiPriority w:val="0"/>
    <w:pPr>
      <w:jc w:val="center"/>
    </w:pPr>
    <w:rPr>
      <w:rFonts w:ascii="Times New Roman" w:hAnsi="Times New Roman" w:eastAsia="宋体" w:cs="Times New Roman"/>
      <w:szCs w:val="20"/>
    </w:rPr>
  </w:style>
  <w:style w:type="paragraph" w:customStyle="1" w:styleId="481">
    <w:name w:val="我的正文"/>
    <w:basedOn w:val="1"/>
    <w:uiPriority w:val="0"/>
    <w:pPr>
      <w:ind w:firstLine="425"/>
    </w:pPr>
    <w:rPr>
      <w:rFonts w:ascii="Times New Roman" w:hAnsi="Times New Roman" w:eastAsia="宋体" w:cs="Times New Roman"/>
      <w:szCs w:val="20"/>
    </w:rPr>
  </w:style>
  <w:style w:type="paragraph" w:customStyle="1" w:styleId="482">
    <w:name w:val="CM7"/>
    <w:basedOn w:val="306"/>
    <w:next w:val="306"/>
    <w:uiPriority w:val="0"/>
    <w:pPr>
      <w:adjustRightInd/>
      <w:spacing w:line="360" w:lineRule="atLeast"/>
    </w:pPr>
    <w:rPr>
      <w:rFonts w:hint="eastAsia" w:ascii="宋体" w:hAnsi="Calibri" w:eastAsia="宋体" w:cs="Times New Roman"/>
      <w:szCs w:val="20"/>
    </w:rPr>
  </w:style>
  <w:style w:type="paragraph" w:customStyle="1" w:styleId="483">
    <w:name w:val="第一节"/>
    <w:basedOn w:val="1"/>
    <w:next w:val="82"/>
    <w:uiPriority w:val="0"/>
    <w:pPr>
      <w:jc w:val="center"/>
      <w:outlineLvl w:val="1"/>
    </w:pPr>
    <w:rPr>
      <w:rFonts w:ascii="Times New Roman" w:hAnsi="Times New Roman" w:eastAsia="宋体" w:cs="Times New Roman"/>
      <w:b/>
      <w:sz w:val="30"/>
    </w:rPr>
  </w:style>
  <w:style w:type="paragraph" w:customStyle="1" w:styleId="484">
    <w:name w:val="封面标题"/>
    <w:basedOn w:val="1"/>
    <w:uiPriority w:val="0"/>
    <w:pPr>
      <w:spacing w:line="300" w:lineRule="auto"/>
      <w:jc w:val="center"/>
    </w:pPr>
    <w:rPr>
      <w:rFonts w:ascii="宋体" w:hAnsi="Times New Roman" w:eastAsia="文鼎大标宋简" w:cs="Times New Roman"/>
      <w:sz w:val="28"/>
      <w:szCs w:val="20"/>
    </w:rPr>
  </w:style>
  <w:style w:type="paragraph" w:customStyle="1" w:styleId="485">
    <w:name w:val="章"/>
    <w:basedOn w:val="2"/>
    <w:uiPriority w:val="0"/>
    <w:pPr>
      <w:tabs>
        <w:tab w:val="left" w:pos="360"/>
        <w:tab w:val="left" w:pos="1200"/>
      </w:tabs>
      <w:adjustRightInd w:val="0"/>
      <w:snapToGrid w:val="0"/>
      <w:ind w:left="150" w:leftChars="150" w:hanging="720"/>
      <w:jc w:val="left"/>
    </w:pPr>
    <w:rPr>
      <w:rFonts w:ascii="Times New Roman" w:hAnsi="宋体" w:eastAsia="宋体" w:cs="Times New Roman"/>
      <w:color w:val="000000"/>
      <w:spacing w:val="-4"/>
      <w:kern w:val="2"/>
      <w:sz w:val="28"/>
      <w:szCs w:val="28"/>
    </w:rPr>
  </w:style>
  <w:style w:type="paragraph" w:customStyle="1" w:styleId="486">
    <w:name w:val="Default Paragraph Font Para Char Char Char Char Char Char"/>
    <w:basedOn w:val="1"/>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487">
    <w:name w:val="(a)正文"/>
    <w:basedOn w:val="1"/>
    <w:uiPriority w:val="0"/>
    <w:pPr>
      <w:widowControl/>
      <w:tabs>
        <w:tab w:val="left" w:pos="1871"/>
        <w:tab w:val="left" w:pos="2081"/>
      </w:tabs>
      <w:spacing w:line="360" w:lineRule="exact"/>
      <w:ind w:left="1871" w:hanging="510"/>
    </w:pPr>
    <w:rPr>
      <w:rFonts w:ascii="Times New Roman" w:hAnsi="Times New Roman" w:eastAsia="宋体" w:cs="Times New Roman"/>
      <w:sz w:val="24"/>
      <w:szCs w:val="20"/>
    </w:rPr>
  </w:style>
  <w:style w:type="paragraph" w:customStyle="1" w:styleId="488">
    <w:name w:val="假标题"/>
    <w:basedOn w:val="1"/>
    <w:uiPriority w:val="0"/>
    <w:pPr>
      <w:keepNext/>
      <w:snapToGrid w:val="0"/>
      <w:spacing w:before="156" w:beforeLines="50" w:line="300" w:lineRule="auto"/>
      <w:outlineLvl w:val="2"/>
    </w:pPr>
    <w:rPr>
      <w:rFonts w:ascii="宋体" w:hAnsi="Times New Roman" w:eastAsia="宋体" w:cs="宋体"/>
      <w:b/>
      <w:bCs/>
      <w:sz w:val="28"/>
      <w:szCs w:val="28"/>
    </w:rPr>
  </w:style>
  <w:style w:type="paragraph" w:customStyle="1" w:styleId="489">
    <w:name w:val="新正文"/>
    <w:basedOn w:val="1"/>
    <w:uiPriority w:val="0"/>
    <w:pPr>
      <w:spacing w:line="300" w:lineRule="auto"/>
      <w:jc w:val="left"/>
    </w:pPr>
    <w:rPr>
      <w:rFonts w:hint="eastAsia" w:ascii="宋体" w:hAnsi="宋体" w:eastAsia="宋体" w:cs="Times New Roman"/>
      <w:b/>
      <w:szCs w:val="20"/>
    </w:rPr>
  </w:style>
  <w:style w:type="paragraph" w:customStyle="1" w:styleId="490">
    <w:name w:val="表格文字1-小4居中"/>
    <w:basedOn w:val="1"/>
    <w:uiPriority w:val="0"/>
    <w:pPr>
      <w:snapToGrid w:val="0"/>
      <w:spacing w:line="300" w:lineRule="auto"/>
      <w:jc w:val="center"/>
    </w:pPr>
    <w:rPr>
      <w:rFonts w:ascii="Times New Roman" w:hAnsi="Times New Roman" w:eastAsia="宋体" w:cs="Times New Roman"/>
      <w:sz w:val="24"/>
    </w:rPr>
  </w:style>
  <w:style w:type="paragraph" w:customStyle="1" w:styleId="491">
    <w:name w:val="编制单位"/>
    <w:basedOn w:val="1"/>
    <w:uiPriority w:val="0"/>
    <w:pPr>
      <w:keepNext/>
      <w:snapToGrid w:val="0"/>
      <w:spacing w:before="156" w:beforeLines="50" w:line="300" w:lineRule="auto"/>
      <w:jc w:val="center"/>
    </w:pPr>
    <w:rPr>
      <w:rFonts w:ascii="黑体" w:hAnsi="Times New Roman" w:eastAsia="黑体" w:cs="黑体"/>
      <w:sz w:val="32"/>
      <w:szCs w:val="32"/>
    </w:rPr>
  </w:style>
  <w:style w:type="paragraph" w:customStyle="1" w:styleId="492">
    <w:name w:val="项目名称"/>
    <w:basedOn w:val="1"/>
    <w:uiPriority w:val="0"/>
    <w:pPr>
      <w:adjustRightInd w:val="0"/>
      <w:snapToGrid w:val="0"/>
      <w:spacing w:line="360" w:lineRule="auto"/>
      <w:jc w:val="center"/>
    </w:pPr>
    <w:rPr>
      <w:rFonts w:ascii="文鼎大标宋简" w:hAnsi="Times New Roman" w:eastAsia="文鼎大标宋简" w:cs="Times New Roman"/>
      <w:sz w:val="56"/>
      <w:szCs w:val="20"/>
    </w:rPr>
  </w:style>
  <w:style w:type="paragraph" w:customStyle="1" w:styleId="493">
    <w:name w:val="正文－ST4"/>
    <w:basedOn w:val="1"/>
    <w:uiPriority w:val="0"/>
    <w:pPr>
      <w:adjustRightInd w:val="0"/>
      <w:snapToGrid w:val="0"/>
      <w:spacing w:line="360" w:lineRule="auto"/>
      <w:ind w:firstLine="480" w:firstLineChars="200"/>
    </w:pPr>
    <w:rPr>
      <w:rFonts w:ascii="宋体" w:hAnsi="Times New Roman" w:eastAsia="宋体" w:cs="宋体"/>
      <w:kern w:val="0"/>
      <w:sz w:val="24"/>
    </w:rPr>
  </w:style>
  <w:style w:type="paragraph" w:customStyle="1" w:styleId="494">
    <w:name w:val="报告标1"/>
    <w:basedOn w:val="1"/>
    <w:next w:val="199"/>
    <w:uiPriority w:val="0"/>
    <w:pPr>
      <w:adjustRightInd w:val="0"/>
      <w:snapToGrid w:val="0"/>
      <w:spacing w:line="300" w:lineRule="auto"/>
    </w:pPr>
    <w:rPr>
      <w:rFonts w:ascii="黑体" w:hAnsi="Times New Roman" w:eastAsia="黑体" w:cs="黑体"/>
      <w:sz w:val="28"/>
      <w:szCs w:val="28"/>
    </w:rPr>
  </w:style>
  <w:style w:type="paragraph" w:customStyle="1" w:styleId="495">
    <w:name w:val="模板标题1"/>
    <w:basedOn w:val="2"/>
    <w:next w:val="1"/>
    <w:uiPriority w:val="0"/>
    <w:pPr>
      <w:tabs>
        <w:tab w:val="left" w:pos="1200"/>
      </w:tabs>
      <w:spacing w:before="240" w:after="240" w:line="240" w:lineRule="auto"/>
      <w:ind w:left="1200" w:hanging="720"/>
    </w:pPr>
    <w:rPr>
      <w:rFonts w:ascii="Times New Roman" w:hAnsi="Times New Roman" w:eastAsia="宋体" w:cs="Times New Roman"/>
    </w:rPr>
  </w:style>
  <w:style w:type="paragraph" w:customStyle="1" w:styleId="496">
    <w:name w:val="三黑居中"/>
    <w:uiPriority w:val="0"/>
    <w:pPr>
      <w:widowControl w:val="0"/>
      <w:autoSpaceDE w:val="0"/>
      <w:autoSpaceDN w:val="0"/>
      <w:adjustRightInd w:val="0"/>
      <w:spacing w:line="680" w:lineRule="atLeast"/>
      <w:jc w:val="center"/>
    </w:pPr>
    <w:rPr>
      <w:rFonts w:ascii="汉仪中黑简" w:eastAsia="汉仪中黑简"/>
      <w:color w:val="000000"/>
      <w:sz w:val="31"/>
      <w:szCs w:val="31"/>
      <w:lang w:val="en-US" w:eastAsia="zh-CN" w:bidi="ar-SA"/>
    </w:rPr>
  </w:style>
  <w:style w:type="paragraph" w:customStyle="1" w:styleId="497">
    <w:name w:val="b-b1"/>
    <w:basedOn w:val="2"/>
    <w:next w:val="1"/>
    <w:uiPriority w:val="0"/>
    <w:pPr>
      <w:keepNext w:val="0"/>
      <w:keepLines w:val="0"/>
      <w:tabs>
        <w:tab w:val="left" w:pos="360"/>
        <w:tab w:val="left" w:pos="1800"/>
      </w:tabs>
      <w:autoSpaceDE w:val="0"/>
      <w:autoSpaceDN w:val="0"/>
      <w:adjustRightInd w:val="0"/>
      <w:snapToGrid w:val="0"/>
      <w:spacing w:before="160" w:after="160" w:line="400" w:lineRule="exact"/>
      <w:ind w:left="1531" w:hanging="1531"/>
      <w:jc w:val="left"/>
      <w:textAlignment w:val="baseline"/>
    </w:pPr>
    <w:rPr>
      <w:rFonts w:ascii="黑体" w:hAnsi="Times New Roman" w:eastAsia="宋体" w:cs="Times New Roman"/>
      <w:b w:val="0"/>
      <w:bCs w:val="0"/>
      <w:color w:val="000000"/>
      <w:sz w:val="28"/>
      <w:szCs w:val="20"/>
    </w:rPr>
  </w:style>
  <w:style w:type="paragraph" w:customStyle="1" w:styleId="498">
    <w:name w:val="小表中"/>
    <w:basedOn w:val="1"/>
    <w:uiPriority w:val="0"/>
    <w:pPr>
      <w:adjustRightInd w:val="0"/>
      <w:snapToGrid w:val="0"/>
      <w:jc w:val="center"/>
    </w:pPr>
    <w:rPr>
      <w:rFonts w:ascii="宋体" w:hAnsi="宋体" w:eastAsia="宋体" w:cs="宋体"/>
      <w:sz w:val="24"/>
    </w:rPr>
  </w:style>
  <w:style w:type="paragraph" w:customStyle="1" w:styleId="499">
    <w:name w:val="正文段落"/>
    <w:basedOn w:val="1"/>
    <w:uiPriority w:val="0"/>
    <w:pPr>
      <w:widowControl/>
      <w:tabs>
        <w:tab w:val="right" w:pos="1620"/>
      </w:tabs>
      <w:spacing w:line="360" w:lineRule="auto"/>
      <w:ind w:firstLine="480" w:firstLineChars="200"/>
    </w:pPr>
    <w:rPr>
      <w:rFonts w:ascii="宋体" w:hAnsi="宋体" w:eastAsia="宋体" w:cs="宋体"/>
      <w:sz w:val="24"/>
    </w:rPr>
  </w:style>
  <w:style w:type="paragraph" w:customStyle="1" w:styleId="500">
    <w:name w:val="规定原文"/>
    <w:basedOn w:val="1"/>
    <w:uiPriority w:val="0"/>
    <w:pPr>
      <w:keepNext/>
      <w:snapToGrid w:val="0"/>
      <w:spacing w:before="156" w:beforeLines="50" w:line="300" w:lineRule="auto"/>
      <w:ind w:firstLine="560" w:firstLineChars="200"/>
    </w:pPr>
    <w:rPr>
      <w:rFonts w:ascii="楷体_GB2312" w:hAnsi="Times New Roman" w:eastAsia="楷体_GB2312" w:cs="楷体_GB2312"/>
      <w:color w:val="FF0000"/>
      <w:sz w:val="28"/>
      <w:szCs w:val="28"/>
    </w:rPr>
  </w:style>
  <w:style w:type="paragraph" w:customStyle="1" w:styleId="501">
    <w:name w:val="文献分类号"/>
    <w:uiPriority w:val="0"/>
    <w:pPr>
      <w:framePr w:hSpace="180" w:vSpace="180" w:wrap="around" w:vAnchor="margin" w:hAnchor="margin" w:y="1" w:anchorLock="1"/>
      <w:widowControl w:val="0"/>
      <w:textAlignment w:val="center"/>
    </w:pPr>
    <w:rPr>
      <w:rFonts w:eastAsia="黑体"/>
      <w:sz w:val="21"/>
      <w:lang w:val="en-US" w:eastAsia="zh-CN" w:bidi="ar-SA"/>
    </w:rPr>
  </w:style>
  <w:style w:type="paragraph" w:customStyle="1" w:styleId="502">
    <w:name w:val="reader-word-layer reader-word-s4-0"/>
    <w:basedOn w:val="1"/>
    <w:uiPriority w:val="0"/>
    <w:pPr>
      <w:widowControl/>
      <w:spacing w:before="100" w:beforeAutospacing="1" w:after="100" w:afterAutospacing="1"/>
      <w:jc w:val="left"/>
    </w:pPr>
    <w:rPr>
      <w:rFonts w:ascii="宋体" w:hAnsi="宋体" w:eastAsia="宋体" w:cs="宋体"/>
      <w:kern w:val="0"/>
      <w:sz w:val="24"/>
    </w:rPr>
  </w:style>
  <w:style w:type="paragraph" w:customStyle="1" w:styleId="503">
    <w:name w:val="xl34"/>
    <w:basedOn w:val="1"/>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0"/>
    </w:rPr>
  </w:style>
  <w:style w:type="paragraph" w:customStyle="1" w:styleId="504">
    <w:name w:val="图题"/>
    <w:basedOn w:val="1"/>
    <w:uiPriority w:val="0"/>
    <w:pPr>
      <w:widowControl/>
      <w:jc w:val="center"/>
    </w:pPr>
    <w:rPr>
      <w:rFonts w:ascii="宋体" w:hAnsi="宋体" w:eastAsia="黑体" w:cs="宋体"/>
      <w:sz w:val="24"/>
    </w:rPr>
  </w:style>
  <w:style w:type="paragraph" w:customStyle="1" w:styleId="505">
    <w:name w:val="文本123-II"/>
    <w:basedOn w:val="5"/>
    <w:uiPriority w:val="0"/>
    <w:pPr>
      <w:keepNext w:val="0"/>
      <w:keepLines w:val="0"/>
      <w:tabs>
        <w:tab w:val="left" w:pos="4215"/>
      </w:tabs>
      <w:spacing w:before="156" w:beforeLines="50" w:after="0" w:line="240" w:lineRule="auto"/>
      <w:ind w:left="4215" w:hanging="420" w:firstLineChars="160"/>
    </w:pPr>
    <w:rPr>
      <w:rFonts w:ascii="Times New Roman" w:hAnsi="Times New Roman" w:eastAsia="宋体" w:cs="Times New Roman"/>
      <w:b w:val="0"/>
      <w:sz w:val="24"/>
    </w:rPr>
  </w:style>
  <w:style w:type="paragraph" w:customStyle="1" w:styleId="506">
    <w:name w:val="l_text2"/>
    <w:basedOn w:val="1"/>
    <w:uiPriority w:val="0"/>
    <w:pPr>
      <w:widowControl/>
      <w:overflowPunct w:val="0"/>
      <w:autoSpaceDE w:val="0"/>
      <w:autoSpaceDN w:val="0"/>
      <w:adjustRightInd w:val="0"/>
      <w:jc w:val="center"/>
      <w:textAlignment w:val="baseline"/>
    </w:pPr>
    <w:rPr>
      <w:rFonts w:ascii="楷体" w:hAnsi="Times New Roman" w:eastAsia="楷体" w:cs="Times New Roman"/>
      <w:kern w:val="0"/>
      <w:position w:val="-30"/>
      <w:sz w:val="22"/>
      <w:szCs w:val="20"/>
    </w:rPr>
  </w:style>
  <w:style w:type="paragraph" w:customStyle="1" w:styleId="507">
    <w:name w:val="文表内容"/>
    <w:basedOn w:val="508"/>
    <w:uiPriority w:val="0"/>
    <w:rPr>
      <w:rFonts w:ascii="Times New Roman" w:hAnsi="Times New Roman" w:eastAsia="宋体" w:cs="Times New Roman"/>
      <w:w w:val="90"/>
      <w:sz w:val="24"/>
    </w:rPr>
  </w:style>
  <w:style w:type="paragraph" w:customStyle="1" w:styleId="508">
    <w:name w:val="文表表头"/>
    <w:uiPriority w:val="0"/>
    <w:rPr>
      <w:rFonts w:eastAsia="方正书宋简体"/>
      <w:kern w:val="2"/>
      <w:sz w:val="21"/>
      <w:szCs w:val="24"/>
      <w:lang w:val="en-US" w:eastAsia="zh-CN" w:bidi="ar-SA"/>
    </w:rPr>
  </w:style>
  <w:style w:type="paragraph" w:customStyle="1" w:styleId="509">
    <w:name w:val="Abs"/>
    <w:basedOn w:val="32"/>
    <w:uiPriority w:val="0"/>
    <w:pPr>
      <w:keepNext/>
      <w:widowControl/>
      <w:spacing w:after="160"/>
      <w:jc w:val="left"/>
    </w:pPr>
    <w:rPr>
      <w:rFonts w:ascii="Arial" w:hAnsi="Arial" w:eastAsia="宋体" w:cs="Times New Roman"/>
      <w:kern w:val="0"/>
      <w:sz w:val="24"/>
      <w:szCs w:val="20"/>
      <w:lang w:val="en-GB"/>
    </w:rPr>
  </w:style>
  <w:style w:type="paragraph" w:customStyle="1" w:styleId="510">
    <w:name w:val="表格表头"/>
    <w:uiPriority w:val="0"/>
    <w:pPr>
      <w:jc w:val="center"/>
    </w:pPr>
    <w:rPr>
      <w:rFonts w:eastAsia="方正书宋简体"/>
      <w:w w:val="90"/>
      <w:kern w:val="2"/>
      <w:sz w:val="32"/>
      <w:szCs w:val="32"/>
      <w:lang w:val="en-US" w:eastAsia="zh-CN" w:bidi="ar-SA"/>
    </w:rPr>
  </w:style>
  <w:style w:type="paragraph" w:customStyle="1" w:styleId="511">
    <w:name w:val="SuepChapter"/>
    <w:basedOn w:val="1"/>
    <w:uiPriority w:val="0"/>
    <w:pPr>
      <w:widowControl/>
      <w:tabs>
        <w:tab w:val="left" w:pos="420"/>
        <w:tab w:val="center" w:pos="4513"/>
      </w:tabs>
      <w:suppressAutoHyphens/>
      <w:ind w:left="420" w:hanging="420"/>
      <w:jc w:val="center"/>
    </w:pPr>
    <w:rPr>
      <w:rFonts w:ascii="Times New Roman" w:hAnsi="Times New Roman" w:eastAsia="宋体" w:cs="Times New Roman"/>
      <w:b/>
      <w:spacing w:val="-2"/>
      <w:kern w:val="0"/>
      <w:sz w:val="22"/>
      <w:szCs w:val="20"/>
      <w:lang w:val="en-GB"/>
    </w:rPr>
  </w:style>
  <w:style w:type="paragraph" w:customStyle="1" w:styleId="512">
    <w:name w:val="表格与图名"/>
    <w:basedOn w:val="1"/>
    <w:uiPriority w:val="0"/>
    <w:pPr>
      <w:spacing w:line="360" w:lineRule="auto"/>
      <w:jc w:val="center"/>
    </w:pPr>
    <w:rPr>
      <w:rFonts w:ascii="Times New Roman" w:hAnsi="Times New Roman" w:eastAsia="黑体" w:cs="Times New Roman"/>
      <w:szCs w:val="21"/>
    </w:rPr>
  </w:style>
  <w:style w:type="paragraph" w:customStyle="1" w:styleId="513">
    <w:name w:val="五级无标题条"/>
    <w:basedOn w:val="1"/>
    <w:uiPriority w:val="0"/>
    <w:rPr>
      <w:rFonts w:ascii="Times New Roman" w:hAnsi="Times New Roman" w:eastAsia="宋体" w:cs="Times New Roman"/>
      <w:szCs w:val="20"/>
    </w:rPr>
  </w:style>
  <w:style w:type="paragraph" w:customStyle="1" w:styleId="514">
    <w:name w:val="新标题3"/>
    <w:basedOn w:val="1"/>
    <w:uiPriority w:val="0"/>
    <w:pPr>
      <w:keepNext/>
      <w:keepLines/>
      <w:adjustRightInd w:val="0"/>
      <w:snapToGrid w:val="0"/>
      <w:spacing w:line="300" w:lineRule="auto"/>
      <w:outlineLvl w:val="2"/>
    </w:pPr>
    <w:rPr>
      <w:rFonts w:ascii="Times New Roman" w:hAnsi="Times New Roman" w:eastAsia="黑体" w:cs="Times New Roman"/>
      <w:b/>
      <w:sz w:val="28"/>
      <w:szCs w:val="32"/>
    </w:rPr>
  </w:style>
  <w:style w:type="paragraph" w:customStyle="1" w:styleId="515">
    <w:name w:val="项目符号_“-”"/>
    <w:basedOn w:val="1"/>
    <w:uiPriority w:val="0"/>
    <w:pPr>
      <w:tabs>
        <w:tab w:val="left" w:pos="420"/>
        <w:tab w:val="left" w:pos="1200"/>
      </w:tabs>
      <w:spacing w:before="78"/>
      <w:ind w:left="820" w:hanging="420"/>
    </w:pPr>
    <w:rPr>
      <w:rFonts w:ascii="Times New Roman" w:hAnsi="Times New Roman" w:eastAsia="宋体" w:cs="Times New Roman"/>
      <w:szCs w:val="20"/>
    </w:rPr>
  </w:style>
  <w:style w:type="paragraph" w:customStyle="1" w:styleId="516">
    <w:name w:val="正文格式"/>
    <w:next w:val="1"/>
    <w:uiPriority w:val="0"/>
    <w:pPr>
      <w:spacing w:before="156" w:beforeLines="50" w:line="440" w:lineRule="exact"/>
      <w:ind w:firstLine="200" w:firstLineChars="200"/>
    </w:pPr>
    <w:rPr>
      <w:rFonts w:eastAsia="仿宋_GB2312"/>
      <w:iCs/>
      <w:kern w:val="2"/>
      <w:sz w:val="28"/>
      <w:lang w:val="en-US" w:eastAsia="zh-CN" w:bidi="ar-SA"/>
    </w:rPr>
  </w:style>
  <w:style w:type="paragraph" w:customStyle="1" w:styleId="517">
    <w:name w:val="目录文字"/>
    <w:basedOn w:val="1"/>
    <w:uiPriority w:val="0"/>
    <w:pPr>
      <w:widowControl/>
      <w:spacing w:line="480" w:lineRule="auto"/>
      <w:jc w:val="left"/>
    </w:pPr>
    <w:rPr>
      <w:rFonts w:ascii="宋体" w:hAnsi="宋体" w:eastAsia="宋体" w:cs="Times New Roman"/>
      <w:kern w:val="0"/>
      <w:sz w:val="24"/>
      <w:szCs w:val="20"/>
    </w:rPr>
  </w:style>
  <w:style w:type="paragraph" w:customStyle="1" w:styleId="518">
    <w:name w:val="标题－2"/>
    <w:basedOn w:val="3"/>
    <w:uiPriority w:val="0"/>
    <w:pPr>
      <w:adjustRightInd w:val="0"/>
      <w:snapToGrid w:val="0"/>
      <w:spacing w:before="0" w:after="0" w:line="360" w:lineRule="auto"/>
      <w:jc w:val="left"/>
      <w:textAlignment w:val="baseline"/>
    </w:pPr>
    <w:rPr>
      <w:rFonts w:ascii="Times New Roman" w:hAnsi="Times New Roman" w:eastAsia="宋体" w:cs="Times New Roman"/>
      <w:b w:val="0"/>
      <w:bCs w:val="0"/>
      <w:color w:val="0000FF"/>
      <w:kern w:val="0"/>
      <w:sz w:val="28"/>
    </w:rPr>
  </w:style>
  <w:style w:type="paragraph" w:customStyle="1" w:styleId="519">
    <w:name w:val="小表右A"/>
    <w:basedOn w:val="520"/>
    <w:uiPriority w:val="0"/>
    <w:pPr>
      <w:ind w:right="28" w:rightChars="10"/>
    </w:pPr>
    <w:rPr>
      <w:rFonts w:ascii="Times New Roman" w:hAnsi="Times New Roman" w:eastAsia="宋体" w:cs="Times New Roman"/>
    </w:rPr>
  </w:style>
  <w:style w:type="paragraph" w:customStyle="1" w:styleId="520">
    <w:name w:val="小表右"/>
    <w:basedOn w:val="1"/>
    <w:uiPriority w:val="0"/>
    <w:pPr>
      <w:keepNext/>
      <w:snapToGrid w:val="0"/>
      <w:spacing w:line="240" w:lineRule="atLeast"/>
      <w:ind w:right="84" w:rightChars="30"/>
      <w:jc w:val="right"/>
    </w:pPr>
    <w:rPr>
      <w:rFonts w:ascii="宋体" w:hAnsi="宋体" w:eastAsia="宋体" w:cs="宋体"/>
      <w:sz w:val="24"/>
    </w:rPr>
  </w:style>
  <w:style w:type="paragraph" w:customStyle="1" w:styleId="521">
    <w:name w:val="第一卷"/>
    <w:uiPriority w:val="0"/>
    <w:pPr>
      <w:widowControl w:val="0"/>
      <w:spacing w:before="312" w:beforeLines="100" w:after="156" w:afterLines="50"/>
      <w:jc w:val="center"/>
      <w:outlineLvl w:val="0"/>
    </w:pPr>
    <w:rPr>
      <w:rFonts w:ascii="方正小标宋简体" w:hAnsi="宋体" w:eastAsia="方正小标宋简体" w:cs="宋体"/>
      <w:kern w:val="44"/>
      <w:sz w:val="36"/>
      <w:szCs w:val="36"/>
      <w:lang w:val="en-US" w:eastAsia="zh-CN" w:bidi="ar-SA"/>
    </w:rPr>
  </w:style>
  <w:style w:type="paragraph" w:customStyle="1" w:styleId="522">
    <w:name w:val="SuepHeading"/>
    <w:basedOn w:val="1"/>
    <w:uiPriority w:val="0"/>
    <w:pPr>
      <w:widowControl/>
      <w:tabs>
        <w:tab w:val="left" w:pos="828"/>
        <w:tab w:val="left" w:pos="1394"/>
        <w:tab w:val="left" w:pos="2245"/>
        <w:tab w:val="left" w:pos="3094"/>
        <w:tab w:val="left" w:pos="3945"/>
        <w:tab w:val="left" w:pos="5079"/>
        <w:tab w:val="left" w:pos="6496"/>
        <w:tab w:val="left" w:pos="7630"/>
      </w:tabs>
      <w:suppressAutoHyphens/>
      <w:ind w:left="840" w:hanging="420"/>
    </w:pPr>
    <w:rPr>
      <w:rFonts w:ascii="Times New Roman" w:hAnsi="Times New Roman" w:eastAsia="宋体" w:cs="Times New Roman"/>
      <w:b/>
      <w:spacing w:val="-2"/>
      <w:kern w:val="0"/>
      <w:sz w:val="22"/>
      <w:szCs w:val="20"/>
      <w:lang w:val="en-GB"/>
    </w:rPr>
  </w:style>
  <w:style w:type="paragraph" w:customStyle="1" w:styleId="523">
    <w:name w:val="正文样式1"/>
    <w:basedOn w:val="1"/>
    <w:next w:val="1"/>
    <w:uiPriority w:val="0"/>
    <w:pPr>
      <w:widowControl/>
    </w:pPr>
    <w:rPr>
      <w:rFonts w:ascii="宋体" w:hAnsi="宋体" w:eastAsia="宋体" w:cs="宋体"/>
    </w:rPr>
  </w:style>
  <w:style w:type="paragraph" w:customStyle="1" w:styleId="524">
    <w:name w:val="样式 标题 3 + (中文) 黑体 小四 非加粗 段前: 7.8 磅 段后: 0 磅 行距: 固定值 20 磅"/>
    <w:basedOn w:val="4"/>
    <w:uiPriority w:val="0"/>
    <w:pPr>
      <w:spacing w:before="0" w:after="0" w:line="400" w:lineRule="exact"/>
    </w:pPr>
    <w:rPr>
      <w:rFonts w:ascii="Times New Roman" w:hAnsi="Times New Roman" w:eastAsia="黑体" w:cs="Times New Roman"/>
      <w:b w:val="0"/>
      <w:bCs w:val="0"/>
      <w:sz w:val="24"/>
      <w:szCs w:val="20"/>
    </w:rPr>
  </w:style>
  <w:style w:type="paragraph" w:customStyle="1" w:styleId="525">
    <w:name w:val="Char Char Char"/>
    <w:basedOn w:val="1"/>
    <w:next w:val="4"/>
    <w:uiPriority w:val="0"/>
    <w:pPr>
      <w:shd w:val="clear" w:color="auto" w:fill="000080"/>
      <w:adjustRightInd w:val="0"/>
      <w:spacing w:line="600" w:lineRule="exact"/>
      <w:jc w:val="center"/>
      <w:outlineLvl w:val="2"/>
    </w:pPr>
    <w:rPr>
      <w:rFonts w:ascii="Times New Roman" w:hAnsi="Times New Roman" w:eastAsia="宋体" w:cs="Times New Roman"/>
      <w:szCs w:val="20"/>
      <w:shd w:val="clear" w:color="auto" w:fill="000080"/>
    </w:rPr>
  </w:style>
  <w:style w:type="paragraph" w:customStyle="1" w:styleId="526">
    <w:name w:val="五级条标题"/>
    <w:basedOn w:val="463"/>
    <w:next w:val="325"/>
    <w:uiPriority w:val="0"/>
    <w:pPr>
      <w:outlineLvl w:val="6"/>
    </w:pPr>
    <w:rPr>
      <w:rFonts w:ascii="Times New Roman" w:hAnsi="Times New Roman" w:eastAsia="宋体" w:cs="Times New Roman"/>
    </w:rPr>
  </w:style>
  <w:style w:type="paragraph" w:customStyle="1" w:styleId="527">
    <w:name w:val="2"/>
    <w:basedOn w:val="3"/>
    <w:uiPriority w:val="0"/>
    <w:pPr>
      <w:tabs>
        <w:tab w:val="left" w:pos="1134"/>
        <w:tab w:val="left" w:pos="1410"/>
      </w:tabs>
      <w:spacing w:line="300" w:lineRule="auto"/>
      <w:ind w:left="1410" w:hanging="420"/>
    </w:pPr>
    <w:rPr>
      <w:rFonts w:ascii="Times New Roman" w:hAnsi="Times New Roman" w:eastAsia="宋体" w:cs="Times New Roman"/>
      <w:bCs w:val="0"/>
      <w:sz w:val="30"/>
      <w:szCs w:val="20"/>
    </w:rPr>
  </w:style>
  <w:style w:type="paragraph" w:customStyle="1" w:styleId="528">
    <w:name w:val="标题－4"/>
    <w:basedOn w:val="19"/>
    <w:uiPriority w:val="0"/>
    <w:pPr>
      <w:keepNext/>
      <w:keepLines/>
      <w:widowControl/>
      <w:adjustRightInd w:val="0"/>
      <w:snapToGrid w:val="0"/>
      <w:spacing w:before="200" w:after="200"/>
      <w:ind w:firstLine="0"/>
      <w:outlineLvl w:val="3"/>
    </w:pPr>
    <w:rPr>
      <w:rFonts w:ascii="黑体" w:hAnsi="黑体" w:eastAsia="黑体" w:cs="Times New Roman"/>
      <w:color w:val="008000"/>
      <w:kern w:val="0"/>
      <w:sz w:val="28"/>
      <w:szCs w:val="28"/>
    </w:rPr>
  </w:style>
  <w:style w:type="paragraph" w:customStyle="1" w:styleId="529">
    <w:name w:val="1标题2"/>
    <w:basedOn w:val="1"/>
    <w:uiPriority w:val="0"/>
    <w:pPr>
      <w:spacing w:before="120" w:after="120" w:line="400" w:lineRule="exact"/>
      <w:ind w:left="1260" w:hanging="420"/>
      <w:jc w:val="center"/>
      <w:outlineLvl w:val="2"/>
    </w:pPr>
    <w:rPr>
      <w:rFonts w:ascii="宋体" w:hAnsi="宋体" w:eastAsia="宋体" w:cs="Times New Roman"/>
      <w:b/>
      <w:bCs/>
      <w:color w:val="000000"/>
      <w:sz w:val="28"/>
      <w:szCs w:val="28"/>
    </w:rPr>
  </w:style>
  <w:style w:type="paragraph" w:customStyle="1" w:styleId="530">
    <w:name w:val="默认段落字体 Para Char"/>
    <w:basedOn w:val="1"/>
    <w:next w:val="1"/>
    <w:uiPriority w:val="0"/>
    <w:pPr>
      <w:spacing w:line="360" w:lineRule="auto"/>
      <w:ind w:firstLine="200" w:firstLineChars="200"/>
    </w:pPr>
    <w:rPr>
      <w:rFonts w:ascii="Times New Roman" w:hAnsi="Times New Roman" w:eastAsia="宋体" w:cs="Times New Roman"/>
    </w:rPr>
  </w:style>
  <w:style w:type="paragraph" w:styleId="531">
    <w:name w:val="Quote"/>
    <w:basedOn w:val="1"/>
    <w:next w:val="1"/>
    <w:qFormat/>
    <w:uiPriority w:val="0"/>
    <w:pPr>
      <w:widowControl/>
      <w:jc w:val="left"/>
    </w:pPr>
    <w:rPr>
      <w:rFonts w:ascii="Calibri" w:hAnsi="Calibri" w:eastAsia="宋体" w:cs="Times New Roman"/>
      <w:i/>
      <w:sz w:val="24"/>
      <w:szCs w:val="20"/>
      <w:lang w:eastAsia="en-US"/>
    </w:rPr>
  </w:style>
  <w:style w:type="paragraph" w:customStyle="1" w:styleId="532">
    <w:name w:val="目次"/>
    <w:basedOn w:val="1"/>
    <w:uiPriority w:val="0"/>
    <w:pPr>
      <w:keepNext/>
      <w:snapToGrid w:val="0"/>
      <w:spacing w:before="156" w:beforeLines="50" w:line="300" w:lineRule="auto"/>
      <w:ind w:firstLine="1304"/>
      <w:jc w:val="center"/>
    </w:pPr>
    <w:rPr>
      <w:rFonts w:ascii="宋体" w:hAnsi="Times New Roman" w:eastAsia="黑体" w:cs="宋体"/>
      <w:spacing w:val="480"/>
      <w:sz w:val="32"/>
      <w:szCs w:val="32"/>
    </w:rPr>
  </w:style>
  <w:style w:type="paragraph" w:customStyle="1" w:styleId="533">
    <w:name w:val="设料表居中"/>
    <w:basedOn w:val="1"/>
    <w:uiPriority w:val="0"/>
    <w:pPr>
      <w:adjustRightInd w:val="0"/>
      <w:spacing w:line="312" w:lineRule="atLeast"/>
      <w:jc w:val="center"/>
      <w:textAlignment w:val="baseline"/>
    </w:pPr>
    <w:rPr>
      <w:rFonts w:ascii="Times New Roman" w:hAnsi="Times New Roman" w:eastAsia="方正综艺简体" w:cs="Times New Roman"/>
      <w:w w:val="98"/>
      <w:kern w:val="0"/>
      <w:sz w:val="24"/>
      <w:szCs w:val="20"/>
    </w:rPr>
  </w:style>
  <w:style w:type="paragraph" w:customStyle="1" w:styleId="534">
    <w:name w:val=" Char Char Char Char Char Char Char Char Char Char"/>
    <w:basedOn w:val="1"/>
    <w:uiPriority w:val="0"/>
    <w:pPr>
      <w:keepNext/>
      <w:shd w:val="clear" w:color="auto" w:fill="000080"/>
      <w:spacing w:before="312" w:beforeLines="100"/>
      <w:ind w:hanging="720"/>
    </w:pPr>
    <w:rPr>
      <w:rFonts w:ascii="Tahoma" w:hAnsi="Tahoma" w:eastAsia="宋体" w:cs="Times New Roman"/>
      <w:sz w:val="24"/>
    </w:rPr>
  </w:style>
  <w:style w:type="paragraph" w:customStyle="1" w:styleId="535">
    <w:name w:val="reader-word-layer reader-word-s4-5"/>
    <w:basedOn w:val="1"/>
    <w:uiPriority w:val="0"/>
    <w:pPr>
      <w:widowControl/>
      <w:spacing w:before="100" w:beforeAutospacing="1" w:after="100" w:afterAutospacing="1"/>
      <w:jc w:val="left"/>
    </w:pPr>
    <w:rPr>
      <w:rFonts w:ascii="宋体" w:hAnsi="宋体" w:eastAsia="宋体" w:cs="宋体"/>
      <w:kern w:val="0"/>
      <w:sz w:val="24"/>
    </w:rPr>
  </w:style>
  <w:style w:type="paragraph" w:customStyle="1" w:styleId="536">
    <w:name w:val="附录表标题"/>
    <w:next w:val="325"/>
    <w:uiPriority w:val="0"/>
    <w:pPr>
      <w:tabs>
        <w:tab w:val="left" w:pos="360"/>
      </w:tabs>
      <w:jc w:val="center"/>
      <w:textAlignment w:val="baseline"/>
    </w:pPr>
    <w:rPr>
      <w:rFonts w:ascii="黑体" w:eastAsia="黑体"/>
      <w:kern w:val="21"/>
      <w:sz w:val="21"/>
      <w:lang w:val="en-US" w:eastAsia="zh-CN" w:bidi="ar-SA"/>
    </w:rPr>
  </w:style>
  <w:style w:type="paragraph" w:customStyle="1" w:styleId="537">
    <w:name w:val="编制人员"/>
    <w:basedOn w:val="1"/>
    <w:uiPriority w:val="0"/>
    <w:pPr>
      <w:keepNext/>
      <w:snapToGrid w:val="0"/>
      <w:spacing w:line="300" w:lineRule="auto"/>
      <w:jc w:val="center"/>
    </w:pPr>
    <w:rPr>
      <w:rFonts w:ascii="黑体" w:hAnsi="Times New Roman" w:eastAsia="黑体" w:cs="黑体"/>
      <w:sz w:val="32"/>
      <w:szCs w:val="32"/>
    </w:rPr>
  </w:style>
  <w:style w:type="paragraph" w:customStyle="1" w:styleId="538">
    <w:name w:val="样式 Title_u + 悬挂缩进: 0.91 字符"/>
    <w:basedOn w:val="539"/>
    <w:uiPriority w:val="0"/>
    <w:pPr>
      <w:spacing w:line="240" w:lineRule="auto"/>
      <w:ind w:left="281" w:leftChars="-7" w:hanging="301" w:hangingChars="107"/>
    </w:pPr>
    <w:rPr>
      <w:rFonts w:ascii="Times New Roman" w:hAnsi="Times New Roman" w:eastAsia="宋体" w:cs="Times New Roman"/>
    </w:rPr>
  </w:style>
  <w:style w:type="paragraph" w:customStyle="1" w:styleId="539">
    <w:name w:val="Title_u"/>
    <w:basedOn w:val="1"/>
    <w:uiPriority w:val="0"/>
    <w:pPr>
      <w:widowControl/>
      <w:overflowPunct w:val="0"/>
      <w:autoSpaceDE w:val="0"/>
      <w:autoSpaceDN w:val="0"/>
      <w:adjustRightInd w:val="0"/>
      <w:spacing w:before="120" w:after="120" w:line="360" w:lineRule="auto"/>
      <w:jc w:val="center"/>
      <w:textAlignment w:val="baseline"/>
    </w:pPr>
    <w:rPr>
      <w:rFonts w:ascii="黑体" w:hAnsi="Times New Roman" w:eastAsia="黑体" w:cs="Times New Roman"/>
      <w:b/>
      <w:kern w:val="0"/>
      <w:sz w:val="28"/>
      <w:szCs w:val="20"/>
    </w:rPr>
  </w:style>
  <w:style w:type="paragraph" w:customStyle="1" w:styleId="540">
    <w:name w:val="bf"/>
    <w:basedOn w:val="1"/>
    <w:uiPriority w:val="0"/>
    <w:pPr>
      <w:tabs>
        <w:tab w:val="left" w:pos="0"/>
        <w:tab w:val="left" w:pos="2269"/>
      </w:tabs>
      <w:adjustRightInd w:val="0"/>
      <w:spacing w:before="480" w:after="240" w:line="360" w:lineRule="atLeast"/>
      <w:ind w:left="1134" w:hanging="1134"/>
      <w:jc w:val="center"/>
      <w:textAlignment w:val="baseline"/>
    </w:pPr>
    <w:rPr>
      <w:rFonts w:ascii="Arial" w:hAnsi="Arial" w:eastAsia="黑体" w:cs="Times New Roman"/>
      <w:kern w:val="0"/>
      <w:sz w:val="32"/>
      <w:szCs w:val="20"/>
    </w:rPr>
  </w:style>
  <w:style w:type="paragraph" w:customStyle="1" w:styleId="541">
    <w:name w:val="专业签署"/>
    <w:basedOn w:val="1"/>
    <w:uiPriority w:val="0"/>
    <w:pPr>
      <w:keepNext/>
      <w:snapToGrid w:val="0"/>
      <w:spacing w:before="156" w:beforeLines="50" w:after="120" w:line="300" w:lineRule="auto"/>
      <w:jc w:val="center"/>
    </w:pPr>
    <w:rPr>
      <w:rFonts w:ascii="宋体" w:hAnsi="Times New Roman" w:eastAsia="宋体" w:cs="宋体"/>
      <w:sz w:val="32"/>
      <w:szCs w:val="32"/>
    </w:rPr>
  </w:style>
  <w:style w:type="paragraph" w:customStyle="1" w:styleId="542">
    <w:name w:val="正文表标题"/>
    <w:next w:val="1"/>
    <w:uiPriority w:val="0"/>
    <w:pPr>
      <w:jc w:val="center"/>
    </w:pPr>
    <w:rPr>
      <w:rFonts w:ascii="黑体" w:eastAsia="黑体"/>
      <w:sz w:val="21"/>
      <w:lang w:val="en-US" w:eastAsia="zh-CN" w:bidi="ar-SA"/>
    </w:rPr>
  </w:style>
  <w:style w:type="paragraph" w:customStyle="1" w:styleId="543">
    <w:name w:val="封面标准代替信息"/>
    <w:basedOn w:val="544"/>
    <w:uiPriority w:val="0"/>
    <w:pPr>
      <w:spacing w:before="57"/>
    </w:pPr>
    <w:rPr>
      <w:rFonts w:ascii="宋体" w:hAnsi="Times New Roman" w:eastAsia="宋体" w:cs="Times New Roman"/>
      <w:sz w:val="21"/>
    </w:rPr>
  </w:style>
  <w:style w:type="paragraph" w:customStyle="1" w:styleId="544">
    <w:name w:val="封面标准号2"/>
    <w:basedOn w:val="1"/>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rFonts w:ascii="Times New Roman" w:hAnsi="Times New Roman" w:eastAsia="宋体" w:cs="Times New Roman"/>
      <w:kern w:val="0"/>
      <w:sz w:val="28"/>
      <w:szCs w:val="20"/>
    </w:rPr>
  </w:style>
  <w:style w:type="paragraph" w:customStyle="1" w:styleId="545">
    <w:name w:val="1级标题"/>
    <w:basedOn w:val="2"/>
    <w:uiPriority w:val="0"/>
    <w:pPr>
      <w:widowControl/>
      <w:adjustRightInd w:val="0"/>
      <w:snapToGrid w:val="0"/>
      <w:spacing w:before="156" w:beforeLines="50" w:line="300" w:lineRule="auto"/>
      <w:jc w:val="center"/>
    </w:pPr>
    <w:rPr>
      <w:rFonts w:ascii="黑体" w:hAnsi="黑体" w:eastAsia="宋体" w:cs="宋体"/>
      <w:sz w:val="28"/>
      <w:szCs w:val="20"/>
    </w:rPr>
  </w:style>
  <w:style w:type="paragraph" w:customStyle="1" w:styleId="546">
    <w:name w:val="列出段落1"/>
    <w:basedOn w:val="1"/>
    <w:uiPriority w:val="0"/>
    <w:pPr>
      <w:ind w:firstLine="420" w:firstLineChars="200"/>
    </w:pPr>
    <w:rPr>
      <w:rFonts w:ascii="Calibri" w:hAnsi="Calibri" w:eastAsia="宋体" w:cs="Times New Roman"/>
      <w:szCs w:val="22"/>
    </w:rPr>
  </w:style>
  <w:style w:type="paragraph" w:customStyle="1" w:styleId="547">
    <w:name w:val="_Style 57"/>
    <w:basedOn w:val="1"/>
    <w:next w:val="59"/>
    <w:uiPriority w:val="0"/>
    <w:pPr>
      <w:autoSpaceDE w:val="0"/>
      <w:autoSpaceDN w:val="0"/>
      <w:adjustRightInd w:val="0"/>
      <w:jc w:val="left"/>
      <w:textAlignment w:val="baseline"/>
    </w:pPr>
    <w:rPr>
      <w:rFonts w:ascii="宋体" w:hAnsi="Times New Roman" w:eastAsia="宋体" w:cs="Times New Roman"/>
      <w:kern w:val="0"/>
      <w:sz w:val="28"/>
      <w:szCs w:val="20"/>
    </w:rPr>
  </w:style>
  <w:style w:type="paragraph" w:customStyle="1" w:styleId="548">
    <w:name w:val="参考文献、索引标题"/>
    <w:basedOn w:val="477"/>
    <w:next w:val="1"/>
    <w:uiPriority w:val="0"/>
    <w:pPr>
      <w:spacing w:after="200"/>
    </w:pPr>
    <w:rPr>
      <w:rFonts w:ascii="Times New Roman" w:hAnsi="Times New Roman" w:eastAsia="宋体" w:cs="Times New Roman"/>
      <w:sz w:val="21"/>
    </w:rPr>
  </w:style>
  <w:style w:type="paragraph" w:customStyle="1" w:styleId="549">
    <w:name w:val="林宝辉"/>
    <w:basedOn w:val="1"/>
    <w:uiPriority w:val="0"/>
    <w:pPr>
      <w:spacing w:line="360" w:lineRule="auto"/>
      <w:ind w:left="-2"/>
    </w:pPr>
    <w:rPr>
      <w:rFonts w:ascii="Times New Roman" w:hAnsi="Times New Roman" w:eastAsia="宋体" w:cs="Times New Roman"/>
      <w:sz w:val="24"/>
    </w:rPr>
  </w:style>
  <w:style w:type="paragraph" w:customStyle="1" w:styleId="550">
    <w:name w:val="5"/>
    <w:basedOn w:val="1"/>
    <w:uiPriority w:val="0"/>
    <w:pPr>
      <w:tabs>
        <w:tab w:val="left" w:pos="1313"/>
      </w:tabs>
      <w:spacing w:line="300" w:lineRule="auto"/>
      <w:ind w:left="1313" w:hanging="420"/>
    </w:pPr>
    <w:rPr>
      <w:rFonts w:ascii="Times New Roman" w:hAnsi="Times New Roman" w:eastAsia="宋体" w:cs="Times New Roman"/>
      <w:sz w:val="24"/>
      <w:szCs w:val="20"/>
    </w:rPr>
  </w:style>
  <w:style w:type="paragraph" w:styleId="551">
    <w:name w:val=""/>
    <w:uiPriority w:val="0"/>
    <w:rPr>
      <w:kern w:val="2"/>
      <w:sz w:val="21"/>
      <w:szCs w:val="24"/>
      <w:lang w:val="en-US" w:eastAsia="zh-CN" w:bidi="ar-SA"/>
    </w:rPr>
  </w:style>
  <w:style w:type="paragraph" w:customStyle="1" w:styleId="552">
    <w:name w:val="Head"/>
    <w:basedOn w:val="2"/>
    <w:uiPriority w:val="0"/>
    <w:pPr>
      <w:keepLines w:val="0"/>
      <w:pageBreakBefore/>
      <w:widowControl/>
      <w:overflowPunct w:val="0"/>
      <w:autoSpaceDE w:val="0"/>
      <w:autoSpaceDN w:val="0"/>
      <w:adjustRightInd w:val="0"/>
      <w:spacing w:before="120" w:after="240" w:line="307" w:lineRule="auto"/>
      <w:jc w:val="center"/>
      <w:textAlignment w:val="baseline"/>
      <w:outlineLvl w:val="9"/>
    </w:pPr>
    <w:rPr>
      <w:rFonts w:ascii="Arial" w:hAnsi="Arial" w:eastAsia="宋体" w:cs="Times New Roman"/>
      <w:b w:val="0"/>
      <w:bCs w:val="0"/>
      <w:kern w:val="28"/>
      <w:sz w:val="40"/>
      <w:szCs w:val="20"/>
      <w:lang/>
    </w:rPr>
  </w:style>
  <w:style w:type="paragraph" w:customStyle="1" w:styleId="553">
    <w:name w:val="一级无标题条"/>
    <w:basedOn w:val="1"/>
    <w:uiPriority w:val="0"/>
    <w:rPr>
      <w:rFonts w:ascii="Times New Roman" w:hAnsi="Times New Roman" w:eastAsia="宋体" w:cs="Times New Roman"/>
      <w:szCs w:val="20"/>
    </w:rPr>
  </w:style>
  <w:style w:type="paragraph" w:customStyle="1" w:styleId="554">
    <w:name w:val="样式 标题 3头 + 小四 段前: 0 磅 行距: 1.5 倍行距"/>
    <w:basedOn w:val="4"/>
    <w:uiPriority w:val="0"/>
    <w:pPr>
      <w:adjustRightInd w:val="0"/>
      <w:spacing w:before="0" w:after="0" w:line="360" w:lineRule="auto"/>
      <w:jc w:val="left"/>
      <w:textAlignment w:val="baseline"/>
    </w:pPr>
    <w:rPr>
      <w:rFonts w:ascii="宋体" w:hAnsi="宋体" w:eastAsia="宋体" w:cs="Times New Roman"/>
      <w:bCs w:val="0"/>
      <w:sz w:val="24"/>
      <w:szCs w:val="20"/>
      <w:lang w:val="en-GB"/>
    </w:rPr>
  </w:style>
  <w:style w:type="paragraph" w:customStyle="1" w:styleId="555">
    <w:name w:val="正文进2字"/>
    <w:basedOn w:val="1"/>
    <w:uiPriority w:val="0"/>
    <w:pPr>
      <w:spacing w:before="156" w:beforeLines="50" w:after="156" w:afterLines="50" w:line="500" w:lineRule="exact"/>
    </w:pPr>
    <w:rPr>
      <w:rFonts w:ascii="Times New Roman" w:hAnsi="Times New Roman" w:eastAsia="宋体" w:cs="Times New Roman"/>
      <w:snapToGrid w:val="0"/>
      <w:color w:val="000000"/>
      <w:sz w:val="24"/>
    </w:rPr>
  </w:style>
  <w:style w:type="paragraph" w:customStyle="1" w:styleId="556">
    <w:name w:val="Char Char Char Char Char Char Char"/>
    <w:basedOn w:val="1"/>
    <w:uiPriority w:val="0"/>
    <w:rPr>
      <w:rFonts w:hint="eastAsia" w:ascii="Times New Roman" w:hAnsi="Times New Roman" w:eastAsia="宋体" w:cs="Times New Roman"/>
      <w:szCs w:val="20"/>
    </w:rPr>
  </w:style>
  <w:style w:type="paragraph" w:customStyle="1" w:styleId="557">
    <w:name w:val="样式 标题 2节标题 1.1b21.1标题2 + Times New Roman"/>
    <w:basedOn w:val="3"/>
    <w:uiPriority w:val="0"/>
    <w:pPr>
      <w:keepLines w:val="0"/>
      <w:spacing w:before="320" w:after="320" w:line="240" w:lineRule="auto"/>
      <w:jc w:val="left"/>
    </w:pPr>
    <w:rPr>
      <w:rFonts w:ascii="Times New Roman" w:hAnsi="Times New Roman" w:eastAsia="楷体_GB2312" w:cs="Times New Roman"/>
      <w:b w:val="0"/>
      <w:bCs w:val="0"/>
      <w:color w:val="000000"/>
      <w:kern w:val="13"/>
      <w:sz w:val="24"/>
      <w:szCs w:val="28"/>
    </w:rPr>
  </w:style>
  <w:style w:type="paragraph" w:customStyle="1" w:styleId="558">
    <w:name w:val="标准中文版式_正文"/>
    <w:basedOn w:val="1"/>
    <w:uiPriority w:val="0"/>
    <w:pPr>
      <w:spacing w:before="30"/>
    </w:pPr>
    <w:rPr>
      <w:rFonts w:ascii="Times New Roman" w:hAnsi="Times New Roman" w:eastAsia="宋体" w:cs="Times New Roman"/>
      <w:szCs w:val="20"/>
    </w:rPr>
  </w:style>
  <w:style w:type="paragraph" w:customStyle="1" w:styleId="559">
    <w:name w:val="列项——"/>
    <w:uiPriority w:val="0"/>
    <w:pPr>
      <w:widowControl w:val="0"/>
      <w:tabs>
        <w:tab w:val="left" w:pos="360"/>
        <w:tab w:val="left" w:pos="854"/>
      </w:tabs>
      <w:ind w:left="360" w:leftChars="200" w:hanging="360" w:hangingChars="200"/>
      <w:jc w:val="both"/>
    </w:pPr>
    <w:rPr>
      <w:rFonts w:ascii="宋体"/>
      <w:sz w:val="21"/>
      <w:lang w:val="en-US" w:eastAsia="zh-CN" w:bidi="ar-SA"/>
    </w:rPr>
  </w:style>
  <w:style w:type="paragraph" w:styleId="560">
    <w:name w:val="List Paragraph"/>
    <w:basedOn w:val="1"/>
    <w:qFormat/>
    <w:uiPriority w:val="0"/>
    <w:pPr>
      <w:ind w:firstLine="420" w:firstLineChars="200"/>
    </w:pPr>
    <w:rPr>
      <w:rFonts w:ascii="Calibri" w:hAnsi="Calibri" w:eastAsia="宋体" w:cs="Times New Roman"/>
      <w:szCs w:val="22"/>
    </w:rPr>
  </w:style>
  <w:style w:type="paragraph" w:customStyle="1" w:styleId="561">
    <w:name w:val="设计证书编号"/>
    <w:basedOn w:val="1"/>
    <w:uiPriority w:val="0"/>
    <w:pPr>
      <w:keepNext/>
      <w:snapToGrid w:val="0"/>
      <w:spacing w:line="300" w:lineRule="auto"/>
      <w:jc w:val="center"/>
    </w:pPr>
    <w:rPr>
      <w:rFonts w:ascii="宋体" w:hAnsi="Times New Roman" w:eastAsia="宋体" w:cs="宋体"/>
      <w:sz w:val="32"/>
      <w:szCs w:val="32"/>
    </w:rPr>
  </w:style>
  <w:style w:type="paragraph" w:customStyle="1" w:styleId="562">
    <w:name w:val="Char"/>
    <w:basedOn w:val="1"/>
    <w:uiPriority w:val="0"/>
    <w:pPr>
      <w:spacing w:line="360" w:lineRule="auto"/>
      <w:ind w:firstLine="200" w:firstLineChars="200"/>
    </w:pPr>
    <w:rPr>
      <w:rFonts w:ascii="宋体" w:hAnsi="宋体" w:eastAsia="宋体" w:cs="Times New Roman"/>
      <w:sz w:val="24"/>
      <w:szCs w:val="20"/>
    </w:rPr>
  </w:style>
  <w:style w:type="paragraph" w:customStyle="1" w:styleId="563">
    <w:name w:val="标题5，1 + 两端对齐 首行缩进:  2 字符"/>
    <w:basedOn w:val="1"/>
    <w:uiPriority w:val="0"/>
    <w:pPr>
      <w:spacing w:line="360" w:lineRule="auto"/>
      <w:ind w:firstLine="480" w:firstLineChars="200"/>
      <w:outlineLvl w:val="4"/>
    </w:pPr>
    <w:rPr>
      <w:rFonts w:ascii="Times New Roman" w:hAnsi="Times New Roman" w:eastAsia="宋体" w:cs="宋体"/>
      <w:sz w:val="24"/>
      <w:szCs w:val="20"/>
    </w:rPr>
  </w:style>
  <w:style w:type="paragraph" w:customStyle="1" w:styleId="564">
    <w:name w:val="简单回函地址"/>
    <w:basedOn w:val="1"/>
    <w:uiPriority w:val="0"/>
    <w:pPr>
      <w:widowControl/>
    </w:pPr>
    <w:rPr>
      <w:rFonts w:ascii="宋体" w:hAnsi="宋体" w:eastAsia="宋体" w:cs="宋体"/>
    </w:rPr>
  </w:style>
  <w:style w:type="paragraph" w:customStyle="1" w:styleId="565">
    <w:name w:val="林宝辉 标题2"/>
    <w:basedOn w:val="1"/>
    <w:uiPriority w:val="0"/>
    <w:pPr>
      <w:tabs>
        <w:tab w:val="left" w:pos="0"/>
        <w:tab w:val="left" w:pos="360"/>
      </w:tabs>
      <w:spacing w:line="360" w:lineRule="auto"/>
      <w:ind w:left="360" w:hanging="360"/>
      <w:jc w:val="center"/>
      <w:outlineLvl w:val="1"/>
    </w:pPr>
    <w:rPr>
      <w:rFonts w:ascii="Times New Roman" w:hAnsi="Times New Roman" w:eastAsia="新宋体" w:cs="Times New Roman"/>
      <w:b/>
      <w:sz w:val="28"/>
    </w:rPr>
  </w:style>
  <w:style w:type="paragraph" w:customStyle="1" w:styleId="566">
    <w:name w:val="缺省文本"/>
    <w:basedOn w:val="1"/>
    <w:uiPriority w:val="0"/>
    <w:pPr>
      <w:autoSpaceDE w:val="0"/>
      <w:autoSpaceDN w:val="0"/>
      <w:adjustRightInd w:val="0"/>
      <w:spacing w:before="72" w:after="72"/>
      <w:ind w:left="720"/>
    </w:pPr>
    <w:rPr>
      <w:rFonts w:ascii="Times New Roman" w:hAnsi="Times New Roman" w:eastAsia="宋体" w:cs="Times New Roman"/>
      <w:kern w:val="0"/>
      <w:sz w:val="24"/>
      <w:szCs w:val="20"/>
    </w:rPr>
  </w:style>
  <w:style w:type="paragraph" w:customStyle="1" w:styleId="567">
    <w:name w:val="text"/>
    <w:basedOn w:val="1"/>
    <w:uiPriority w:val="0"/>
    <w:pPr>
      <w:widowControl/>
      <w:overflowPunct w:val="0"/>
      <w:autoSpaceDE w:val="0"/>
      <w:autoSpaceDN w:val="0"/>
      <w:adjustRightInd w:val="0"/>
      <w:spacing w:before="120" w:after="120" w:line="360" w:lineRule="auto"/>
      <w:ind w:left="851" w:firstLine="709"/>
      <w:textAlignment w:val="baseline"/>
    </w:pPr>
    <w:rPr>
      <w:rFonts w:ascii="楷体" w:hAnsi="Times New Roman" w:eastAsia="楷体" w:cs="Times New Roman"/>
      <w:kern w:val="0"/>
      <w:sz w:val="28"/>
      <w:szCs w:val="20"/>
      <w:lang/>
    </w:rPr>
  </w:style>
  <w:style w:type="paragraph" w:customStyle="1" w:styleId="568">
    <w:name w:val="正文小4"/>
    <w:basedOn w:val="1"/>
    <w:uiPriority w:val="0"/>
    <w:pPr>
      <w:snapToGrid w:val="0"/>
    </w:pPr>
    <w:rPr>
      <w:rFonts w:ascii="仿宋_GB2312" w:hAnsi="Verdana" w:eastAsia="宋体" w:cs="Times New Roman"/>
      <w:b/>
      <w:snapToGrid w:val="0"/>
      <w:sz w:val="24"/>
      <w:szCs w:val="20"/>
    </w:rPr>
  </w:style>
  <w:style w:type="paragraph" w:customStyle="1" w:styleId="569">
    <w:name w:val="reader-word-layer reader-word-s2-4"/>
    <w:basedOn w:val="1"/>
    <w:uiPriority w:val="0"/>
    <w:pPr>
      <w:widowControl/>
      <w:spacing w:before="100" w:beforeAutospacing="1" w:after="100" w:afterAutospacing="1"/>
      <w:jc w:val="left"/>
    </w:pPr>
    <w:rPr>
      <w:rFonts w:ascii="宋体" w:hAnsi="宋体" w:eastAsia="宋体" w:cs="宋体"/>
      <w:kern w:val="0"/>
      <w:sz w:val="24"/>
    </w:rPr>
  </w:style>
  <w:style w:type="paragraph" w:customStyle="1" w:styleId="570">
    <w:name w:val="能力-表格正文"/>
    <w:basedOn w:val="571"/>
    <w:uiPriority w:val="0"/>
    <w:pPr>
      <w:spacing w:line="240" w:lineRule="auto"/>
      <w:ind w:firstLine="0" w:firstLineChars="0"/>
      <w:jc w:val="center"/>
    </w:pPr>
    <w:rPr>
      <w:rFonts w:ascii="Times New Roman" w:hAnsi="Times New Roman" w:eastAsia="宋体" w:cs="Times New Roman"/>
      <w:sz w:val="21"/>
    </w:rPr>
  </w:style>
  <w:style w:type="paragraph" w:customStyle="1" w:styleId="571">
    <w:name w:val="能力-正文"/>
    <w:basedOn w:val="1"/>
    <w:uiPriority w:val="0"/>
    <w:pPr>
      <w:spacing w:line="360" w:lineRule="auto"/>
      <w:ind w:firstLine="200" w:firstLineChars="200"/>
    </w:pPr>
    <w:rPr>
      <w:rFonts w:ascii="Times New Roman" w:hAnsi="Times New Roman" w:eastAsia="宋体" w:cs="Times New Roman"/>
      <w:sz w:val="24"/>
      <w:szCs w:val="22"/>
    </w:rPr>
  </w:style>
  <w:style w:type="paragraph" w:customStyle="1" w:styleId="572">
    <w:name w:val="正文 + 宋体"/>
    <w:basedOn w:val="1"/>
    <w:uiPriority w:val="0"/>
    <w:rPr>
      <w:rFonts w:ascii="Times New Roman" w:hAnsi="Times New Roman" w:eastAsia="宋体" w:cs="Times New Roman"/>
      <w:b/>
      <w:spacing w:val="32"/>
      <w:sz w:val="24"/>
    </w:rPr>
  </w:style>
  <w:style w:type="paragraph" w:customStyle="1" w:styleId="573">
    <w:name w:val="b-b3"/>
    <w:basedOn w:val="4"/>
    <w:next w:val="1"/>
    <w:uiPriority w:val="0"/>
    <w:pPr>
      <w:keepNext w:val="0"/>
      <w:keepLines w:val="0"/>
      <w:snapToGrid w:val="0"/>
      <w:spacing w:before="80" w:after="80" w:line="440" w:lineRule="atLeast"/>
      <w:textAlignment w:val="baseline"/>
    </w:pPr>
    <w:rPr>
      <w:rFonts w:ascii="Times New Roman" w:hAnsi="Times New Roman" w:eastAsia="黑体" w:cs="Times New Roman"/>
      <w:b w:val="0"/>
      <w:bCs w:val="0"/>
      <w:kern w:val="0"/>
      <w:sz w:val="28"/>
      <w:szCs w:val="20"/>
    </w:rPr>
  </w:style>
  <w:style w:type="paragraph" w:customStyle="1" w:styleId="574">
    <w:name w:val="林宝辉 标题3"/>
    <w:basedOn w:val="1"/>
    <w:uiPriority w:val="0"/>
    <w:pPr>
      <w:tabs>
        <w:tab w:val="left" w:pos="360"/>
      </w:tabs>
      <w:spacing w:line="360" w:lineRule="auto"/>
      <w:ind w:left="360" w:hanging="360"/>
      <w:outlineLvl w:val="2"/>
    </w:pPr>
    <w:rPr>
      <w:rFonts w:ascii="Times New Roman" w:hAnsi="Times New Roman" w:eastAsia="新宋体" w:cs="Times New Roman"/>
      <w:b/>
      <w:sz w:val="24"/>
    </w:rPr>
  </w:style>
  <w:style w:type="paragraph" w:customStyle="1" w:styleId="575">
    <w:name w:val="WG标题2"/>
    <w:basedOn w:val="1"/>
    <w:uiPriority w:val="0"/>
    <w:pPr>
      <w:autoSpaceDE w:val="0"/>
      <w:autoSpaceDN w:val="0"/>
      <w:adjustRightInd w:val="0"/>
      <w:outlineLvl w:val="1"/>
    </w:pPr>
    <w:rPr>
      <w:rFonts w:ascii="仿宋_GB2312" w:hAnsi="宋体" w:eastAsia="宋体" w:cs="宋体"/>
      <w:b/>
      <w:color w:val="000000"/>
      <w:kern w:val="20"/>
      <w:sz w:val="24"/>
      <w:szCs w:val="20"/>
    </w:rPr>
  </w:style>
  <w:style w:type="paragraph" w:customStyle="1" w:styleId="576">
    <w:name w:val=" Char2"/>
    <w:basedOn w:val="1"/>
    <w:uiPriority w:val="0"/>
    <w:pPr>
      <w:spacing w:line="360" w:lineRule="auto"/>
      <w:ind w:firstLine="551" w:firstLineChars="196"/>
    </w:pPr>
    <w:rPr>
      <w:rFonts w:ascii="Times New Roman" w:hAnsi="Times New Roman" w:eastAsia="宋体" w:cs="Times New Roman"/>
      <w:b/>
      <w:sz w:val="28"/>
      <w:szCs w:val="28"/>
    </w:rPr>
  </w:style>
  <w:style w:type="paragraph" w:customStyle="1" w:styleId="577">
    <w:name w:val="注释"/>
    <w:basedOn w:val="1"/>
    <w:uiPriority w:val="0"/>
    <w:pPr>
      <w:adjustRightInd w:val="0"/>
      <w:snapToGrid w:val="0"/>
      <w:spacing w:after="156" w:afterLines="50" w:line="288" w:lineRule="auto"/>
    </w:pPr>
    <w:rPr>
      <w:rFonts w:ascii="Times New Roman" w:hAnsi="Times New Roman" w:eastAsia="宋体" w:cs="Times New Roman"/>
    </w:rPr>
  </w:style>
  <w:style w:type="paragraph" w:customStyle="1" w:styleId="578">
    <w:name w:val="文件名"/>
    <w:uiPriority w:val="0"/>
    <w:pPr>
      <w:widowControl w:val="0"/>
      <w:jc w:val="both"/>
    </w:pPr>
    <w:rPr>
      <w:kern w:val="2"/>
      <w:sz w:val="21"/>
      <w:lang w:val="en-US" w:eastAsia="zh-CN" w:bidi="ar-SA"/>
    </w:rPr>
  </w:style>
  <w:style w:type="paragraph" w:customStyle="1" w:styleId="579">
    <w:name w:val=" Char Char Char"/>
    <w:basedOn w:val="1"/>
    <w:uiPriority w:val="0"/>
    <w:rPr>
      <w:rFonts w:ascii="Times New Roman" w:hAnsi="Times New Roman" w:eastAsia="宋体" w:cs="Times New Roman"/>
    </w:rPr>
  </w:style>
  <w:style w:type="paragraph" w:customStyle="1" w:styleId="580">
    <w:name w:val="样式 标题 2 + Times New Roman 四号 非加粗 段前: 5 磅 段后: 0 磅 行距: 固定值 20..."/>
    <w:basedOn w:val="3"/>
    <w:uiPriority w:val="0"/>
    <w:pPr>
      <w:spacing w:before="100" w:after="0" w:line="400" w:lineRule="exact"/>
    </w:pPr>
    <w:rPr>
      <w:rFonts w:ascii="Times New Roman" w:hAnsi="Times New Roman" w:eastAsia="宋体" w:cs="Times New Roman"/>
      <w:b w:val="0"/>
      <w:bCs w:val="0"/>
      <w:sz w:val="28"/>
      <w:szCs w:val="20"/>
    </w:rPr>
  </w:style>
  <w:style w:type="paragraph" w:customStyle="1" w:styleId="581">
    <w:name w:val="POINT"/>
    <w:basedOn w:val="470"/>
    <w:uiPriority w:val="0"/>
    <w:pPr>
      <w:tabs>
        <w:tab w:val="left" w:pos="840"/>
      </w:tabs>
      <w:ind w:left="840" w:hanging="420"/>
    </w:pPr>
    <w:rPr>
      <w:rFonts w:ascii="Times New Roman" w:hAnsi="Times New Roman" w:eastAsia="宋体" w:cs="Times New Roman"/>
    </w:rPr>
  </w:style>
  <w:style w:type="paragraph" w:customStyle="1" w:styleId="582">
    <w:name w:val="yy"/>
    <w:basedOn w:val="1"/>
    <w:uiPriority w:val="0"/>
    <w:pPr>
      <w:widowControl/>
      <w:tabs>
        <w:tab w:val="left" w:pos="1080"/>
      </w:tabs>
      <w:overflowPunct w:val="0"/>
      <w:autoSpaceDE w:val="0"/>
      <w:autoSpaceDN w:val="0"/>
      <w:adjustRightInd w:val="0"/>
      <w:spacing w:before="120"/>
      <w:ind w:left="964" w:hanging="284"/>
      <w:textAlignment w:val="baseline"/>
    </w:pPr>
    <w:rPr>
      <w:rFonts w:ascii="Arial" w:hAnsi="Arial" w:eastAsia="楷体_GB2312" w:cs="Times New Roman"/>
      <w:spacing w:val="-30"/>
      <w:kern w:val="0"/>
      <w:sz w:val="24"/>
      <w:szCs w:val="20"/>
    </w:rPr>
  </w:style>
  <w:style w:type="paragraph" w:customStyle="1" w:styleId="583">
    <w:name w:val="大标题"/>
    <w:basedOn w:val="19"/>
    <w:next w:val="499"/>
    <w:uiPriority w:val="0"/>
    <w:pPr>
      <w:widowControl/>
      <w:spacing w:line="360" w:lineRule="exact"/>
      <w:ind w:firstLine="413" w:firstLineChars="200"/>
      <w:jc w:val="left"/>
    </w:pPr>
    <w:rPr>
      <w:rFonts w:ascii="宋体" w:hAnsi="宋体" w:eastAsia="宋体" w:cs="宋体"/>
      <w:b/>
      <w:szCs w:val="24"/>
    </w:rPr>
  </w:style>
  <w:style w:type="paragraph" w:customStyle="1" w:styleId="584">
    <w:name w:val="a"/>
    <w:basedOn w:val="1"/>
    <w:uiPriority w:val="0"/>
    <w:pPr>
      <w:adjustRightInd w:val="0"/>
      <w:spacing w:line="400" w:lineRule="atLeast"/>
      <w:ind w:left="1134" w:hanging="454"/>
    </w:pPr>
    <w:rPr>
      <w:rFonts w:ascii="Arial" w:hAnsi="Arial" w:eastAsia="宋体" w:cs="Times New Roman"/>
      <w:kern w:val="0"/>
      <w:sz w:val="24"/>
      <w:szCs w:val="20"/>
    </w:rPr>
  </w:style>
  <w:style w:type="paragraph" w:customStyle="1" w:styleId="585">
    <w:name w:val="模板标题3"/>
    <w:basedOn w:val="4"/>
    <w:next w:val="1"/>
    <w:uiPriority w:val="0"/>
    <w:pPr>
      <w:tabs>
        <w:tab w:val="left" w:pos="1740"/>
      </w:tabs>
      <w:spacing w:before="240" w:after="240" w:line="240" w:lineRule="auto"/>
      <w:ind w:left="1740" w:hanging="420"/>
      <w:jc w:val="left"/>
    </w:pPr>
    <w:rPr>
      <w:rFonts w:ascii="Arial" w:hAnsi="Arial" w:eastAsia="宋体" w:cs="Times New Roman"/>
      <w:bCs w:val="0"/>
      <w:sz w:val="28"/>
    </w:rPr>
  </w:style>
  <w:style w:type="paragraph" w:customStyle="1" w:styleId="586">
    <w:name w:val="附件"/>
    <w:basedOn w:val="2"/>
    <w:uiPriority w:val="0"/>
    <w:pPr>
      <w:tabs>
        <w:tab w:val="left" w:pos="1080"/>
      </w:tabs>
      <w:snapToGrid w:val="0"/>
      <w:spacing w:before="156" w:beforeLines="50" w:after="60" w:line="420" w:lineRule="auto"/>
      <w:ind w:left="150" w:leftChars="150"/>
    </w:pPr>
    <w:rPr>
      <w:rFonts w:ascii="Times New Roman" w:hAnsi="Times New Roman" w:eastAsia="宋体" w:cs="Times New Roman"/>
      <w:b w:val="0"/>
      <w:bCs w:val="0"/>
      <w:sz w:val="30"/>
      <w:szCs w:val="30"/>
      <w:lang/>
    </w:rPr>
  </w:style>
  <w:style w:type="paragraph" w:customStyle="1" w:styleId="587">
    <w:name w:val="表左"/>
    <w:basedOn w:val="1"/>
    <w:uiPriority w:val="0"/>
    <w:pPr>
      <w:keepNext/>
      <w:adjustRightInd w:val="0"/>
      <w:snapToGrid w:val="0"/>
      <w:spacing w:line="320" w:lineRule="atLeast"/>
      <w:ind w:right="63" w:rightChars="30"/>
      <w:jc w:val="center"/>
    </w:pPr>
    <w:rPr>
      <w:rFonts w:ascii="宋体" w:hAnsi="宋体" w:eastAsia="宋体" w:cs="宋体"/>
      <w:sz w:val="24"/>
    </w:rPr>
  </w:style>
  <w:style w:type="paragraph" w:customStyle="1" w:styleId="588">
    <w:name w:val="默认段落字体 Para Char Char Char Char Char Char Char"/>
    <w:basedOn w:val="1"/>
    <w:uiPriority w:val="0"/>
    <w:pPr>
      <w:widowControl/>
    </w:pPr>
    <w:rPr>
      <w:rFonts w:ascii="宋体" w:hAnsi="宋体" w:eastAsia="宋体" w:cs="宋体"/>
      <w:sz w:val="24"/>
    </w:rPr>
  </w:style>
  <w:style w:type="paragraph" w:customStyle="1" w:styleId="589">
    <w:name w:val="CM37"/>
    <w:basedOn w:val="306"/>
    <w:next w:val="306"/>
    <w:uiPriority w:val="0"/>
    <w:rPr>
      <w:rFonts w:ascii="Times New Roman" w:hAnsi="Times New Roman" w:eastAsia="宋体" w:cs="Times New Roman"/>
      <w:color w:val="auto"/>
    </w:rPr>
  </w:style>
  <w:style w:type="paragraph" w:customStyle="1" w:styleId="590">
    <w:name w:val="jjj"/>
    <w:basedOn w:val="1"/>
    <w:uiPriority w:val="0"/>
    <w:pPr>
      <w:keepNext/>
      <w:keepLines/>
      <w:widowControl/>
      <w:suppressLineNumbers/>
      <w:autoSpaceDE w:val="0"/>
      <w:autoSpaceDN w:val="0"/>
      <w:adjustRightInd w:val="0"/>
      <w:spacing w:before="100"/>
      <w:ind w:left="1440" w:hanging="360"/>
      <w:outlineLvl w:val="1"/>
    </w:pPr>
    <w:rPr>
      <w:rFonts w:ascii="宋体" w:hAnsi="Times New Roman" w:eastAsia="宋体" w:cs="Times New Roman"/>
      <w:kern w:val="0"/>
      <w:sz w:val="28"/>
      <w:szCs w:val="20"/>
    </w:rPr>
  </w:style>
  <w:style w:type="paragraph" w:customStyle="1" w:styleId="591">
    <w:name w:val="Report Text"/>
    <w:basedOn w:val="1"/>
    <w:uiPriority w:val="0"/>
    <w:pPr>
      <w:widowControl/>
      <w:ind w:left="1080"/>
    </w:pPr>
    <w:rPr>
      <w:rFonts w:ascii="Times New Roman" w:hAnsi="Times New Roman" w:eastAsia="宋体" w:cs="Times New Roman"/>
      <w:kern w:val="0"/>
      <w:sz w:val="22"/>
      <w:szCs w:val="20"/>
      <w:lang w:val="en-GB" w:eastAsia="zh-TW"/>
    </w:rPr>
  </w:style>
  <w:style w:type="paragraph" w:customStyle="1" w:styleId="592">
    <w:name w:val="正文文字2"/>
    <w:basedOn w:val="1"/>
    <w:uiPriority w:val="0"/>
    <w:pPr>
      <w:adjustRightInd w:val="0"/>
      <w:spacing w:before="40" w:after="100" w:line="360" w:lineRule="atLeast"/>
      <w:ind w:left="72" w:leftChars="30" w:right="72" w:rightChars="30"/>
      <w:jc w:val="center"/>
      <w:textAlignment w:val="baseline"/>
    </w:pPr>
    <w:rPr>
      <w:rFonts w:ascii="Arial" w:hAnsi="Times New Roman" w:eastAsia="黑体" w:cs="Times New Roman"/>
      <w:kern w:val="0"/>
      <w:szCs w:val="20"/>
    </w:rPr>
  </w:style>
  <w:style w:type="paragraph" w:customStyle="1" w:styleId="593">
    <w:name w:val="列表1"/>
    <w:basedOn w:val="62"/>
    <w:uiPriority w:val="0"/>
    <w:pPr>
      <w:ind w:left="0" w:firstLine="0"/>
    </w:pPr>
    <w:rPr>
      <w:rFonts w:ascii="Times New Roman" w:hAnsi="Times New Roman" w:eastAsia="宋体" w:cs="Times New Roman"/>
      <w:sz w:val="32"/>
      <w:szCs w:val="32"/>
    </w:rPr>
  </w:style>
  <w:style w:type="paragraph" w:customStyle="1" w:styleId="594">
    <w:name w:val="1.1.1"/>
    <w:basedOn w:val="4"/>
    <w:uiPriority w:val="0"/>
    <w:pPr>
      <w:tabs>
        <w:tab w:val="left" w:pos="1080"/>
        <w:tab w:val="left" w:pos="1260"/>
        <w:tab w:val="left" w:pos="1560"/>
      </w:tabs>
      <w:adjustRightInd w:val="0"/>
      <w:spacing w:before="120" w:after="50" w:line="440" w:lineRule="exact"/>
      <w:ind w:left="1140" w:hanging="1140"/>
      <w:jc w:val="left"/>
      <w:textAlignment w:val="baseline"/>
    </w:pPr>
    <w:rPr>
      <w:rFonts w:ascii="Times New Roman" w:hAnsi="Times New Roman" w:eastAsia="宋体" w:cs="Times New Roman"/>
      <w:bCs w:val="0"/>
      <w:sz w:val="24"/>
      <w:szCs w:val="20"/>
    </w:rPr>
  </w:style>
  <w:style w:type="paragraph" w:customStyle="1" w:styleId="595">
    <w:name w:val="标题4-1"/>
    <w:basedOn w:val="427"/>
    <w:uiPriority w:val="0"/>
    <w:pPr>
      <w:keepNext/>
      <w:keepLines/>
      <w:widowControl w:val="0"/>
      <w:tabs>
        <w:tab w:val="clear" w:pos="420"/>
      </w:tabs>
      <w:snapToGrid/>
      <w:spacing w:after="0" w:line="300" w:lineRule="auto"/>
      <w:ind w:left="0" w:firstLine="0"/>
      <w:jc w:val="left"/>
      <w:outlineLvl w:val="3"/>
    </w:pPr>
    <w:rPr>
      <w:rFonts w:ascii="Times New Roman" w:hAnsi="Times New Roman" w:eastAsia="宋体" w:cs="Times New Roman"/>
      <w:color w:val="auto"/>
      <w:kern w:val="2"/>
      <w:sz w:val="24"/>
      <w:szCs w:val="24"/>
    </w:rPr>
  </w:style>
  <w:style w:type="paragraph" w:customStyle="1" w:styleId="596">
    <w:name w:val="标准书眉_偶数页"/>
    <w:basedOn w:val="1"/>
    <w:next w:val="1"/>
    <w:uiPriority w:val="0"/>
    <w:pPr>
      <w:widowControl/>
      <w:tabs>
        <w:tab w:val="center" w:pos="4154"/>
        <w:tab w:val="right" w:pos="8306"/>
      </w:tabs>
      <w:spacing w:after="120"/>
      <w:jc w:val="left"/>
    </w:pPr>
    <w:rPr>
      <w:rFonts w:ascii="Times New Roman" w:hAnsi="Times New Roman" w:eastAsia="宋体" w:cs="Times New Roman"/>
      <w:kern w:val="0"/>
      <w:szCs w:val="20"/>
      <w:lang/>
    </w:rPr>
  </w:style>
  <w:style w:type="paragraph" w:customStyle="1" w:styleId="597">
    <w:name w:val="标题三"/>
    <w:basedOn w:val="1"/>
    <w:uiPriority w:val="0"/>
    <w:pPr>
      <w:ind w:firstLine="200" w:firstLineChars="200"/>
      <w:outlineLvl w:val="2"/>
    </w:pPr>
    <w:rPr>
      <w:rFonts w:ascii="方正仿宋简体" w:hAnsi="宋体" w:eastAsia="方正仿宋简体" w:cs="Times New Roman"/>
      <w:b/>
      <w:spacing w:val="-4"/>
      <w:sz w:val="28"/>
      <w:szCs w:val="28"/>
    </w:rPr>
  </w:style>
  <w:style w:type="paragraph" w:customStyle="1" w:styleId="598">
    <w:name w:val="dian"/>
    <w:basedOn w:val="1"/>
    <w:uiPriority w:val="0"/>
    <w:pPr>
      <w:widowControl/>
      <w:tabs>
        <w:tab w:val="left" w:pos="900"/>
      </w:tabs>
      <w:overflowPunct w:val="0"/>
      <w:autoSpaceDE w:val="0"/>
      <w:autoSpaceDN w:val="0"/>
      <w:adjustRightInd w:val="0"/>
      <w:spacing w:line="360" w:lineRule="auto"/>
      <w:ind w:left="900" w:hanging="360"/>
      <w:textAlignment w:val="baseline"/>
    </w:pPr>
    <w:rPr>
      <w:rFonts w:ascii="宋体" w:hAnsi="Times New Roman" w:eastAsia="宋体" w:cs="Times New Roman"/>
      <w:kern w:val="0"/>
      <w:sz w:val="28"/>
      <w:szCs w:val="20"/>
    </w:rPr>
  </w:style>
  <w:style w:type="paragraph" w:customStyle="1" w:styleId="599">
    <w:name w:val="正文 + 四号"/>
    <w:basedOn w:val="2"/>
    <w:uiPriority w:val="0"/>
    <w:pPr>
      <w:keepNext w:val="0"/>
      <w:keepLines w:val="0"/>
      <w:adjustRightInd w:val="0"/>
      <w:spacing w:line="300" w:lineRule="auto"/>
      <w:jc w:val="center"/>
      <w:textAlignment w:val="baseline"/>
      <w:outlineLvl w:val="9"/>
    </w:pPr>
    <w:rPr>
      <w:rFonts w:ascii="宋体" w:hAnsi="宋体" w:eastAsia="宋体" w:cs="宋体"/>
      <w:b w:val="0"/>
      <w:bCs w:val="0"/>
      <w:color w:val="FF0000"/>
      <w:kern w:val="2"/>
      <w:sz w:val="24"/>
      <w:szCs w:val="24"/>
    </w:rPr>
  </w:style>
  <w:style w:type="paragraph" w:customStyle="1" w:styleId="600">
    <w:name w:val="reader-word-layer reader-word-s1-5"/>
    <w:basedOn w:val="1"/>
    <w:uiPriority w:val="0"/>
    <w:pPr>
      <w:widowControl/>
      <w:spacing w:before="100" w:beforeAutospacing="1" w:after="100" w:afterAutospacing="1"/>
      <w:jc w:val="left"/>
    </w:pPr>
    <w:rPr>
      <w:rFonts w:ascii="宋体" w:hAnsi="宋体" w:eastAsia="宋体" w:cs="宋体"/>
      <w:kern w:val="0"/>
      <w:sz w:val="24"/>
    </w:rPr>
  </w:style>
  <w:style w:type="paragraph" w:customStyle="1" w:styleId="601">
    <w:name w:val="1.1"/>
    <w:basedOn w:val="3"/>
    <w:uiPriority w:val="0"/>
    <w:pPr>
      <w:tabs>
        <w:tab w:val="left" w:pos="1080"/>
      </w:tabs>
      <w:adjustRightInd w:val="0"/>
      <w:spacing w:before="260" w:after="260" w:line="360" w:lineRule="exact"/>
      <w:ind w:left="1077" w:hanging="1077"/>
      <w:jc w:val="left"/>
      <w:textAlignment w:val="baseline"/>
    </w:pPr>
    <w:rPr>
      <w:rFonts w:ascii="Times New Roman" w:hAnsi="Times New Roman" w:eastAsia="宋体" w:cs="Times New Roman"/>
      <w:bCs w:val="0"/>
      <w:sz w:val="28"/>
      <w:szCs w:val="20"/>
    </w:rPr>
  </w:style>
  <w:style w:type="paragraph" w:customStyle="1" w:styleId="602">
    <w:name w:val="1.正文"/>
    <w:basedOn w:val="1"/>
    <w:uiPriority w:val="0"/>
    <w:pPr>
      <w:widowControl/>
      <w:tabs>
        <w:tab w:val="left" w:pos="1361"/>
      </w:tabs>
      <w:spacing w:line="360" w:lineRule="exact"/>
      <w:ind w:left="1361" w:hanging="397"/>
    </w:pPr>
    <w:rPr>
      <w:rFonts w:ascii="Times New Roman" w:hAnsi="Times New Roman" w:eastAsia="宋体" w:cs="Times New Roman"/>
      <w:sz w:val="24"/>
      <w:szCs w:val="20"/>
    </w:rPr>
  </w:style>
  <w:style w:type="paragraph" w:customStyle="1" w:styleId="603">
    <w:name w:val="样式 l_text + 段后: 3.6 磅"/>
    <w:basedOn w:val="470"/>
    <w:uiPriority w:val="0"/>
    <w:pPr>
      <w:topLinePunct/>
      <w:autoSpaceDE/>
      <w:autoSpaceDN/>
      <w:spacing w:after="72"/>
    </w:pPr>
    <w:rPr>
      <w:rFonts w:ascii="Times New Roman" w:hAnsi="Times New Roman" w:eastAsia="宋体" w:cs="Times New Roman"/>
    </w:rPr>
  </w:style>
  <w:style w:type="paragraph" w:customStyle="1" w:styleId="604">
    <w:name w:val="点标题"/>
    <w:next w:val="1"/>
    <w:uiPriority w:val="0"/>
    <w:pPr>
      <w:widowControl w:val="0"/>
      <w:adjustRightInd w:val="0"/>
      <w:spacing w:line="360" w:lineRule="auto"/>
      <w:ind w:left="284" w:right="284" w:firstLine="482"/>
      <w:textAlignment w:val="baseline"/>
    </w:pPr>
    <w:rPr>
      <w:rFonts w:eastAsia="仿宋体"/>
      <w:sz w:val="28"/>
      <w:lang w:val="en-US" w:eastAsia="zh-CN" w:bidi="ar-SA"/>
    </w:rPr>
  </w:style>
  <w:style w:type="paragraph" w:customStyle="1" w:styleId="605">
    <w:name w:val="分标题"/>
    <w:basedOn w:val="1"/>
    <w:next w:val="1"/>
    <w:uiPriority w:val="0"/>
    <w:pPr>
      <w:widowControl/>
      <w:spacing w:before="50" w:line="480" w:lineRule="atLeast"/>
      <w:ind w:firstLine="560" w:firstLineChars="200"/>
    </w:pPr>
    <w:rPr>
      <w:rFonts w:ascii="宋体" w:hAnsi="宋体" w:eastAsia="仿宋_GB2312" w:cs="宋体"/>
      <w:color w:val="000000"/>
      <w:sz w:val="24"/>
      <w:szCs w:val="28"/>
    </w:rPr>
  </w:style>
  <w:style w:type="paragraph" w:customStyle="1" w:styleId="606">
    <w:name w:val="图底11"/>
    <w:basedOn w:val="1"/>
    <w:uiPriority w:val="0"/>
    <w:pPr>
      <w:adjustRightInd w:val="0"/>
      <w:snapToGrid w:val="0"/>
      <w:spacing w:before="156" w:beforeLines="50" w:line="300" w:lineRule="auto"/>
      <w:jc w:val="center"/>
    </w:pPr>
    <w:rPr>
      <w:rFonts w:ascii="Times New Roman" w:hAnsi="Times New Roman" w:eastAsia="黑体" w:cs="Times New Roman"/>
      <w:kern w:val="0"/>
      <w:sz w:val="24"/>
    </w:rPr>
  </w:style>
  <w:style w:type="paragraph" w:customStyle="1" w:styleId="607">
    <w:name w:val="正文 + 加粗"/>
    <w:basedOn w:val="1"/>
    <w:uiPriority w:val="0"/>
    <w:pPr>
      <w:spacing w:line="312" w:lineRule="auto"/>
    </w:pPr>
    <w:rPr>
      <w:rFonts w:ascii="Arial" w:hAnsi="Arial" w:eastAsia="宋体" w:cs="Times New Roman"/>
      <w:b/>
      <w:szCs w:val="20"/>
    </w:rPr>
  </w:style>
  <w:style w:type="paragraph" w:customStyle="1" w:styleId="608">
    <w:name w:val="q"/>
    <w:basedOn w:val="1"/>
    <w:uiPriority w:val="0"/>
    <w:pPr>
      <w:widowControl/>
      <w:tabs>
        <w:tab w:val="left" w:pos="1080"/>
      </w:tabs>
      <w:overflowPunct w:val="0"/>
      <w:autoSpaceDE w:val="0"/>
      <w:autoSpaceDN w:val="0"/>
      <w:adjustRightInd w:val="0"/>
      <w:spacing w:before="120"/>
      <w:ind w:left="964" w:hanging="284"/>
      <w:textAlignment w:val="baseline"/>
    </w:pPr>
    <w:rPr>
      <w:rFonts w:ascii="Arial" w:hAnsi="Arial" w:eastAsia="楷体_GB2312" w:cs="Times New Roman"/>
      <w:spacing w:val="-30"/>
      <w:kern w:val="0"/>
      <w:sz w:val="24"/>
      <w:szCs w:val="20"/>
    </w:rPr>
  </w:style>
  <w:style w:type="paragraph" w:customStyle="1" w:styleId="609">
    <w:name w:val="表中"/>
    <w:basedOn w:val="1"/>
    <w:uiPriority w:val="0"/>
    <w:pPr>
      <w:keepNext/>
      <w:snapToGrid w:val="0"/>
      <w:spacing w:line="200" w:lineRule="atLeast"/>
      <w:jc w:val="center"/>
    </w:pPr>
    <w:rPr>
      <w:rFonts w:ascii="宋体" w:hAnsi="宋体" w:eastAsia="宋体" w:cs="宋体"/>
      <w:sz w:val="24"/>
    </w:rPr>
  </w:style>
  <w:style w:type="paragraph" w:customStyle="1" w:styleId="610">
    <w:name w:val="3"/>
    <w:basedOn w:val="4"/>
    <w:uiPriority w:val="0"/>
    <w:pPr>
      <w:tabs>
        <w:tab w:val="left" w:pos="1134"/>
        <w:tab w:val="left" w:pos="1560"/>
        <w:tab w:val="left" w:pos="1830"/>
      </w:tabs>
      <w:spacing w:before="60" w:after="60" w:line="300" w:lineRule="auto"/>
      <w:ind w:left="1830" w:hanging="420"/>
    </w:pPr>
    <w:rPr>
      <w:rFonts w:ascii="Arial" w:hAnsi="Arial" w:eastAsia="黑体" w:cs="Times New Roman"/>
      <w:b w:val="0"/>
      <w:bCs w:val="0"/>
      <w:sz w:val="28"/>
      <w:szCs w:val="20"/>
    </w:rPr>
  </w:style>
  <w:style w:type="paragraph" w:customStyle="1" w:styleId="611">
    <w:name w:val="样式 标题 1 + 黑体 三号 非加粗 居中 段前: 6 磅 段后: 6 磅 行距: 固定值 20 磅"/>
    <w:basedOn w:val="2"/>
    <w:uiPriority w:val="0"/>
    <w:pPr>
      <w:spacing w:before="120" w:after="120" w:line="400" w:lineRule="exact"/>
      <w:jc w:val="center"/>
    </w:pPr>
    <w:rPr>
      <w:rFonts w:ascii="黑体" w:hAnsi="黑体" w:eastAsia="宋体" w:cs="宋体"/>
      <w:b w:val="0"/>
      <w:bCs w:val="0"/>
      <w:szCs w:val="20"/>
    </w:rPr>
  </w:style>
  <w:style w:type="paragraph" w:customStyle="1" w:styleId="612">
    <w:name w:val="CM6"/>
    <w:basedOn w:val="306"/>
    <w:next w:val="306"/>
    <w:uiPriority w:val="0"/>
    <w:pPr>
      <w:adjustRightInd/>
      <w:spacing w:line="360" w:lineRule="atLeast"/>
    </w:pPr>
    <w:rPr>
      <w:rFonts w:hint="eastAsia" w:ascii="宋体" w:hAnsi="Calibri" w:eastAsia="宋体" w:cs="Times New Roman"/>
      <w:szCs w:val="20"/>
    </w:rPr>
  </w:style>
  <w:style w:type="paragraph" w:customStyle="1" w:styleId="613">
    <w:name w:val="条款"/>
    <w:basedOn w:val="1"/>
    <w:next w:val="42"/>
    <w:uiPriority w:val="0"/>
    <w:rPr>
      <w:rFonts w:ascii="宋体" w:hAnsi="Courier New" w:eastAsia="宋体" w:cs="Times New Roman"/>
      <w:sz w:val="28"/>
      <w:szCs w:val="20"/>
    </w:rPr>
  </w:style>
  <w:style w:type="paragraph" w:customStyle="1" w:styleId="614">
    <w:name w:val="报告名"/>
    <w:basedOn w:val="1"/>
    <w:uiPriority w:val="0"/>
    <w:pPr>
      <w:keepNext/>
      <w:adjustRightInd w:val="0"/>
      <w:snapToGrid w:val="0"/>
      <w:spacing w:before="156" w:beforeLines="50" w:line="300" w:lineRule="auto"/>
      <w:ind w:firstLine="5" w:firstLineChars="2"/>
      <w:jc w:val="center"/>
    </w:pPr>
    <w:rPr>
      <w:rFonts w:ascii="文鼎大标宋简" w:hAnsi="Times New Roman" w:eastAsia="文鼎大标宋简" w:cs="文鼎大标宋简"/>
      <w:sz w:val="56"/>
      <w:szCs w:val="56"/>
    </w:rPr>
  </w:style>
  <w:style w:type="paragraph" w:customStyle="1" w:styleId="615">
    <w:name w:val="xl24"/>
    <w:basedOn w:val="1"/>
    <w:uiPriority w:val="0"/>
    <w:pPr>
      <w:widowControl/>
      <w:spacing w:before="100" w:beforeAutospacing="1" w:after="100" w:afterAutospacing="1"/>
      <w:jc w:val="center"/>
    </w:pPr>
    <w:rPr>
      <w:rFonts w:ascii="宋体" w:hAnsi="宋体" w:eastAsia="宋体" w:cs="Times New Roman"/>
      <w:kern w:val="0"/>
      <w:sz w:val="24"/>
      <w:szCs w:val="20"/>
    </w:rPr>
  </w:style>
  <w:style w:type="paragraph" w:customStyle="1" w:styleId="616">
    <w:name w:val="p0"/>
    <w:basedOn w:val="1"/>
    <w:uiPriority w:val="0"/>
    <w:pPr>
      <w:widowControl/>
    </w:pPr>
    <w:rPr>
      <w:rFonts w:ascii="宋体" w:hAnsi="宋体" w:eastAsia="宋体" w:cs="Times New Roman"/>
      <w:kern w:val="0"/>
      <w:sz w:val="30"/>
      <w:szCs w:val="20"/>
    </w:rPr>
  </w:style>
  <w:style w:type="paragraph" w:customStyle="1" w:styleId="617">
    <w:name w:val="CM91"/>
    <w:basedOn w:val="306"/>
    <w:next w:val="306"/>
    <w:uiPriority w:val="0"/>
    <w:pPr>
      <w:spacing w:after="160"/>
    </w:pPr>
    <w:rPr>
      <w:rFonts w:ascii="宋体" w:hAnsi="Times New Roman" w:eastAsia="宋体" w:cs="Times New Roman"/>
      <w:color w:val="auto"/>
      <w:szCs w:val="20"/>
    </w:rPr>
  </w:style>
  <w:style w:type="paragraph" w:customStyle="1" w:styleId="618">
    <w:name w:val="签署栏"/>
    <w:basedOn w:val="1"/>
    <w:uiPriority w:val="0"/>
    <w:pPr>
      <w:keepNext/>
      <w:spacing w:line="300" w:lineRule="auto"/>
      <w:jc w:val="center"/>
    </w:pPr>
    <w:rPr>
      <w:rFonts w:ascii="黑体" w:hAnsi="Times New Roman" w:eastAsia="黑体" w:cs="黑体"/>
      <w:spacing w:val="80"/>
      <w:sz w:val="32"/>
      <w:szCs w:val="32"/>
      <w:lang/>
    </w:rPr>
  </w:style>
  <w:style w:type="paragraph" w:customStyle="1" w:styleId="619">
    <w:name w:val="节内编号2"/>
    <w:uiPriority w:val="0"/>
    <w:pPr>
      <w:adjustRightInd w:val="0"/>
      <w:snapToGrid w:val="0"/>
      <w:spacing w:line="300" w:lineRule="auto"/>
      <w:ind w:right="210" w:rightChars="100"/>
      <w:jc w:val="both"/>
    </w:pPr>
    <w:rPr>
      <w:rFonts w:ascii="宋体" w:hAnsi="宋体" w:cs="宋体"/>
      <w:color w:val="000000"/>
      <w:sz w:val="28"/>
      <w:szCs w:val="28"/>
      <w:lang w:val="en-US" w:eastAsia="zh-CN" w:bidi="ar-SA"/>
    </w:rPr>
  </w:style>
  <w:style w:type="paragraph" w:customStyle="1" w:styleId="620">
    <w:name w:val="table"/>
    <w:basedOn w:val="1"/>
    <w:uiPriority w:val="0"/>
    <w:pPr>
      <w:widowControl/>
      <w:overflowPunct w:val="0"/>
      <w:autoSpaceDE w:val="0"/>
      <w:autoSpaceDN w:val="0"/>
      <w:adjustRightInd w:val="0"/>
      <w:spacing w:before="60" w:after="60"/>
      <w:ind w:left="-115" w:firstLine="115"/>
      <w:jc w:val="center"/>
      <w:textAlignment w:val="baseline"/>
    </w:pPr>
    <w:rPr>
      <w:rFonts w:ascii="仿宋体" w:hAnsi="Times New Roman" w:eastAsia="仿宋体" w:cs="Times New Roman"/>
      <w:kern w:val="0"/>
      <w:sz w:val="24"/>
      <w:szCs w:val="20"/>
      <w:lang/>
    </w:rPr>
  </w:style>
  <w:style w:type="paragraph" w:customStyle="1" w:styleId="621">
    <w:name w:val="cucd-1"/>
    <w:next w:val="313"/>
    <w:uiPriority w:val="0"/>
    <w:pPr>
      <w:pageBreakBefore/>
      <w:tabs>
        <w:tab w:val="left" w:pos="778"/>
        <w:tab w:val="left" w:pos="3305"/>
      </w:tabs>
      <w:spacing w:before="312" w:beforeLines="100" w:after="156" w:afterLines="50" w:line="360" w:lineRule="auto"/>
      <w:ind w:left="778" w:hanging="360"/>
      <w:jc w:val="center"/>
      <w:outlineLvl w:val="0"/>
    </w:pPr>
    <w:rPr>
      <w:rFonts w:eastAsia="黑体"/>
      <w:b/>
      <w:kern w:val="2"/>
      <w:sz w:val="36"/>
      <w:lang w:val="en-US" w:eastAsia="zh-CN" w:bidi="ar-SA"/>
    </w:rPr>
  </w:style>
  <w:style w:type="paragraph" w:customStyle="1" w:styleId="622">
    <w:name w:val="主要条文"/>
    <w:basedOn w:val="1"/>
    <w:uiPriority w:val="0"/>
    <w:pPr>
      <w:spacing w:before="100" w:after="100" w:line="400" w:lineRule="exact"/>
      <w:outlineLvl w:val="0"/>
    </w:pPr>
    <w:rPr>
      <w:rFonts w:ascii="宋体" w:hAnsi="宋体" w:eastAsia="宋体" w:cs="Times New Roman"/>
      <w:b/>
      <w:bCs/>
      <w:sz w:val="28"/>
    </w:rPr>
  </w:style>
  <w:style w:type="paragraph" w:customStyle="1" w:styleId="623">
    <w:name w:val="Body Text 2"/>
    <w:basedOn w:val="1"/>
    <w:uiPriority w:val="0"/>
    <w:pPr>
      <w:autoSpaceDE w:val="0"/>
      <w:autoSpaceDN w:val="0"/>
      <w:adjustRightInd w:val="0"/>
      <w:spacing w:line="380" w:lineRule="atLeast"/>
      <w:textAlignment w:val="baseline"/>
    </w:pPr>
    <w:rPr>
      <w:rFonts w:ascii="Times New Roman" w:hAnsi="Times New Roman" w:eastAsia="宋体" w:cs="Times New Roman"/>
      <w:spacing w:val="10"/>
      <w:kern w:val="0"/>
      <w:sz w:val="24"/>
      <w:szCs w:val="20"/>
    </w:rPr>
  </w:style>
  <w:style w:type="paragraph" w:customStyle="1" w:styleId="624">
    <w:name w:val="xl27"/>
    <w:basedOn w:val="1"/>
    <w:uiPriority w:val="0"/>
    <w:pPr>
      <w:widowControl/>
      <w:pBdr>
        <w:left w:val="single" w:color="auto" w:sz="4" w:space="0"/>
        <w:bottom w:val="single" w:color="auto" w:sz="4" w:space="0"/>
        <w:right w:val="single" w:color="auto" w:sz="4" w:space="0"/>
      </w:pBdr>
      <w:spacing w:before="100" w:beforeAutospacing="1" w:after="100" w:afterAutospacing="1"/>
    </w:pPr>
    <w:rPr>
      <w:rFonts w:ascii="Times New Roman" w:hAnsi="Times New Roman" w:eastAsia="宋体" w:cs="Times New Roman"/>
      <w:kern w:val="0"/>
      <w:szCs w:val="20"/>
    </w:rPr>
  </w:style>
  <w:style w:type="paragraph" w:customStyle="1" w:styleId="625">
    <w:name w:val="表内"/>
    <w:basedOn w:val="1"/>
    <w:uiPriority w:val="0"/>
    <w:pPr>
      <w:widowControl/>
      <w:jc w:val="center"/>
    </w:pPr>
    <w:rPr>
      <w:rFonts w:ascii="宋体" w:hAnsi="宋体" w:eastAsia="宋体" w:cs="宋体"/>
    </w:rPr>
  </w:style>
  <w:style w:type="paragraph" w:customStyle="1" w:styleId="626">
    <w:name w:val="ZB第一章"/>
    <w:basedOn w:val="3"/>
    <w:uiPriority w:val="0"/>
    <w:pPr>
      <w:tabs>
        <w:tab w:val="left" w:pos="0"/>
      </w:tabs>
      <w:adjustRightInd w:val="0"/>
      <w:snapToGrid w:val="0"/>
      <w:spacing w:before="0" w:after="0" w:line="360" w:lineRule="auto"/>
      <w:ind w:left="840" w:hanging="420"/>
      <w:jc w:val="center"/>
    </w:pPr>
    <w:rPr>
      <w:rFonts w:ascii="Times New Roman" w:hAnsi="Times New Roman" w:eastAsia="宋体" w:cs="Times New Roman"/>
      <w:sz w:val="44"/>
    </w:rPr>
  </w:style>
  <w:style w:type="paragraph" w:customStyle="1" w:styleId="627">
    <w:name w:val="表格内容"/>
    <w:basedOn w:val="19"/>
    <w:next w:val="19"/>
    <w:uiPriority w:val="0"/>
    <w:pPr>
      <w:adjustRightInd w:val="0"/>
      <w:snapToGrid w:val="0"/>
      <w:ind w:left="-108" w:right="-108" w:firstLine="43" w:firstLineChars="18"/>
      <w:jc w:val="center"/>
    </w:pPr>
    <w:rPr>
      <w:rFonts w:ascii="Arial" w:hAnsi="Arial" w:eastAsia="仿宋_GB2312" w:cs="Arial"/>
      <w:sz w:val="24"/>
      <w:szCs w:val="24"/>
    </w:rPr>
  </w:style>
  <w:style w:type="paragraph" w:customStyle="1" w:styleId="628">
    <w:name w:val="flNote"/>
    <w:basedOn w:val="1"/>
    <w:uiPriority w:val="0"/>
    <w:pPr>
      <w:adjustRightInd w:val="0"/>
      <w:spacing w:before="320" w:after="160" w:line="360" w:lineRule="atLeast"/>
      <w:jc w:val="center"/>
      <w:textAlignment w:val="baseline"/>
    </w:pPr>
    <w:rPr>
      <w:rFonts w:ascii="Arial" w:hAnsi="Times New Roman" w:eastAsia="黑体" w:cs="Times New Roman"/>
      <w:kern w:val="0"/>
      <w:sz w:val="30"/>
      <w:szCs w:val="20"/>
    </w:rPr>
  </w:style>
  <w:style w:type="paragraph" w:customStyle="1" w:styleId="629">
    <w:name w:val="秦沈线1"/>
    <w:basedOn w:val="1"/>
    <w:next w:val="1"/>
    <w:uiPriority w:val="0"/>
    <w:pPr>
      <w:tabs>
        <w:tab w:val="left" w:pos="700"/>
      </w:tabs>
      <w:adjustRightInd w:val="0"/>
      <w:snapToGrid w:val="0"/>
      <w:spacing w:before="156" w:beforeLines="50" w:line="300" w:lineRule="auto"/>
      <w:ind w:firstLine="200" w:firstLineChars="200"/>
    </w:pPr>
    <w:rPr>
      <w:rFonts w:ascii="仿宋_GB2312" w:hAnsi="Verdana" w:eastAsia="仿宋_GB2312" w:cs="Times New Roman"/>
      <w:b/>
      <w:bCs/>
      <w:snapToGrid w:val="0"/>
      <w:kern w:val="0"/>
      <w:sz w:val="28"/>
      <w:szCs w:val="28"/>
      <w:lang w:eastAsia="en-US"/>
    </w:rPr>
  </w:style>
  <w:style w:type="paragraph" w:customStyle="1" w:styleId="630">
    <w:name w:val="样式 标题 1 + 行距: 多倍行距 1.25 字行"/>
    <w:basedOn w:val="2"/>
    <w:uiPriority w:val="0"/>
    <w:pPr>
      <w:pageBreakBefore/>
      <w:tabs>
        <w:tab w:val="left" w:pos="420"/>
      </w:tabs>
      <w:spacing w:after="300" w:line="480" w:lineRule="auto"/>
      <w:ind w:left="780" w:hanging="360"/>
      <w:jc w:val="center"/>
    </w:pPr>
    <w:rPr>
      <w:rFonts w:ascii="Times New Roman" w:hAnsi="Times New Roman" w:eastAsia="宋体" w:cs="Times New Roman"/>
      <w:bCs w:val="0"/>
      <w:sz w:val="40"/>
      <w:szCs w:val="20"/>
    </w:rPr>
  </w:style>
  <w:style w:type="paragraph" w:customStyle="1" w:styleId="631">
    <w:name w:val="项目号"/>
    <w:basedOn w:val="1"/>
    <w:uiPriority w:val="0"/>
    <w:pPr>
      <w:keepNext/>
      <w:snapToGrid w:val="0"/>
      <w:spacing w:before="156" w:beforeLines="50" w:line="300" w:lineRule="auto"/>
      <w:jc w:val="center"/>
    </w:pPr>
    <w:rPr>
      <w:rFonts w:ascii="宋体" w:hAnsi="Times New Roman" w:eastAsia="宋体" w:cs="宋体"/>
      <w:sz w:val="32"/>
      <w:szCs w:val="32"/>
    </w:rPr>
  </w:style>
  <w:style w:type="paragraph" w:customStyle="1" w:styleId="632">
    <w:name w:val="报告标2"/>
    <w:basedOn w:val="1"/>
    <w:next w:val="1"/>
    <w:uiPriority w:val="0"/>
    <w:pPr>
      <w:adjustRightInd w:val="0"/>
      <w:snapToGrid w:val="0"/>
      <w:spacing w:line="300" w:lineRule="auto"/>
    </w:pPr>
    <w:rPr>
      <w:rFonts w:ascii="黑体" w:hAnsi="Times New Roman" w:eastAsia="黑体" w:cs="黑体"/>
      <w:sz w:val="28"/>
      <w:szCs w:val="28"/>
    </w:rPr>
  </w:style>
  <w:style w:type="paragraph" w:customStyle="1" w:styleId="633">
    <w:name w:val="标题一"/>
    <w:basedOn w:val="1"/>
    <w:next w:val="1"/>
    <w:uiPriority w:val="0"/>
    <w:pPr>
      <w:widowControl/>
      <w:tabs>
        <w:tab w:val="left" w:pos="0"/>
        <w:tab w:val="left" w:pos="420"/>
        <w:tab w:val="left" w:pos="3649"/>
      </w:tabs>
      <w:spacing w:before="624" w:beforeLines="200" w:after="624" w:afterLines="200"/>
      <w:ind w:left="3649" w:hanging="1125"/>
      <w:outlineLvl w:val="0"/>
    </w:pPr>
    <w:rPr>
      <w:rFonts w:ascii="宋体" w:hAnsi="宋体" w:eastAsia="宋体" w:cs="宋体"/>
      <w:b/>
      <w:sz w:val="36"/>
    </w:rPr>
  </w:style>
  <w:style w:type="paragraph" w:customStyle="1" w:styleId="634">
    <w:name w:val="reader-word-layer reader-word-s1-10"/>
    <w:basedOn w:val="1"/>
    <w:uiPriority w:val="0"/>
    <w:pPr>
      <w:widowControl/>
      <w:spacing w:before="100" w:beforeAutospacing="1" w:after="100" w:afterAutospacing="1"/>
      <w:jc w:val="left"/>
    </w:pPr>
    <w:rPr>
      <w:rFonts w:ascii="宋体" w:hAnsi="宋体" w:eastAsia="宋体" w:cs="宋体"/>
      <w:kern w:val="0"/>
      <w:sz w:val="24"/>
    </w:rPr>
  </w:style>
  <w:style w:type="paragraph" w:customStyle="1" w:styleId="635">
    <w:name w:val="标题－3"/>
    <w:basedOn w:val="1"/>
    <w:uiPriority w:val="0"/>
    <w:pPr>
      <w:keepNext/>
      <w:keepLines/>
      <w:adjustRightInd w:val="0"/>
      <w:snapToGrid w:val="0"/>
      <w:spacing w:line="360" w:lineRule="auto"/>
      <w:jc w:val="left"/>
      <w:outlineLvl w:val="2"/>
    </w:pPr>
    <w:rPr>
      <w:rFonts w:ascii="Times New Roman" w:hAnsi="Times New Roman" w:eastAsia="黑体" w:cs="Times New Roman"/>
      <w:color w:val="FF00FF"/>
      <w:sz w:val="28"/>
    </w:rPr>
  </w:style>
  <w:style w:type="paragraph" w:customStyle="1" w:styleId="636">
    <w:name w:val="王海兰"/>
    <w:basedOn w:val="1"/>
    <w:next w:val="1"/>
    <w:uiPriority w:val="0"/>
    <w:pPr>
      <w:spacing w:line="360" w:lineRule="auto"/>
      <w:ind w:left="-84" w:leftChars="-30" w:right="-76" w:rightChars="-27" w:firstLine="560" w:firstLineChars="200"/>
      <w:jc w:val="left"/>
    </w:pPr>
    <w:rPr>
      <w:rFonts w:ascii="Arial" w:hAnsi="Arial" w:eastAsia="宋体" w:cs="Arial"/>
      <w:sz w:val="28"/>
      <w:szCs w:val="28"/>
    </w:rPr>
  </w:style>
  <w:style w:type="paragraph" w:customStyle="1" w:styleId="637">
    <w:name w:val="表格索引"/>
    <w:basedOn w:val="1"/>
    <w:uiPriority w:val="0"/>
    <w:pPr>
      <w:adjustRightInd w:val="0"/>
      <w:snapToGrid w:val="0"/>
      <w:spacing w:line="300" w:lineRule="auto"/>
      <w:jc w:val="center"/>
    </w:pPr>
    <w:rPr>
      <w:rFonts w:ascii="黑体" w:hAnsi="Times New Roman" w:eastAsia="黑体" w:cs="Times New Roman"/>
      <w:sz w:val="24"/>
    </w:rPr>
  </w:style>
  <w:style w:type="paragraph" w:customStyle="1" w:styleId="638">
    <w:name w:val="姓名"/>
    <w:basedOn w:val="1"/>
    <w:uiPriority w:val="0"/>
    <w:pPr>
      <w:adjustRightInd w:val="0"/>
      <w:spacing w:line="240" w:lineRule="atLeast"/>
      <w:ind w:firstLine="200" w:firstLineChars="200"/>
      <w:jc w:val="center"/>
    </w:pPr>
    <w:rPr>
      <w:rFonts w:ascii="Times New Roman" w:hAnsi="Times New Roman" w:eastAsia="仿宋_GB2312" w:cs="Times New Roman"/>
      <w:sz w:val="28"/>
      <w:szCs w:val="20"/>
    </w:rPr>
  </w:style>
  <w:style w:type="paragraph" w:customStyle="1" w:styleId="639">
    <w:name w:val="节名"/>
    <w:basedOn w:val="1"/>
    <w:uiPriority w:val="0"/>
    <w:pPr>
      <w:adjustRightInd w:val="0"/>
      <w:snapToGrid w:val="0"/>
      <w:spacing w:line="300" w:lineRule="auto"/>
      <w:jc w:val="center"/>
    </w:pPr>
    <w:rPr>
      <w:rFonts w:ascii="黑体" w:hAnsi="Times New Roman" w:eastAsia="黑体" w:cs="黑体"/>
      <w:sz w:val="24"/>
    </w:rPr>
  </w:style>
  <w:style w:type="paragraph" w:customStyle="1" w:styleId="640">
    <w:name w:val="标题2-2"/>
    <w:basedOn w:val="3"/>
    <w:uiPriority w:val="0"/>
    <w:pPr>
      <w:spacing w:before="120" w:after="0" w:line="300" w:lineRule="auto"/>
      <w:jc w:val="center"/>
    </w:pPr>
    <w:rPr>
      <w:rFonts w:ascii="Times New Roman" w:hAnsi="Times New Roman" w:eastAsia="宋体" w:cs="Times New Roman"/>
      <w:b w:val="0"/>
      <w:bCs w:val="0"/>
      <w:sz w:val="28"/>
      <w:szCs w:val="20"/>
    </w:rPr>
  </w:style>
  <w:style w:type="paragraph" w:customStyle="1" w:styleId="641">
    <w:name w:val="封面标准文稿编辑信息"/>
    <w:uiPriority w:val="0"/>
    <w:pPr>
      <w:spacing w:before="180" w:line="180" w:lineRule="exact"/>
      <w:jc w:val="center"/>
    </w:pPr>
    <w:rPr>
      <w:rFonts w:ascii="宋体"/>
      <w:sz w:val="21"/>
      <w:lang w:val="en-US" w:eastAsia="zh-CN" w:bidi="ar-SA"/>
    </w:rPr>
  </w:style>
  <w:style w:type="paragraph" w:customStyle="1" w:styleId="642">
    <w:name w:val="模板标题4"/>
    <w:basedOn w:val="5"/>
    <w:next w:val="1"/>
    <w:uiPriority w:val="0"/>
    <w:pPr>
      <w:tabs>
        <w:tab w:val="left" w:pos="2160"/>
      </w:tabs>
      <w:spacing w:before="240" w:after="240" w:line="240" w:lineRule="auto"/>
      <w:ind w:left="2160" w:hanging="420"/>
      <w:jc w:val="left"/>
    </w:pPr>
    <w:rPr>
      <w:rFonts w:ascii="Times New Roman" w:hAnsi="Times New Roman" w:eastAsia="宋体" w:cs="Times New Roman"/>
      <w:b w:val="0"/>
      <w:sz w:val="24"/>
    </w:rPr>
  </w:style>
  <w:style w:type="paragraph" w:customStyle="1" w:styleId="643">
    <w:name w:val="CM1"/>
    <w:basedOn w:val="306"/>
    <w:next w:val="306"/>
    <w:uiPriority w:val="0"/>
    <w:pPr>
      <w:adjustRightInd/>
    </w:pPr>
    <w:rPr>
      <w:rFonts w:hint="eastAsia" w:ascii="宋体" w:hAnsi="Calibri" w:eastAsia="宋体" w:cs="Times New Roman"/>
      <w:szCs w:val="20"/>
    </w:rPr>
  </w:style>
  <w:style w:type="paragraph" w:customStyle="1" w:styleId="644">
    <w:name w:val="续表"/>
    <w:basedOn w:val="8"/>
    <w:uiPriority w:val="0"/>
    <w:pPr>
      <w:keepLines w:val="0"/>
      <w:snapToGrid w:val="0"/>
      <w:spacing w:before="0" w:after="0" w:line="300" w:lineRule="auto"/>
      <w:jc w:val="center"/>
    </w:pPr>
    <w:rPr>
      <w:rFonts w:ascii="黑体" w:hAnsi="Times New Roman" w:eastAsia="黑体" w:cs="黑体"/>
      <w:b w:val="0"/>
      <w:bCs w:val="0"/>
    </w:rPr>
  </w:style>
  <w:style w:type="paragraph" w:customStyle="1" w:styleId="645">
    <w:name w:val="小表左"/>
    <w:basedOn w:val="1"/>
    <w:uiPriority w:val="0"/>
    <w:pPr>
      <w:keepNext/>
      <w:adjustRightInd w:val="0"/>
      <w:snapToGrid w:val="0"/>
      <w:spacing w:line="240" w:lineRule="atLeast"/>
      <w:jc w:val="center"/>
    </w:pPr>
    <w:rPr>
      <w:rFonts w:ascii="宋体" w:hAnsi="宋体" w:eastAsia="宋体" w:cs="宋体"/>
      <w:color w:val="000000"/>
      <w:kern w:val="0"/>
      <w:sz w:val="24"/>
    </w:rPr>
  </w:style>
  <w:style w:type="paragraph" w:customStyle="1" w:styleId="646">
    <w:name w:val="CM2"/>
    <w:basedOn w:val="306"/>
    <w:next w:val="306"/>
    <w:uiPriority w:val="0"/>
    <w:pPr>
      <w:adjustRightInd/>
      <w:spacing w:line="360" w:lineRule="atLeast"/>
    </w:pPr>
    <w:rPr>
      <w:rFonts w:hint="eastAsia" w:ascii="宋体" w:hAnsi="Calibri" w:eastAsia="宋体" w:cs="Times New Roman"/>
      <w:szCs w:val="20"/>
    </w:rPr>
  </w:style>
  <w:style w:type="paragraph" w:customStyle="1" w:styleId="647">
    <w:name w:val="正缩进"/>
    <w:basedOn w:val="1"/>
    <w:uiPriority w:val="0"/>
    <w:pPr>
      <w:spacing w:line="360" w:lineRule="auto"/>
      <w:ind w:firstLine="454"/>
    </w:pPr>
    <w:rPr>
      <w:rFonts w:ascii="Times New Roman" w:hAnsi="Times New Roman" w:eastAsia="宋体" w:cs="Times New Roman"/>
      <w:sz w:val="24"/>
      <w:szCs w:val="20"/>
    </w:rPr>
  </w:style>
  <w:style w:type="paragraph" w:customStyle="1" w:styleId="648">
    <w:name w:val="1"/>
    <w:basedOn w:val="1"/>
    <w:next w:val="66"/>
    <w:uiPriority w:val="0"/>
    <w:pPr>
      <w:tabs>
        <w:tab w:val="left" w:pos="780"/>
        <w:tab w:val="left" w:pos="900"/>
      </w:tabs>
      <w:adjustRightInd w:val="0"/>
      <w:snapToGrid w:val="0"/>
      <w:spacing w:before="156" w:after="156" w:line="400" w:lineRule="atLeast"/>
      <w:ind w:left="869" w:leftChars="50" w:right="32" w:firstLine="599" w:firstLineChars="214"/>
    </w:pPr>
    <w:rPr>
      <w:rFonts w:ascii="Times New Roman" w:hAnsi="Times New Roman" w:eastAsia="宋体" w:cs="Times New Roman"/>
      <w:sz w:val="28"/>
      <w:szCs w:val="20"/>
    </w:rPr>
  </w:style>
  <w:style w:type="paragraph" w:customStyle="1" w:styleId="649">
    <w:name w:val="假标题1"/>
    <w:basedOn w:val="488"/>
    <w:uiPriority w:val="0"/>
    <w:pPr>
      <w:keepNext w:val="0"/>
      <w:autoSpaceDE w:val="0"/>
      <w:autoSpaceDN w:val="0"/>
      <w:adjustRightInd w:val="0"/>
      <w:spacing w:before="0" w:beforeLines="0" w:line="336" w:lineRule="auto"/>
      <w:outlineLvl w:val="9"/>
    </w:pPr>
    <w:rPr>
      <w:rFonts w:ascii="Times New Roman" w:hAnsi="宋体" w:eastAsia="宋体" w:cs="Times New Roman"/>
      <w:b w:val="0"/>
      <w:bCs w:val="0"/>
      <w:kern w:val="0"/>
      <w:sz w:val="15"/>
      <w:szCs w:val="15"/>
      <w:lang w:val="zh-CN"/>
    </w:rPr>
  </w:style>
  <w:style w:type="paragraph" w:customStyle="1" w:styleId="650">
    <w:name w:val="表5号字"/>
    <w:uiPriority w:val="0"/>
    <w:pPr>
      <w:keepNext/>
      <w:widowControl w:val="0"/>
      <w:adjustRightInd w:val="0"/>
      <w:spacing w:before="120" w:line="60" w:lineRule="atLeast"/>
      <w:jc w:val="center"/>
      <w:textAlignment w:val="baseline"/>
    </w:pPr>
    <w:rPr>
      <w:sz w:val="21"/>
      <w:lang w:val="en-US" w:eastAsia="zh-CN" w:bidi="ar-SA"/>
    </w:rPr>
  </w:style>
  <w:style w:type="paragraph" w:customStyle="1" w:styleId="651">
    <w:name w:val="textstyle1"/>
    <w:basedOn w:val="1"/>
    <w:uiPriority w:val="0"/>
    <w:pPr>
      <w:widowControl/>
      <w:overflowPunct w:val="0"/>
      <w:autoSpaceDE w:val="0"/>
      <w:autoSpaceDN w:val="0"/>
      <w:adjustRightInd w:val="0"/>
      <w:spacing w:before="120"/>
      <w:ind w:left="288" w:firstLine="432"/>
      <w:textAlignment w:val="baseline"/>
    </w:pPr>
    <w:rPr>
      <w:rFonts w:ascii="楷体" w:hAnsi="Times New Roman" w:eastAsia="楷体" w:cs="Times New Roman"/>
      <w:kern w:val="0"/>
      <w:sz w:val="24"/>
      <w:szCs w:val="20"/>
    </w:rPr>
  </w:style>
  <w:style w:type="paragraph" w:customStyle="1" w:styleId="652">
    <w:name w:val="样式 标题 3头 + 行距: 多倍行距 0.5 字行"/>
    <w:basedOn w:val="4"/>
    <w:uiPriority w:val="0"/>
    <w:pPr>
      <w:numPr>
        <w:ilvl w:val="2"/>
        <w:numId w:val="0"/>
      </w:numPr>
      <w:tabs>
        <w:tab w:val="left" w:pos="578"/>
        <w:tab w:val="left" w:pos="1560"/>
      </w:tabs>
      <w:spacing w:before="60" w:after="60" w:line="120" w:lineRule="auto"/>
      <w:ind w:left="578" w:hanging="578"/>
    </w:pPr>
    <w:rPr>
      <w:rFonts w:ascii="Times New Roman" w:hAnsi="Times New Roman" w:eastAsia="宋体" w:cs="Times New Roman"/>
      <w:bCs w:val="0"/>
      <w:sz w:val="28"/>
      <w:szCs w:val="20"/>
    </w:rPr>
  </w:style>
  <w:style w:type="paragraph" w:customStyle="1" w:styleId="653">
    <w:name w:val="报告题目"/>
    <w:basedOn w:val="2"/>
    <w:uiPriority w:val="0"/>
    <w:pPr>
      <w:widowControl/>
      <w:autoSpaceDE w:val="0"/>
      <w:autoSpaceDN w:val="0"/>
      <w:spacing w:before="480" w:after="120" w:line="240" w:lineRule="auto"/>
      <w:jc w:val="center"/>
      <w:outlineLvl w:val="9"/>
    </w:pPr>
    <w:rPr>
      <w:rFonts w:ascii="Arial" w:hAnsi="Arial" w:eastAsia="宋体" w:cs="宋体"/>
      <w:bCs w:val="0"/>
      <w:sz w:val="30"/>
      <w:szCs w:val="24"/>
    </w:rPr>
  </w:style>
  <w:style w:type="paragraph" w:customStyle="1" w:styleId="654">
    <w:name w:val="题目"/>
    <w:basedOn w:val="1"/>
    <w:next w:val="633"/>
    <w:uiPriority w:val="0"/>
    <w:pPr>
      <w:widowControl/>
      <w:spacing w:before="100" w:beforeAutospacing="1" w:after="100" w:afterAutospacing="1"/>
      <w:jc w:val="center"/>
    </w:pPr>
    <w:rPr>
      <w:rFonts w:ascii="宋体" w:hAnsi="宋体" w:eastAsia="宋体" w:cs="宋体"/>
      <w:b/>
      <w:sz w:val="44"/>
      <w:szCs w:val="32"/>
    </w:rPr>
  </w:style>
  <w:style w:type="paragraph" w:customStyle="1" w:styleId="655">
    <w:name w:val="封面一致性程度标识"/>
    <w:uiPriority w:val="0"/>
    <w:pPr>
      <w:spacing w:before="440" w:line="400" w:lineRule="exact"/>
      <w:jc w:val="center"/>
    </w:pPr>
    <w:rPr>
      <w:rFonts w:ascii="宋体"/>
      <w:sz w:val="28"/>
      <w:lang w:val="en-US" w:eastAsia="zh-CN" w:bidi="ar-SA"/>
    </w:rPr>
  </w:style>
  <w:style w:type="paragraph" w:customStyle="1" w:styleId="656">
    <w:name w:val="秦沈线"/>
    <w:basedOn w:val="632"/>
    <w:next w:val="199"/>
    <w:uiPriority w:val="0"/>
    <w:pPr>
      <w:tabs>
        <w:tab w:val="left" w:pos="700"/>
      </w:tabs>
      <w:spacing w:before="156" w:beforeLines="50"/>
      <w:ind w:firstLine="200" w:firstLineChars="200"/>
    </w:pPr>
    <w:rPr>
      <w:rFonts w:ascii="Times New Roman" w:hAnsi="Times New Roman" w:eastAsia="宋体" w:cs="Times New Roman"/>
      <w:bCs/>
      <w:kern w:val="0"/>
      <w:sz w:val="24"/>
      <w:szCs w:val="24"/>
      <w:lang w:eastAsia="en-US"/>
    </w:rPr>
  </w:style>
  <w:style w:type="paragraph" w:customStyle="1" w:styleId="657">
    <w:name w:val="标题 1 宋体 三号 Char Char"/>
    <w:basedOn w:val="2"/>
    <w:uiPriority w:val="0"/>
    <w:pPr>
      <w:tabs>
        <w:tab w:val="left" w:pos="425"/>
      </w:tabs>
      <w:spacing w:before="340" w:after="330"/>
      <w:ind w:left="425" w:hanging="425"/>
      <w:jc w:val="center"/>
    </w:pPr>
    <w:rPr>
      <w:rFonts w:ascii="宋体" w:hAnsi="宋体" w:eastAsia="宋体" w:cs="Times New Roman"/>
    </w:rPr>
  </w:style>
  <w:style w:type="paragraph" w:customStyle="1" w:styleId="658">
    <w:name w:val="Zchn Zchn1 Char Char Zchn Zchn Char Char3"/>
    <w:basedOn w:val="1"/>
    <w:uiPriority w:val="0"/>
    <w:rPr>
      <w:rFonts w:hint="eastAsia" w:ascii="Times New Roman" w:hAnsi="Times New Roman" w:eastAsia="宋体" w:cs="Times New Roman"/>
      <w:szCs w:val="20"/>
    </w:rPr>
  </w:style>
  <w:style w:type="paragraph" w:customStyle="1" w:styleId="659">
    <w:name w:val=" Char1"/>
    <w:basedOn w:val="1"/>
    <w:uiPriority w:val="0"/>
    <w:rPr>
      <w:rFonts w:ascii="Tahoma" w:hAnsi="Tahoma" w:eastAsia="宋体" w:cs="Times New Roman"/>
      <w:b/>
      <w:sz w:val="28"/>
      <w:szCs w:val="28"/>
    </w:rPr>
  </w:style>
  <w:style w:type="paragraph" w:customStyle="1" w:styleId="660">
    <w:name w:val="样式 宋体 行距: 固定值 18 磅"/>
    <w:basedOn w:val="1"/>
    <w:uiPriority w:val="0"/>
    <w:pPr>
      <w:spacing w:before="30" w:line="360" w:lineRule="exact"/>
    </w:pPr>
    <w:rPr>
      <w:rFonts w:ascii="宋体" w:hAnsi="宋体" w:eastAsia="宋体" w:cs="Times New Roman"/>
      <w:szCs w:val="20"/>
    </w:rPr>
  </w:style>
  <w:style w:type="paragraph" w:customStyle="1" w:styleId="661">
    <w:name w:val="图章"/>
    <w:basedOn w:val="1"/>
    <w:uiPriority w:val="0"/>
    <w:pPr>
      <w:tabs>
        <w:tab w:val="left" w:pos="1727"/>
        <w:tab w:val="left" w:pos="1884"/>
      </w:tabs>
      <w:adjustRightInd w:val="0"/>
      <w:snapToGrid w:val="0"/>
      <w:jc w:val="left"/>
      <w:outlineLvl w:val="0"/>
    </w:pPr>
    <w:rPr>
      <w:rFonts w:ascii="宋体" w:hAnsi="Times New Roman" w:eastAsia="宋体" w:cs="宋体"/>
      <w:kern w:val="0"/>
      <w:sz w:val="18"/>
      <w:szCs w:val="18"/>
    </w:rPr>
  </w:style>
  <w:style w:type="paragraph" w:customStyle="1" w:styleId="662">
    <w:name w:val="b-b2"/>
    <w:basedOn w:val="3"/>
    <w:next w:val="1"/>
    <w:uiPriority w:val="0"/>
    <w:pPr>
      <w:keepNext w:val="0"/>
      <w:keepLines w:val="0"/>
      <w:tabs>
        <w:tab w:val="left" w:pos="1985"/>
      </w:tabs>
      <w:adjustRightInd w:val="0"/>
      <w:snapToGrid w:val="0"/>
      <w:spacing w:before="120" w:after="120" w:line="400" w:lineRule="exact"/>
      <w:jc w:val="left"/>
      <w:textAlignment w:val="baseline"/>
    </w:pPr>
    <w:rPr>
      <w:rFonts w:ascii="黑体" w:hAnsi="Times New Roman" w:eastAsia="宋体" w:cs="Times New Roman"/>
      <w:b w:val="0"/>
      <w:bCs w:val="0"/>
      <w:kern w:val="0"/>
      <w:sz w:val="24"/>
      <w:szCs w:val="20"/>
    </w:rPr>
  </w:style>
  <w:style w:type="paragraph" w:customStyle="1" w:styleId="663">
    <w:name w:val="A.正文"/>
    <w:basedOn w:val="1"/>
    <w:uiPriority w:val="0"/>
    <w:pPr>
      <w:widowControl/>
      <w:tabs>
        <w:tab w:val="left" w:pos="964"/>
      </w:tabs>
      <w:spacing w:line="360" w:lineRule="exact"/>
      <w:ind w:left="964" w:hanging="397"/>
    </w:pPr>
    <w:rPr>
      <w:rFonts w:ascii="Times New Roman" w:hAnsi="Times New Roman" w:eastAsia="宋体" w:cs="Times New Roman"/>
      <w:sz w:val="24"/>
      <w:szCs w:val="20"/>
    </w:rPr>
  </w:style>
  <w:style w:type="paragraph" w:customStyle="1" w:styleId="664">
    <w:name w:val="报告标3"/>
    <w:basedOn w:val="1"/>
    <w:uiPriority w:val="0"/>
    <w:pPr>
      <w:adjustRightInd w:val="0"/>
      <w:snapToGrid w:val="0"/>
      <w:spacing w:line="300" w:lineRule="auto"/>
    </w:pPr>
    <w:rPr>
      <w:rFonts w:ascii="宋体" w:hAnsi="Times New Roman" w:eastAsia="宋体" w:cs="宋体"/>
      <w:sz w:val="28"/>
      <w:szCs w:val="28"/>
    </w:rPr>
  </w:style>
  <w:style w:type="paragraph" w:customStyle="1" w:styleId="665">
    <w:name w:val="test"/>
    <w:basedOn w:val="1"/>
    <w:uiPriority w:val="0"/>
    <w:pPr>
      <w:widowControl/>
      <w:overflowPunct w:val="0"/>
      <w:autoSpaceDE w:val="0"/>
      <w:autoSpaceDN w:val="0"/>
      <w:adjustRightInd w:val="0"/>
      <w:spacing w:before="60" w:after="60"/>
      <w:textAlignment w:val="baseline"/>
    </w:pPr>
    <w:rPr>
      <w:rFonts w:ascii="楷体_GB2312" w:hAnsi="Times New Roman" w:eastAsia="楷体_GB2312" w:cs="Times New Roman"/>
      <w:spacing w:val="-30"/>
      <w:kern w:val="0"/>
      <w:sz w:val="22"/>
      <w:szCs w:val="20"/>
    </w:rPr>
  </w:style>
  <w:style w:type="paragraph" w:customStyle="1" w:styleId="666">
    <w:name w:val="4"/>
    <w:basedOn w:val="5"/>
    <w:uiPriority w:val="0"/>
    <w:pPr>
      <w:tabs>
        <w:tab w:val="left" w:pos="1575"/>
      </w:tabs>
      <w:spacing w:before="60" w:after="60" w:line="300" w:lineRule="auto"/>
    </w:pPr>
    <w:rPr>
      <w:rFonts w:ascii="Times New Roman" w:hAnsi="Times New Roman" w:eastAsia="宋体" w:cs="Times New Roman"/>
      <w:b w:val="0"/>
      <w:bCs w:val="0"/>
      <w:sz w:val="24"/>
      <w:szCs w:val="20"/>
    </w:rPr>
  </w:style>
  <w:style w:type="paragraph" w:customStyle="1" w:styleId="667">
    <w:name w:val="Preformatted"/>
    <w:basedOn w:val="1"/>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cs="Times New Roman"/>
      <w:kern w:val="0"/>
      <w:sz w:val="20"/>
      <w:szCs w:val="20"/>
    </w:rPr>
  </w:style>
  <w:style w:type="paragraph" w:customStyle="1" w:styleId="668">
    <w:name w:val="页眉1"/>
    <w:basedOn w:val="1"/>
    <w:uiPriority w:val="0"/>
    <w:pPr>
      <w:tabs>
        <w:tab w:val="left" w:pos="1727"/>
        <w:tab w:val="left" w:pos="1884"/>
        <w:tab w:val="center" w:pos="4153"/>
        <w:tab w:val="right" w:pos="8306"/>
      </w:tabs>
      <w:snapToGrid w:val="0"/>
      <w:jc w:val="center"/>
      <w:outlineLvl w:val="0"/>
    </w:pPr>
    <w:rPr>
      <w:rFonts w:ascii="隶书" w:hAnsi="Times New Roman" w:eastAsia="隶书" w:cs="隶书"/>
      <w:w w:val="90"/>
      <w:szCs w:val="21"/>
    </w:rPr>
  </w:style>
  <w:style w:type="paragraph" w:customStyle="1" w:styleId="669">
    <w:name w:val="2.2标题"/>
    <w:basedOn w:val="1"/>
    <w:next w:val="1"/>
    <w:uiPriority w:val="0"/>
    <w:pPr>
      <w:keepNext/>
      <w:tabs>
        <w:tab w:val="left" w:pos="2160"/>
      </w:tabs>
      <w:adjustRightInd w:val="0"/>
      <w:snapToGrid w:val="0"/>
      <w:spacing w:before="312" w:beforeLines="100" w:after="312" w:afterLines="100"/>
      <w:ind w:left="102" w:hanging="360"/>
      <w:jc w:val="center"/>
      <w:outlineLvl w:val="1"/>
    </w:pPr>
    <w:rPr>
      <w:rFonts w:ascii="宋体" w:hAnsi="宋体" w:eastAsia="宋体" w:cs="Times New Roman"/>
      <w:b/>
      <w:bCs/>
      <w:color w:val="000000"/>
      <w:sz w:val="28"/>
      <w:szCs w:val="28"/>
    </w:rPr>
  </w:style>
  <w:style w:type="paragraph" w:customStyle="1" w:styleId="670">
    <w:name w:val="来源"/>
    <w:basedOn w:val="1"/>
    <w:uiPriority w:val="0"/>
    <w:pPr>
      <w:ind w:firstLine="420" w:firstLineChars="200"/>
    </w:pPr>
    <w:rPr>
      <w:rFonts w:ascii="Times New Roman" w:hAnsi="Times New Roman" w:eastAsia="宋体" w:cs="Times New Roman"/>
    </w:rPr>
  </w:style>
  <w:style w:type="paragraph" w:customStyle="1" w:styleId="671">
    <w:name w:val="b-b4"/>
    <w:basedOn w:val="5"/>
    <w:next w:val="1"/>
    <w:uiPriority w:val="0"/>
    <w:pPr>
      <w:keepNext w:val="0"/>
      <w:keepLines w:val="0"/>
      <w:tabs>
        <w:tab w:val="left" w:pos="540"/>
        <w:tab w:val="left" w:pos="1575"/>
      </w:tabs>
      <w:spacing w:before="60" w:after="60" w:line="400" w:lineRule="exact"/>
      <w:ind w:firstLine="198"/>
      <w:jc w:val="left"/>
    </w:pPr>
    <w:rPr>
      <w:rFonts w:ascii="黑体" w:hAnsi="宋体" w:eastAsia="宋体" w:cs="Times New Roman"/>
      <w:bCs w:val="0"/>
      <w:kern w:val="0"/>
      <w:szCs w:val="20"/>
    </w:rPr>
  </w:style>
  <w:style w:type="paragraph" w:customStyle="1" w:styleId="672">
    <w:name w:val="标题 4-1"/>
    <w:basedOn w:val="5"/>
    <w:next w:val="1"/>
    <w:uiPriority w:val="0"/>
    <w:pPr>
      <w:widowControl/>
      <w:spacing w:before="100" w:beforeAutospacing="1" w:after="100" w:afterAutospacing="1" w:line="240" w:lineRule="auto"/>
    </w:pPr>
    <w:rPr>
      <w:rFonts w:ascii="宋体" w:hAnsi="宋体" w:eastAsia="宋体" w:cs="宋体"/>
      <w:bCs w:val="0"/>
      <w:sz w:val="24"/>
      <w:szCs w:val="20"/>
    </w:rPr>
  </w:style>
  <w:style w:type="paragraph" w:customStyle="1" w:styleId="673">
    <w:name w:val="正文11"/>
    <w:basedOn w:val="1"/>
    <w:uiPriority w:val="0"/>
    <w:pPr>
      <w:widowControl/>
      <w:spacing w:after="60"/>
      <w:ind w:firstLine="200" w:firstLineChars="200"/>
    </w:pPr>
    <w:rPr>
      <w:rFonts w:ascii="宋体" w:hAnsi="宋体" w:eastAsia="宋体" w:cs="宋体"/>
      <w:sz w:val="24"/>
    </w:rPr>
  </w:style>
  <w:style w:type="paragraph" w:customStyle="1" w:styleId="674">
    <w:name w:val="4.2标题"/>
    <w:basedOn w:val="1"/>
    <w:uiPriority w:val="0"/>
    <w:pPr>
      <w:tabs>
        <w:tab w:val="left" w:pos="2160"/>
      </w:tabs>
      <w:spacing w:before="120" w:after="120" w:line="400" w:lineRule="exact"/>
      <w:ind w:left="2160" w:hanging="360"/>
      <w:jc w:val="center"/>
      <w:outlineLvl w:val="2"/>
    </w:pPr>
    <w:rPr>
      <w:rFonts w:ascii="宋体" w:hAnsi="宋体" w:eastAsia="宋体" w:cs="Times New Roman"/>
      <w:b/>
      <w:bCs/>
      <w:color w:val="000000"/>
      <w:sz w:val="28"/>
      <w:szCs w:val="28"/>
    </w:rPr>
  </w:style>
  <w:style w:type="paragraph" w:customStyle="1" w:styleId="675">
    <w:name w:val="2级标题 + 非加粗"/>
    <w:basedOn w:val="3"/>
    <w:next w:val="3"/>
    <w:uiPriority w:val="0"/>
    <w:pPr>
      <w:widowControl/>
      <w:adjustRightInd w:val="0"/>
      <w:snapToGrid w:val="0"/>
      <w:spacing w:before="156" w:beforeLines="50" w:after="260" w:line="416" w:lineRule="auto"/>
      <w:ind w:firstLine="480" w:firstLineChars="200"/>
    </w:pPr>
    <w:rPr>
      <w:rFonts w:ascii="Times New Roman" w:hAnsi="Times New Roman" w:eastAsia="宋体" w:cs="Times New Roman"/>
      <w:b w:val="0"/>
      <w:kern w:val="0"/>
      <w:sz w:val="28"/>
    </w:rPr>
  </w:style>
  <w:style w:type="paragraph" w:customStyle="1" w:styleId="676">
    <w:name w:val="Zchn Zchn1 Char Char Zchn Zchn Char Char1"/>
    <w:basedOn w:val="1"/>
    <w:uiPriority w:val="0"/>
    <w:rPr>
      <w:rFonts w:hint="eastAsia" w:ascii="Times New Roman" w:hAnsi="Times New Roman" w:eastAsia="宋体" w:cs="Times New Roman"/>
      <w:szCs w:val="20"/>
    </w:rPr>
  </w:style>
  <w:style w:type="paragraph" w:customStyle="1" w:styleId="677">
    <w:name w:val="Plain Text"/>
    <w:basedOn w:val="1"/>
    <w:uiPriority w:val="0"/>
    <w:pPr>
      <w:adjustRightInd w:val="0"/>
      <w:jc w:val="left"/>
      <w:textAlignment w:val="baseline"/>
    </w:pPr>
    <w:rPr>
      <w:rFonts w:ascii="宋体" w:hAnsi="Courier New" w:eastAsia="宋体" w:cs="Times New Roman"/>
      <w:sz w:val="24"/>
      <w:szCs w:val="20"/>
    </w:rPr>
  </w:style>
  <w:style w:type="paragraph" w:customStyle="1" w:styleId="678">
    <w:name w:val="样式 标题 3头 + 小三"/>
    <w:basedOn w:val="4"/>
    <w:uiPriority w:val="0"/>
    <w:pPr>
      <w:numPr>
        <w:ilvl w:val="2"/>
        <w:numId w:val="0"/>
      </w:numPr>
      <w:tabs>
        <w:tab w:val="left" w:pos="578"/>
        <w:tab w:val="left" w:pos="1560"/>
      </w:tabs>
      <w:spacing w:before="60" w:after="60" w:line="240" w:lineRule="auto"/>
      <w:ind w:left="578" w:hanging="578"/>
    </w:pPr>
    <w:rPr>
      <w:rFonts w:ascii="Times New Roman" w:hAnsi="Times New Roman" w:eastAsia="宋体" w:cs="Times New Roman"/>
      <w:bCs w:val="0"/>
      <w:sz w:val="30"/>
      <w:szCs w:val="20"/>
    </w:rPr>
  </w:style>
  <w:style w:type="paragraph" w:customStyle="1" w:styleId="679">
    <w:name w:val="样式 标题 1 + 行距: 1.5 倍行距"/>
    <w:basedOn w:val="2"/>
    <w:uiPriority w:val="0"/>
    <w:pPr>
      <w:pageBreakBefore/>
      <w:tabs>
        <w:tab w:val="left" w:pos="432"/>
      </w:tabs>
      <w:spacing w:after="240"/>
      <w:ind w:left="432" w:hanging="432"/>
      <w:jc w:val="center"/>
      <w:textAlignment w:val="center"/>
    </w:pPr>
    <w:rPr>
      <w:rFonts w:ascii="宋体" w:hAnsi="Times New Roman" w:eastAsia="宋体" w:cs="Times New Roman"/>
      <w:bCs w:val="0"/>
      <w:sz w:val="40"/>
      <w:szCs w:val="20"/>
    </w:rPr>
  </w:style>
  <w:style w:type="paragraph" w:customStyle="1" w:styleId="680">
    <w:name w:val="图内容"/>
    <w:uiPriority w:val="0"/>
    <w:pPr>
      <w:widowControl w:val="0"/>
      <w:adjustRightInd w:val="0"/>
      <w:jc w:val="center"/>
      <w:textAlignment w:val="baseline"/>
    </w:pPr>
    <w:rPr>
      <w:rFonts w:eastAsia="仿宋体"/>
      <w:sz w:val="24"/>
      <w:lang w:val="en-US" w:eastAsia="zh-CN" w:bidi="ar-SA"/>
    </w:rPr>
  </w:style>
  <w:style w:type="paragraph" w:customStyle="1" w:styleId="681">
    <w:name w:val="CM14"/>
    <w:basedOn w:val="306"/>
    <w:next w:val="306"/>
    <w:uiPriority w:val="0"/>
    <w:pPr>
      <w:adjustRightInd/>
      <w:spacing w:after="355"/>
    </w:pPr>
    <w:rPr>
      <w:rFonts w:hint="eastAsia" w:ascii="宋体" w:hAnsi="Calibri" w:eastAsia="宋体" w:cs="Times New Roman"/>
      <w:szCs w:val="20"/>
    </w:rPr>
  </w:style>
  <w:style w:type="paragraph" w:customStyle="1" w:styleId="682">
    <w:name w:val="CM5"/>
    <w:basedOn w:val="306"/>
    <w:next w:val="306"/>
    <w:uiPriority w:val="0"/>
    <w:pPr>
      <w:spacing w:line="180" w:lineRule="atLeast"/>
    </w:pPr>
    <w:rPr>
      <w:rFonts w:ascii="Times New Roman" w:hAnsi="Times New Roman" w:eastAsia="宋体" w:cs="Times New Roman"/>
      <w:color w:val="auto"/>
    </w:rPr>
  </w:style>
  <w:style w:type="paragraph" w:customStyle="1" w:styleId="683">
    <w:name w:val="附件标题"/>
    <w:basedOn w:val="3"/>
    <w:next w:val="1"/>
    <w:qFormat/>
    <w:uiPriority w:val="0"/>
    <w:pPr>
      <w:numPr>
        <w:ilvl w:val="0"/>
        <w:numId w:val="1"/>
      </w:numPr>
      <w:tabs>
        <w:tab w:val="left" w:pos="1134"/>
      </w:tabs>
      <w:spacing w:line="360" w:lineRule="auto"/>
      <w:jc w:val="center"/>
    </w:pPr>
    <w:rPr>
      <w:rFonts w:ascii="黑体" w:hAnsi="黑体"/>
      <w:sz w:val="30"/>
      <w:szCs w:val="30"/>
    </w:rPr>
  </w:style>
  <w:style w:type="paragraph" w:customStyle="1" w:styleId="684">
    <w:name w:val="通用标题2"/>
    <w:basedOn w:val="3"/>
    <w:next w:val="1"/>
    <w:qFormat/>
    <w:uiPriority w:val="0"/>
    <w:pPr>
      <w:keepNext w:val="0"/>
      <w:keepLines w:val="0"/>
      <w:numPr>
        <w:ilvl w:val="0"/>
        <w:numId w:val="2"/>
      </w:numPr>
      <w:tabs>
        <w:tab w:val="left" w:pos="993"/>
      </w:tabs>
      <w:spacing w:line="360" w:lineRule="auto"/>
    </w:pPr>
    <w:rPr>
      <w:rFonts w:ascii="黑体" w:hAnsi="黑体"/>
    </w:rPr>
  </w:style>
  <w:style w:type="paragraph" w:customStyle="1" w:styleId="685">
    <w:name w:val="通用标题3"/>
    <w:next w:val="1"/>
    <w:qFormat/>
    <w:uiPriority w:val="0"/>
    <w:pPr>
      <w:widowControl w:val="0"/>
      <w:numPr>
        <w:ilvl w:val="1"/>
        <w:numId w:val="3"/>
      </w:numPr>
      <w:tabs>
        <w:tab w:val="left" w:pos="851"/>
      </w:tabs>
      <w:adjustRightInd w:val="0"/>
      <w:snapToGrid w:val="0"/>
      <w:spacing w:after="120" w:afterLines="50" w:line="360" w:lineRule="auto"/>
      <w:jc w:val="both"/>
      <w:outlineLvl w:val="2"/>
    </w:pPr>
    <w:rPr>
      <w:rFonts w:ascii="黑体" w:hAnsi="黑体" w:eastAsia="黑体"/>
      <w:b/>
      <w:kern w:val="2"/>
      <w:sz w:val="24"/>
      <w:szCs w:val="24"/>
      <w:lang w:val="en-US" w:eastAsia="zh-CN" w:bidi="ar-SA"/>
    </w:rPr>
  </w:style>
  <w:style w:type="paragraph" w:customStyle="1" w:styleId="686">
    <w:name w:val="通用标题4"/>
    <w:next w:val="1"/>
    <w:qFormat/>
    <w:uiPriority w:val="0"/>
    <w:pPr>
      <w:numPr>
        <w:ilvl w:val="2"/>
        <w:numId w:val="3"/>
      </w:numPr>
      <w:tabs>
        <w:tab w:val="left" w:pos="851"/>
      </w:tabs>
      <w:adjustRightInd w:val="0"/>
      <w:snapToGrid w:val="0"/>
      <w:spacing w:after="120" w:afterLines="50" w:line="360" w:lineRule="auto"/>
      <w:jc w:val="both"/>
      <w:outlineLvl w:val="3"/>
    </w:pPr>
    <w:rPr>
      <w:rFonts w:ascii="宋体" w:hAnsi="宋体"/>
      <w:kern w:val="2"/>
      <w:sz w:val="24"/>
      <w:szCs w:val="21"/>
      <w:lang w:val="en-US" w:eastAsia="zh-CN" w:bidi="ar-SA"/>
    </w:rPr>
  </w:style>
  <w:style w:type="paragraph" w:customStyle="1" w:styleId="687">
    <w:name w:val="通用标题5"/>
    <w:qFormat/>
    <w:uiPriority w:val="0"/>
    <w:pPr>
      <w:widowControl w:val="0"/>
      <w:numPr>
        <w:ilvl w:val="3"/>
        <w:numId w:val="3"/>
      </w:numPr>
      <w:tabs>
        <w:tab w:val="left" w:pos="1134"/>
      </w:tabs>
      <w:autoSpaceDE w:val="0"/>
      <w:autoSpaceDN w:val="0"/>
      <w:adjustRightInd w:val="0"/>
      <w:snapToGrid w:val="0"/>
      <w:spacing w:after="120" w:afterLines="50" w:line="360" w:lineRule="auto"/>
      <w:jc w:val="both"/>
    </w:pPr>
    <w:rPr>
      <w:rFonts w:ascii="宋体" w:hAnsi="宋体"/>
      <w:kern w:val="2"/>
      <w:sz w:val="24"/>
      <w:szCs w:val="21"/>
      <w:lang w:val="en-US" w:eastAsia="zh-CN" w:bidi="ar-SA"/>
    </w:rPr>
  </w:style>
  <w:style w:type="paragraph" w:customStyle="1" w:styleId="688">
    <w:name w:val="通用标题6"/>
    <w:basedOn w:val="1"/>
    <w:qFormat/>
    <w:uiPriority w:val="0"/>
    <w:pPr>
      <w:numPr>
        <w:ilvl w:val="4"/>
        <w:numId w:val="4"/>
      </w:numPr>
      <w:tabs>
        <w:tab w:val="left" w:pos="993"/>
      </w:tabs>
      <w:ind w:firstLine="0"/>
    </w:pPr>
  </w:style>
  <w:style w:type="paragraph" w:customStyle="1" w:styleId="689">
    <w:name w:val="TOC 标题2"/>
    <w:basedOn w:val="2"/>
    <w:next w:val="1"/>
    <w:qFormat/>
    <w:uiPriority w:val="0"/>
    <w:pPr>
      <w:spacing w:before="260" w:after="260" w:line="413" w:lineRule="auto"/>
    </w:pPr>
    <w:rPr>
      <w:rFonts w:ascii="宋体" w:hAnsi="宋体" w:eastAsia="宋体"/>
      <w:sz w:val="36"/>
      <w:lang w:val="zh-CN"/>
    </w:rPr>
  </w:style>
  <w:style w:type="paragraph" w:customStyle="1" w:styleId="690">
    <w:name w:val="专用标题2"/>
    <w:basedOn w:val="3"/>
    <w:next w:val="1"/>
    <w:qFormat/>
    <w:uiPriority w:val="0"/>
    <w:pPr>
      <w:keepNext w:val="0"/>
      <w:keepLines w:val="0"/>
      <w:tabs>
        <w:tab w:val="left" w:pos="993"/>
      </w:tabs>
      <w:spacing w:line="360" w:lineRule="auto"/>
    </w:pPr>
    <w:rPr>
      <w:rFonts w:ascii="宋体" w:hAnsi="宋体" w:eastAsia="宋体" w:cs="Times"/>
    </w:rPr>
  </w:style>
  <w:style w:type="paragraph" w:customStyle="1" w:styleId="691">
    <w:name w:val="协议书标题2"/>
    <w:basedOn w:val="3"/>
    <w:next w:val="1"/>
    <w:qFormat/>
    <w:uiPriority w:val="0"/>
    <w:pPr>
      <w:keepNext w:val="0"/>
      <w:keepLines w:val="0"/>
      <w:numPr>
        <w:ilvl w:val="0"/>
        <w:numId w:val="5"/>
      </w:numPr>
      <w:tabs>
        <w:tab w:val="left" w:pos="567"/>
      </w:tabs>
      <w:spacing w:line="360" w:lineRule="auto"/>
      <w:ind w:firstLine="0"/>
      <w:jc w:val="left"/>
    </w:pPr>
    <w:rPr>
      <w:rFonts w:ascii="宋体" w:hAnsi="宋体"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3" Type="http://schemas.openxmlformats.org/officeDocument/2006/relationships/font" Target="fonts/font23.odttf"/><Relationship Id="rId22" Type="http://schemas.openxmlformats.org/officeDocument/2006/relationships/font" Target="fonts/font22.odttf"/><Relationship Id="rId21" Type="http://schemas.openxmlformats.org/officeDocument/2006/relationships/font" Target="fonts/font21.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298</Pages>
  <Words>33280</Words>
  <Characters>189698</Characters>
  <Lines>1580</Lines>
  <Paragraphs>445</Paragraphs>
  <TotalTime>0</TotalTime>
  <ScaleCrop>false</ScaleCrop>
  <LinksUpToDate>false</LinksUpToDate>
  <CharactersWithSpaces>222533</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2020-12-09T02:14:00Z</dcterms:created>
  <dc:creator>zqmin</dc:creator>
  <cp:lastModifiedBy>垚犇</cp:lastModifiedBy>
  <cp:lastPrinted>2020-03-26T04:23:00Z</cp:lastPrinted>
  <dcterms:modified xsi:type="dcterms:W3CDTF">2021-09-28T03:29:53Z</dcterms:modified>
  <dc:title>广西壮族自治区房屋建筑和市政工程总承包招标文件</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D735026818434956ADA8FF9FCCB9E258</vt:lpwstr>
  </property>
</Properties>
</file>